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F8FC9" w14:textId="77777777" w:rsidR="004B1C5E" w:rsidRDefault="004B1C5E" w:rsidP="00996FBD">
      <w:pPr>
        <w:spacing w:after="0"/>
        <w:ind w:left="-720" w:right="-720"/>
        <w:rPr>
          <w:rFonts w:ascii="Arial" w:hAnsi="Arial" w:cs="Arial"/>
          <w:b/>
          <w:color w:val="0070C0"/>
          <w:sz w:val="20"/>
          <w:szCs w:val="20"/>
        </w:rPr>
      </w:pPr>
    </w:p>
    <w:p w14:paraId="464BF5D3" w14:textId="77777777" w:rsidR="004B1C5E" w:rsidRDefault="004B1C5E" w:rsidP="00996FBD">
      <w:pPr>
        <w:spacing w:after="0"/>
        <w:ind w:left="-720" w:right="-720"/>
        <w:rPr>
          <w:rFonts w:ascii="Arial" w:hAnsi="Arial" w:cs="Arial"/>
          <w:b/>
          <w:color w:val="0070C0"/>
          <w:sz w:val="20"/>
          <w:szCs w:val="20"/>
        </w:rPr>
      </w:pPr>
    </w:p>
    <w:p w14:paraId="6B227764" w14:textId="77777777" w:rsidR="004B1C5E" w:rsidRDefault="004B1C5E" w:rsidP="008F63B8">
      <w:pPr>
        <w:spacing w:after="0"/>
        <w:ind w:right="-720"/>
        <w:rPr>
          <w:rFonts w:ascii="Arial" w:hAnsi="Arial" w:cs="Arial"/>
          <w:b/>
          <w:color w:val="0070C0"/>
          <w:sz w:val="20"/>
          <w:szCs w:val="20"/>
        </w:rPr>
      </w:pPr>
    </w:p>
    <w:p w14:paraId="244B2C12" w14:textId="77777777" w:rsidR="004B1C5E" w:rsidRDefault="004B1C5E" w:rsidP="00996FBD">
      <w:pPr>
        <w:spacing w:after="0"/>
        <w:ind w:left="-720" w:right="-720"/>
        <w:rPr>
          <w:rFonts w:ascii="Arial" w:hAnsi="Arial" w:cs="Arial"/>
          <w:b/>
          <w:color w:val="0070C0"/>
          <w:sz w:val="20"/>
          <w:szCs w:val="20"/>
        </w:rPr>
      </w:pPr>
    </w:p>
    <w:p w14:paraId="72E66203" w14:textId="77777777" w:rsidR="004B1C5E" w:rsidRDefault="004B1C5E" w:rsidP="00996FBD">
      <w:pPr>
        <w:spacing w:after="0"/>
        <w:ind w:left="-720" w:right="-720"/>
        <w:rPr>
          <w:rFonts w:ascii="Arial" w:hAnsi="Arial" w:cs="Arial"/>
          <w:b/>
          <w:color w:val="0070C0"/>
          <w:sz w:val="20"/>
          <w:szCs w:val="20"/>
        </w:rPr>
      </w:pPr>
    </w:p>
    <w:p w14:paraId="0B4B0521" w14:textId="1EB7E3A1" w:rsidR="004B1C5E" w:rsidRDefault="004B1C5E" w:rsidP="00996FBD">
      <w:pPr>
        <w:spacing w:after="0"/>
        <w:ind w:left="-720" w:right="-720"/>
        <w:rPr>
          <w:rFonts w:ascii="Arial" w:hAnsi="Arial" w:cs="Arial"/>
          <w:b/>
          <w:color w:val="0070C0"/>
          <w:sz w:val="20"/>
          <w:szCs w:val="20"/>
        </w:rPr>
      </w:pPr>
    </w:p>
    <w:p w14:paraId="63F904E8" w14:textId="77777777" w:rsidR="0010409D" w:rsidRDefault="002243CA" w:rsidP="0010409D">
      <w:pPr>
        <w:spacing w:after="0"/>
        <w:ind w:left="720" w:right="-360" w:firstLine="720"/>
        <w:rPr>
          <w:rFonts w:ascii="Arial" w:hAnsi="Arial" w:cs="Arial"/>
          <w:b/>
          <w:color w:val="037EBB"/>
          <w:sz w:val="24"/>
          <w:szCs w:val="20"/>
        </w:rPr>
      </w:pPr>
      <w:r>
        <w:rPr>
          <w:noProof/>
        </w:rPr>
        <w:drawing>
          <wp:anchor distT="0" distB="0" distL="114300" distR="114300" simplePos="0" relativeHeight="251675648" behindDoc="0" locked="0" layoutInCell="1" allowOverlap="1" wp14:anchorId="039B80D1" wp14:editId="6A8EB374">
            <wp:simplePos x="0" y="0"/>
            <wp:positionH relativeFrom="column">
              <wp:posOffset>709295</wp:posOffset>
            </wp:positionH>
            <wp:positionV relativeFrom="page">
              <wp:posOffset>2267585</wp:posOffset>
            </wp:positionV>
            <wp:extent cx="5386705" cy="2076450"/>
            <wp:effectExtent l="0" t="0" r="4445" b="0"/>
            <wp:wrapTopAndBottom/>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0A7E8D" w:rsidRPr="007D272C">
        <w:rPr>
          <w:rFonts w:ascii="Arial" w:hAnsi="Arial" w:cs="Arial"/>
          <w:b/>
          <w:noProof/>
          <w:color w:val="3B3838" w:themeColor="background2" w:themeShade="40"/>
          <w:sz w:val="21"/>
          <w:szCs w:val="20"/>
        </w:rPr>
        <w:drawing>
          <wp:anchor distT="0" distB="0" distL="114300" distR="114300" simplePos="0" relativeHeight="251668480" behindDoc="0" locked="0" layoutInCell="1" allowOverlap="1" wp14:anchorId="7008C652" wp14:editId="37E6E39A">
            <wp:simplePos x="0" y="0"/>
            <wp:positionH relativeFrom="column">
              <wp:posOffset>-174625</wp:posOffset>
            </wp:positionH>
            <wp:positionV relativeFrom="paragraph">
              <wp:posOffset>68580</wp:posOffset>
            </wp:positionV>
            <wp:extent cx="558182" cy="658368"/>
            <wp:effectExtent l="0" t="0" r="63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58182" cy="658368"/>
                    </a:xfrm>
                    <a:prstGeom prst="rect">
                      <a:avLst/>
                    </a:prstGeom>
                  </pic:spPr>
                </pic:pic>
              </a:graphicData>
            </a:graphic>
            <wp14:sizeRelH relativeFrom="page">
              <wp14:pctWidth>0</wp14:pctWidth>
            </wp14:sizeRelH>
            <wp14:sizeRelV relativeFrom="page">
              <wp14:pctHeight>0</wp14:pctHeight>
            </wp14:sizeRelV>
          </wp:anchor>
        </w:drawing>
      </w:r>
      <w:r w:rsidR="00550B80" w:rsidRPr="007D272C">
        <w:rPr>
          <w:rFonts w:ascii="Arial" w:hAnsi="Arial" w:cs="Arial"/>
          <w:b/>
          <w:color w:val="037EBB"/>
          <w:sz w:val="24"/>
          <w:szCs w:val="20"/>
        </w:rPr>
        <w:t>Market Review</w:t>
      </w:r>
    </w:p>
    <w:p w14:paraId="3BEC6FA2" w14:textId="4E02FEE2" w:rsidR="00024E19" w:rsidRPr="0010409D" w:rsidRDefault="00024E19" w:rsidP="0010409D">
      <w:pPr>
        <w:spacing w:after="0"/>
        <w:ind w:left="720" w:right="-360" w:firstLine="720"/>
        <w:rPr>
          <w:rStyle w:val="Emphasis"/>
          <w:rFonts w:ascii="Arial" w:hAnsi="Arial" w:cs="Arial"/>
          <w:b/>
          <w:i w:val="0"/>
          <w:iCs w:val="0"/>
          <w:color w:val="037EBB"/>
          <w:sz w:val="24"/>
          <w:szCs w:val="20"/>
        </w:rPr>
      </w:pPr>
      <w:r w:rsidRPr="005F73BE">
        <w:rPr>
          <w:rFonts w:ascii="Arial" w:hAnsi="Arial" w:cs="Arial"/>
          <w:sz w:val="16"/>
          <w:szCs w:val="16"/>
        </w:rPr>
        <w:t xml:space="preserve">Source: </w:t>
      </w:r>
      <w:r w:rsidR="00C3563C">
        <w:rPr>
          <w:rFonts w:ascii="Arial" w:hAnsi="Arial" w:cs="Arial"/>
          <w:sz w:val="16"/>
          <w:szCs w:val="16"/>
        </w:rPr>
        <w:t xml:space="preserve">Zephyr </w:t>
      </w:r>
      <w:proofErr w:type="spellStart"/>
      <w:r w:rsidR="00C3563C">
        <w:rPr>
          <w:rFonts w:ascii="Arial" w:hAnsi="Arial" w:cs="Arial"/>
          <w:sz w:val="16"/>
          <w:szCs w:val="16"/>
        </w:rPr>
        <w:t>StyleADVISOR</w:t>
      </w:r>
      <w:proofErr w:type="spellEnd"/>
    </w:p>
    <w:p w14:paraId="5B6BAA7C" w14:textId="2A231839" w:rsidR="00024E19" w:rsidRPr="00024E19" w:rsidRDefault="00024E19" w:rsidP="00024E19">
      <w:pPr>
        <w:pStyle w:val="ListParagraph"/>
        <w:ind w:left="1440"/>
        <w:rPr>
          <w:rFonts w:ascii="Arial" w:hAnsi="Arial" w:cs="Arial"/>
          <w:sz w:val="20"/>
          <w:szCs w:val="20"/>
        </w:rPr>
      </w:pPr>
    </w:p>
    <w:p w14:paraId="0558AEA5" w14:textId="5FCDD874" w:rsidR="000C6F98" w:rsidRPr="008C3837" w:rsidRDefault="00BE5864" w:rsidP="0010409D">
      <w:pPr>
        <w:pStyle w:val="ListParagraph"/>
        <w:numPr>
          <w:ilvl w:val="0"/>
          <w:numId w:val="3"/>
        </w:numPr>
        <w:contextualSpacing w:val="0"/>
        <w:rPr>
          <w:rFonts w:ascii="Arial" w:hAnsi="Arial" w:cs="Arial"/>
          <w:sz w:val="20"/>
          <w:szCs w:val="20"/>
        </w:rPr>
      </w:pPr>
      <w:bookmarkStart w:id="0" w:name="_Hlk84243018"/>
      <w:r>
        <w:rPr>
          <w:rFonts w:ascii="Arial" w:hAnsi="Arial" w:cs="Arial"/>
          <w:b/>
          <w:bCs/>
          <w:iCs/>
          <w:sz w:val="20"/>
          <w:szCs w:val="20"/>
        </w:rPr>
        <w:t xml:space="preserve">The </w:t>
      </w:r>
      <w:r w:rsidR="00E10E63">
        <w:rPr>
          <w:rFonts w:ascii="Arial" w:hAnsi="Arial" w:cs="Arial"/>
          <w:b/>
          <w:bCs/>
          <w:iCs/>
          <w:sz w:val="20"/>
          <w:szCs w:val="20"/>
        </w:rPr>
        <w:t>quarter</w:t>
      </w:r>
      <w:r>
        <w:rPr>
          <w:rFonts w:ascii="Arial" w:hAnsi="Arial" w:cs="Arial"/>
          <w:b/>
          <w:bCs/>
          <w:iCs/>
          <w:sz w:val="20"/>
          <w:szCs w:val="20"/>
        </w:rPr>
        <w:t xml:space="preserve"> began with a </w:t>
      </w:r>
      <w:r w:rsidR="005F2019">
        <w:rPr>
          <w:rFonts w:ascii="Arial" w:hAnsi="Arial" w:cs="Arial"/>
          <w:b/>
          <w:bCs/>
          <w:iCs/>
          <w:sz w:val="20"/>
          <w:szCs w:val="20"/>
        </w:rPr>
        <w:t>short-lived</w:t>
      </w:r>
      <w:r>
        <w:rPr>
          <w:rFonts w:ascii="Arial" w:hAnsi="Arial" w:cs="Arial"/>
          <w:b/>
          <w:bCs/>
          <w:iCs/>
          <w:sz w:val="20"/>
          <w:szCs w:val="20"/>
        </w:rPr>
        <w:t xml:space="preserve"> summer rally</w:t>
      </w:r>
      <w:r w:rsidR="00E10E63">
        <w:rPr>
          <w:rFonts w:ascii="Arial" w:hAnsi="Arial" w:cs="Arial"/>
          <w:b/>
          <w:bCs/>
          <w:iCs/>
          <w:sz w:val="20"/>
          <w:szCs w:val="20"/>
        </w:rPr>
        <w:t xml:space="preserve"> that</w:t>
      </w:r>
      <w:r>
        <w:rPr>
          <w:rFonts w:ascii="Arial" w:hAnsi="Arial" w:cs="Arial"/>
          <w:b/>
          <w:bCs/>
          <w:iCs/>
          <w:sz w:val="20"/>
          <w:szCs w:val="20"/>
        </w:rPr>
        <w:t xml:space="preserve"> </w:t>
      </w:r>
      <w:r w:rsidR="00C17892">
        <w:rPr>
          <w:rFonts w:ascii="Arial" w:hAnsi="Arial" w:cs="Arial"/>
          <w:b/>
          <w:bCs/>
          <w:iCs/>
          <w:sz w:val="20"/>
          <w:szCs w:val="20"/>
        </w:rPr>
        <w:t xml:space="preserve">fizzled </w:t>
      </w:r>
      <w:r w:rsidR="00A14920">
        <w:rPr>
          <w:rFonts w:ascii="Arial" w:hAnsi="Arial" w:cs="Arial"/>
          <w:b/>
          <w:bCs/>
          <w:iCs/>
          <w:sz w:val="20"/>
          <w:szCs w:val="20"/>
        </w:rPr>
        <w:t>only to</w:t>
      </w:r>
      <w:r w:rsidR="00E10E63">
        <w:rPr>
          <w:rFonts w:ascii="Arial" w:hAnsi="Arial" w:cs="Arial"/>
          <w:b/>
          <w:bCs/>
          <w:iCs/>
          <w:sz w:val="20"/>
          <w:szCs w:val="20"/>
        </w:rPr>
        <w:t xml:space="preserve"> set</w:t>
      </w:r>
      <w:r>
        <w:rPr>
          <w:rFonts w:ascii="Arial" w:hAnsi="Arial" w:cs="Arial"/>
          <w:b/>
          <w:bCs/>
          <w:iCs/>
          <w:sz w:val="20"/>
          <w:szCs w:val="20"/>
        </w:rPr>
        <w:t xml:space="preserve"> new lows</w:t>
      </w:r>
      <w:r w:rsidR="007D77DD">
        <w:rPr>
          <w:rFonts w:ascii="Arial" w:hAnsi="Arial" w:cs="Arial"/>
          <w:b/>
          <w:bCs/>
          <w:iCs/>
          <w:sz w:val="20"/>
          <w:szCs w:val="20"/>
        </w:rPr>
        <w:t>.</w:t>
      </w:r>
      <w:r w:rsidR="00062EA0">
        <w:rPr>
          <w:rFonts w:ascii="Arial" w:hAnsi="Arial" w:cs="Arial"/>
          <w:b/>
          <w:bCs/>
          <w:iCs/>
          <w:sz w:val="20"/>
          <w:szCs w:val="20"/>
        </w:rPr>
        <w:t xml:space="preserve"> </w:t>
      </w:r>
      <w:r w:rsidR="004203CC" w:rsidRPr="004203CC">
        <w:rPr>
          <w:rFonts w:ascii="Arial" w:hAnsi="Arial" w:cs="Arial"/>
          <w:iCs/>
          <w:sz w:val="20"/>
          <w:szCs w:val="20"/>
        </w:rPr>
        <w:t>R</w:t>
      </w:r>
      <w:r w:rsidR="005F2019" w:rsidRPr="004203CC">
        <w:rPr>
          <w:rFonts w:ascii="Arial" w:hAnsi="Arial" w:cs="Arial"/>
          <w:iCs/>
          <w:sz w:val="20"/>
          <w:szCs w:val="20"/>
        </w:rPr>
        <w:t>ecord</w:t>
      </w:r>
      <w:r w:rsidR="005F2019" w:rsidRPr="005F2019">
        <w:rPr>
          <w:rFonts w:ascii="Arial" w:hAnsi="Arial" w:cs="Arial"/>
          <w:iCs/>
          <w:sz w:val="20"/>
          <w:szCs w:val="20"/>
        </w:rPr>
        <w:t xml:space="preserve"> high inflation, aggressive interest rate hikes from global central banks,</w:t>
      </w:r>
      <w:r w:rsidR="00E10E63">
        <w:rPr>
          <w:rFonts w:ascii="Arial" w:hAnsi="Arial" w:cs="Arial"/>
          <w:iCs/>
          <w:sz w:val="20"/>
          <w:szCs w:val="20"/>
        </w:rPr>
        <w:t xml:space="preserve"> </w:t>
      </w:r>
      <w:r w:rsidR="00A14920">
        <w:rPr>
          <w:rFonts w:ascii="Arial" w:hAnsi="Arial" w:cs="Arial"/>
          <w:iCs/>
          <w:sz w:val="20"/>
          <w:szCs w:val="20"/>
        </w:rPr>
        <w:t xml:space="preserve">and </w:t>
      </w:r>
      <w:r w:rsidR="00E10E63">
        <w:rPr>
          <w:rFonts w:ascii="Arial" w:hAnsi="Arial" w:cs="Arial"/>
          <w:iCs/>
          <w:sz w:val="20"/>
          <w:szCs w:val="20"/>
        </w:rPr>
        <w:t xml:space="preserve">fear </w:t>
      </w:r>
      <w:r w:rsidR="005F2019" w:rsidRPr="005F2019">
        <w:rPr>
          <w:rFonts w:ascii="Arial" w:hAnsi="Arial" w:cs="Arial"/>
          <w:iCs/>
          <w:sz w:val="20"/>
          <w:szCs w:val="20"/>
        </w:rPr>
        <w:t xml:space="preserve">of recession left no place </w:t>
      </w:r>
      <w:r w:rsidR="00E10E63">
        <w:rPr>
          <w:rFonts w:ascii="Arial" w:hAnsi="Arial" w:cs="Arial"/>
          <w:iCs/>
          <w:sz w:val="20"/>
          <w:szCs w:val="20"/>
        </w:rPr>
        <w:t xml:space="preserve">for </w:t>
      </w:r>
      <w:r w:rsidR="005F2019" w:rsidRPr="005F2019">
        <w:rPr>
          <w:rFonts w:ascii="Arial" w:hAnsi="Arial" w:cs="Arial"/>
          <w:iCs/>
          <w:sz w:val="20"/>
          <w:szCs w:val="20"/>
        </w:rPr>
        <w:t>investors</w:t>
      </w:r>
      <w:r w:rsidR="00C17892">
        <w:rPr>
          <w:rFonts w:ascii="Arial" w:hAnsi="Arial" w:cs="Arial"/>
          <w:iCs/>
          <w:sz w:val="20"/>
          <w:szCs w:val="20"/>
        </w:rPr>
        <w:t xml:space="preserve"> to hide</w:t>
      </w:r>
      <w:r w:rsidR="005F2019" w:rsidRPr="005F2019">
        <w:rPr>
          <w:rFonts w:ascii="Arial" w:hAnsi="Arial" w:cs="Arial"/>
          <w:iCs/>
          <w:sz w:val="20"/>
          <w:szCs w:val="20"/>
        </w:rPr>
        <w:t>.</w:t>
      </w:r>
      <w:r w:rsidR="005F2019">
        <w:rPr>
          <w:rFonts w:ascii="Arial" w:hAnsi="Arial" w:cs="Arial"/>
          <w:b/>
          <w:bCs/>
          <w:iCs/>
          <w:sz w:val="20"/>
          <w:szCs w:val="20"/>
        </w:rPr>
        <w:t xml:space="preserve"> </w:t>
      </w:r>
      <w:r w:rsidR="005F2019">
        <w:rPr>
          <w:rFonts w:ascii="Arial" w:hAnsi="Arial" w:cs="Arial"/>
          <w:iCs/>
          <w:sz w:val="20"/>
          <w:szCs w:val="20"/>
        </w:rPr>
        <w:t xml:space="preserve">For the third quarter, </w:t>
      </w:r>
      <w:r w:rsidR="00F8695B">
        <w:rPr>
          <w:rFonts w:ascii="Arial" w:hAnsi="Arial" w:cs="Arial"/>
          <w:iCs/>
          <w:sz w:val="20"/>
          <w:szCs w:val="20"/>
        </w:rPr>
        <w:t xml:space="preserve">the </w:t>
      </w:r>
      <w:r w:rsidR="005F2019">
        <w:rPr>
          <w:rFonts w:ascii="Arial" w:hAnsi="Arial" w:cs="Arial"/>
          <w:iCs/>
          <w:sz w:val="20"/>
          <w:szCs w:val="20"/>
        </w:rPr>
        <w:t>diversified</w:t>
      </w:r>
      <w:r w:rsidR="00F8695B">
        <w:rPr>
          <w:rFonts w:ascii="Arial" w:hAnsi="Arial" w:cs="Arial"/>
          <w:iCs/>
          <w:sz w:val="20"/>
          <w:szCs w:val="20"/>
        </w:rPr>
        <w:t xml:space="preserve"> 60/40</w:t>
      </w:r>
      <w:r w:rsidR="005F2019">
        <w:rPr>
          <w:rFonts w:ascii="Arial" w:hAnsi="Arial" w:cs="Arial"/>
          <w:iCs/>
          <w:sz w:val="20"/>
          <w:szCs w:val="20"/>
        </w:rPr>
        <w:t xml:space="preserve"> portfolio </w:t>
      </w:r>
      <w:r w:rsidR="005D1CCE">
        <w:rPr>
          <w:rFonts w:ascii="Arial" w:hAnsi="Arial" w:cs="Arial"/>
          <w:iCs/>
          <w:sz w:val="20"/>
          <w:szCs w:val="20"/>
        </w:rPr>
        <w:t>invested</w:t>
      </w:r>
      <w:r w:rsidR="005F2019">
        <w:rPr>
          <w:rFonts w:ascii="Arial" w:hAnsi="Arial" w:cs="Arial"/>
          <w:iCs/>
          <w:sz w:val="20"/>
          <w:szCs w:val="20"/>
        </w:rPr>
        <w:t xml:space="preserve"> </w:t>
      </w:r>
      <w:r w:rsidR="005D1CCE">
        <w:rPr>
          <w:rFonts w:ascii="Arial" w:hAnsi="Arial" w:cs="Arial"/>
          <w:iCs/>
          <w:sz w:val="20"/>
          <w:szCs w:val="20"/>
        </w:rPr>
        <w:t xml:space="preserve">60% in </w:t>
      </w:r>
      <w:r w:rsidR="005F2019">
        <w:rPr>
          <w:rFonts w:ascii="Arial" w:hAnsi="Arial" w:cs="Arial"/>
          <w:iCs/>
          <w:sz w:val="20"/>
          <w:szCs w:val="20"/>
        </w:rPr>
        <w:t>global stocks</w:t>
      </w:r>
      <w:r w:rsidR="00A14920">
        <w:rPr>
          <w:rFonts w:ascii="Arial" w:hAnsi="Arial" w:cs="Arial"/>
          <w:iCs/>
          <w:sz w:val="20"/>
          <w:szCs w:val="20"/>
        </w:rPr>
        <w:t>,</w:t>
      </w:r>
      <w:r w:rsidR="005F2019">
        <w:rPr>
          <w:rFonts w:ascii="Arial" w:hAnsi="Arial" w:cs="Arial"/>
          <w:iCs/>
          <w:sz w:val="20"/>
          <w:szCs w:val="20"/>
        </w:rPr>
        <w:t xml:space="preserve"> and </w:t>
      </w:r>
      <w:r w:rsidR="005D1CCE">
        <w:rPr>
          <w:rFonts w:ascii="Arial" w:hAnsi="Arial" w:cs="Arial"/>
          <w:iCs/>
          <w:sz w:val="20"/>
          <w:szCs w:val="20"/>
        </w:rPr>
        <w:t xml:space="preserve">40% global </w:t>
      </w:r>
      <w:r w:rsidR="005F2019">
        <w:rPr>
          <w:rFonts w:ascii="Arial" w:hAnsi="Arial" w:cs="Arial"/>
          <w:iCs/>
          <w:sz w:val="20"/>
          <w:szCs w:val="20"/>
        </w:rPr>
        <w:t xml:space="preserve">bonds </w:t>
      </w:r>
      <w:r w:rsidR="004203CC">
        <w:rPr>
          <w:rFonts w:ascii="Arial" w:hAnsi="Arial" w:cs="Arial"/>
          <w:iCs/>
          <w:sz w:val="20"/>
          <w:szCs w:val="20"/>
        </w:rPr>
        <w:t xml:space="preserve">returned -6.8% and </w:t>
      </w:r>
      <w:r w:rsidR="005F2019">
        <w:rPr>
          <w:rFonts w:ascii="Arial" w:hAnsi="Arial" w:cs="Arial"/>
          <w:iCs/>
          <w:sz w:val="20"/>
          <w:szCs w:val="20"/>
        </w:rPr>
        <w:t>performed worse than one just invested in global stocks</w:t>
      </w:r>
      <w:r w:rsidR="004203CC">
        <w:rPr>
          <w:rFonts w:ascii="Arial" w:hAnsi="Arial" w:cs="Arial"/>
          <w:iCs/>
          <w:sz w:val="20"/>
          <w:szCs w:val="20"/>
        </w:rPr>
        <w:t xml:space="preserve"> (-6.7%)</w:t>
      </w:r>
      <w:r w:rsidR="005F2019">
        <w:rPr>
          <w:rFonts w:ascii="Arial" w:hAnsi="Arial" w:cs="Arial"/>
          <w:iCs/>
          <w:sz w:val="20"/>
          <w:szCs w:val="20"/>
        </w:rPr>
        <w:t xml:space="preserve"> as</w:t>
      </w:r>
      <w:r w:rsidR="004203CC">
        <w:rPr>
          <w:rFonts w:ascii="Arial" w:hAnsi="Arial" w:cs="Arial"/>
          <w:iCs/>
          <w:sz w:val="20"/>
          <w:szCs w:val="20"/>
        </w:rPr>
        <w:t xml:space="preserve"> global</w:t>
      </w:r>
      <w:r w:rsidR="005F2019">
        <w:rPr>
          <w:rFonts w:ascii="Arial" w:hAnsi="Arial" w:cs="Arial"/>
          <w:iCs/>
          <w:sz w:val="20"/>
          <w:szCs w:val="20"/>
        </w:rPr>
        <w:t xml:space="preserve"> bonds posted </w:t>
      </w:r>
      <w:r w:rsidR="00D725BE">
        <w:rPr>
          <w:rFonts w:ascii="Arial" w:hAnsi="Arial" w:cs="Arial"/>
          <w:iCs/>
          <w:sz w:val="20"/>
          <w:szCs w:val="20"/>
        </w:rPr>
        <w:t>dismal returns</w:t>
      </w:r>
      <w:r w:rsidR="004203CC">
        <w:rPr>
          <w:rFonts w:ascii="Arial" w:hAnsi="Arial" w:cs="Arial"/>
          <w:iCs/>
          <w:sz w:val="20"/>
          <w:szCs w:val="20"/>
        </w:rPr>
        <w:t xml:space="preserve"> (-6.9%).</w:t>
      </w:r>
      <w:bookmarkEnd w:id="0"/>
      <w:r w:rsidR="00C22AB5">
        <w:rPr>
          <w:rFonts w:ascii="Arial" w:hAnsi="Arial" w:cs="Arial"/>
          <w:iCs/>
          <w:sz w:val="20"/>
          <w:szCs w:val="20"/>
        </w:rPr>
        <w:t xml:space="preserve"> </w:t>
      </w:r>
      <w:r w:rsidR="005D1CCE">
        <w:rPr>
          <w:rFonts w:ascii="Arial" w:hAnsi="Arial" w:cs="Arial"/>
          <w:iCs/>
          <w:sz w:val="20"/>
          <w:szCs w:val="20"/>
        </w:rPr>
        <w:t xml:space="preserve">Within equities, </w:t>
      </w:r>
      <w:r w:rsidR="004203CC">
        <w:rPr>
          <w:rFonts w:ascii="Arial" w:hAnsi="Arial" w:cs="Arial"/>
          <w:iCs/>
          <w:sz w:val="20"/>
          <w:szCs w:val="20"/>
        </w:rPr>
        <w:t>US stocks</w:t>
      </w:r>
      <w:r w:rsidR="00C22AB5">
        <w:rPr>
          <w:rFonts w:ascii="Arial" w:hAnsi="Arial" w:cs="Arial"/>
          <w:iCs/>
          <w:sz w:val="20"/>
          <w:szCs w:val="20"/>
        </w:rPr>
        <w:t xml:space="preserve"> </w:t>
      </w:r>
      <w:r w:rsidR="00E75C1B">
        <w:rPr>
          <w:rFonts w:ascii="Arial" w:hAnsi="Arial" w:cs="Arial"/>
          <w:iCs/>
          <w:sz w:val="20"/>
          <w:szCs w:val="20"/>
        </w:rPr>
        <w:t xml:space="preserve">sunk </w:t>
      </w:r>
      <w:r w:rsidR="004203CC">
        <w:rPr>
          <w:rFonts w:ascii="Arial" w:hAnsi="Arial" w:cs="Arial"/>
          <w:iCs/>
          <w:sz w:val="20"/>
          <w:szCs w:val="20"/>
        </w:rPr>
        <w:t>back in bear territory</w:t>
      </w:r>
      <w:r w:rsidR="00E8703A">
        <w:rPr>
          <w:rFonts w:ascii="Arial" w:hAnsi="Arial" w:cs="Arial"/>
          <w:iCs/>
          <w:sz w:val="20"/>
          <w:szCs w:val="20"/>
        </w:rPr>
        <w:t xml:space="preserve"> to end the quarter -4.9%. Similarly, </w:t>
      </w:r>
      <w:r w:rsidR="005D1CCE">
        <w:rPr>
          <w:rFonts w:ascii="Arial" w:hAnsi="Arial" w:cs="Arial"/>
          <w:iCs/>
          <w:sz w:val="20"/>
          <w:szCs w:val="20"/>
        </w:rPr>
        <w:t xml:space="preserve">US </w:t>
      </w:r>
      <w:r w:rsidR="00E8703A">
        <w:rPr>
          <w:rFonts w:ascii="Arial" w:hAnsi="Arial" w:cs="Arial"/>
          <w:iCs/>
          <w:sz w:val="20"/>
          <w:szCs w:val="20"/>
        </w:rPr>
        <w:t>b</w:t>
      </w:r>
      <w:r w:rsidR="004203CC">
        <w:rPr>
          <w:rFonts w:ascii="Arial" w:hAnsi="Arial" w:cs="Arial"/>
          <w:iCs/>
          <w:sz w:val="20"/>
          <w:szCs w:val="20"/>
        </w:rPr>
        <w:t>ond yields which move in the opposite direction of prices</w:t>
      </w:r>
      <w:r w:rsidR="00A14920">
        <w:rPr>
          <w:rFonts w:ascii="Arial" w:hAnsi="Arial" w:cs="Arial"/>
          <w:iCs/>
          <w:sz w:val="20"/>
          <w:szCs w:val="20"/>
        </w:rPr>
        <w:t>,</w:t>
      </w:r>
      <w:r w:rsidR="00E8703A">
        <w:rPr>
          <w:rFonts w:ascii="Arial" w:hAnsi="Arial" w:cs="Arial"/>
          <w:iCs/>
          <w:sz w:val="20"/>
          <w:szCs w:val="20"/>
        </w:rPr>
        <w:t xml:space="preserve"> rose to</w:t>
      </w:r>
      <w:r w:rsidR="004203CC">
        <w:rPr>
          <w:rFonts w:ascii="Arial" w:hAnsi="Arial" w:cs="Arial"/>
          <w:iCs/>
          <w:sz w:val="20"/>
          <w:szCs w:val="20"/>
        </w:rPr>
        <w:t xml:space="preserve"> their highest levels in years</w:t>
      </w:r>
      <w:r w:rsidR="00E10E63">
        <w:rPr>
          <w:rFonts w:ascii="Arial" w:hAnsi="Arial" w:cs="Arial"/>
          <w:iCs/>
          <w:sz w:val="20"/>
          <w:szCs w:val="20"/>
        </w:rPr>
        <w:t xml:space="preserve"> as h</w:t>
      </w:r>
      <w:r w:rsidR="002A785E">
        <w:rPr>
          <w:rFonts w:ascii="Arial" w:hAnsi="Arial" w:cs="Arial"/>
          <w:iCs/>
          <w:sz w:val="20"/>
          <w:szCs w:val="20"/>
        </w:rPr>
        <w:t>opes for</w:t>
      </w:r>
      <w:r w:rsidR="00C22AB5">
        <w:rPr>
          <w:rFonts w:ascii="Arial" w:hAnsi="Arial" w:cs="Arial"/>
          <w:iCs/>
          <w:sz w:val="20"/>
          <w:szCs w:val="20"/>
        </w:rPr>
        <w:t xml:space="preserve"> falling inflation</w:t>
      </w:r>
      <w:r w:rsidR="00F8695B">
        <w:rPr>
          <w:rFonts w:ascii="Arial" w:hAnsi="Arial" w:cs="Arial"/>
          <w:iCs/>
          <w:sz w:val="20"/>
          <w:szCs w:val="20"/>
        </w:rPr>
        <w:t xml:space="preserve"> were erased</w:t>
      </w:r>
      <w:r w:rsidR="00C22AB5">
        <w:rPr>
          <w:rFonts w:ascii="Arial" w:hAnsi="Arial" w:cs="Arial"/>
          <w:iCs/>
          <w:sz w:val="20"/>
          <w:szCs w:val="20"/>
        </w:rPr>
        <w:t xml:space="preserve"> </w:t>
      </w:r>
      <w:r w:rsidR="00C17892">
        <w:rPr>
          <w:rFonts w:ascii="Arial" w:hAnsi="Arial" w:cs="Arial"/>
          <w:iCs/>
          <w:sz w:val="20"/>
          <w:szCs w:val="20"/>
        </w:rPr>
        <w:t>when</w:t>
      </w:r>
      <w:r w:rsidR="00E10E63">
        <w:rPr>
          <w:rFonts w:ascii="Arial" w:hAnsi="Arial" w:cs="Arial"/>
          <w:iCs/>
          <w:sz w:val="20"/>
          <w:szCs w:val="20"/>
        </w:rPr>
        <w:t xml:space="preserve"> core</w:t>
      </w:r>
      <w:r w:rsidR="00C17892">
        <w:rPr>
          <w:rFonts w:ascii="Arial" w:hAnsi="Arial" w:cs="Arial"/>
          <w:iCs/>
          <w:sz w:val="20"/>
          <w:szCs w:val="20"/>
        </w:rPr>
        <w:t xml:space="preserve"> inflation rose</w:t>
      </w:r>
      <w:r w:rsidR="00F8695B">
        <w:rPr>
          <w:rFonts w:ascii="Arial" w:hAnsi="Arial" w:cs="Arial"/>
          <w:iCs/>
          <w:sz w:val="20"/>
          <w:szCs w:val="20"/>
        </w:rPr>
        <w:t xml:space="preserve"> in August</w:t>
      </w:r>
      <w:r w:rsidR="00C17892">
        <w:rPr>
          <w:rFonts w:ascii="Arial" w:hAnsi="Arial" w:cs="Arial"/>
          <w:iCs/>
          <w:sz w:val="20"/>
          <w:szCs w:val="20"/>
        </w:rPr>
        <w:t xml:space="preserve"> despite falling gas prices</w:t>
      </w:r>
      <w:r w:rsidR="002A785E">
        <w:rPr>
          <w:rFonts w:ascii="Arial" w:hAnsi="Arial" w:cs="Arial"/>
          <w:iCs/>
          <w:sz w:val="20"/>
          <w:szCs w:val="20"/>
        </w:rPr>
        <w:t>.</w:t>
      </w:r>
    </w:p>
    <w:p w14:paraId="4594F3D8" w14:textId="3B7D88D0" w:rsidR="008C3837" w:rsidRPr="0010409D" w:rsidRDefault="0094619F" w:rsidP="008C3837">
      <w:pPr>
        <w:pStyle w:val="ListParagraph"/>
        <w:ind w:left="1440"/>
        <w:contextualSpacing w:val="0"/>
        <w:rPr>
          <w:rFonts w:ascii="Arial" w:hAnsi="Arial" w:cs="Arial"/>
          <w:sz w:val="20"/>
          <w:szCs w:val="20"/>
        </w:rPr>
      </w:pPr>
      <w:r w:rsidRPr="0094619F">
        <w:rPr>
          <w:rFonts w:ascii="Arial" w:hAnsi="Arial" w:cs="Arial"/>
          <w:iCs/>
          <w:noProof/>
          <w:sz w:val="20"/>
          <w:szCs w:val="20"/>
        </w:rPr>
        <mc:AlternateContent>
          <mc:Choice Requires="wps">
            <w:drawing>
              <wp:anchor distT="0" distB="0" distL="114300" distR="114300" simplePos="0" relativeHeight="251677696" behindDoc="0" locked="0" layoutInCell="1" allowOverlap="1" wp14:anchorId="2635F8DF" wp14:editId="112D07FA">
                <wp:simplePos x="0" y="0"/>
                <wp:positionH relativeFrom="margin">
                  <wp:posOffset>914400</wp:posOffset>
                </wp:positionH>
                <wp:positionV relativeFrom="paragraph">
                  <wp:posOffset>2757610</wp:posOffset>
                </wp:positionV>
                <wp:extent cx="2702459" cy="203703"/>
                <wp:effectExtent l="0" t="0" r="0" b="0"/>
                <wp:wrapNone/>
                <wp:docPr id="52" name="TextBox 51">
                  <a:extLst xmlns:a="http://schemas.openxmlformats.org/drawingml/2006/main">
                    <a:ext uri="{FF2B5EF4-FFF2-40B4-BE49-F238E27FC236}">
                      <a16:creationId xmlns:a16="http://schemas.microsoft.com/office/drawing/2014/main" id="{8C22F71A-FED8-4282-8CA0-A68764DC3160}"/>
                    </a:ext>
                  </a:extLst>
                </wp:docPr>
                <wp:cNvGraphicFramePr/>
                <a:graphic xmlns:a="http://schemas.openxmlformats.org/drawingml/2006/main">
                  <a:graphicData uri="http://schemas.microsoft.com/office/word/2010/wordprocessingShape">
                    <wps:wsp>
                      <wps:cNvSpPr txBox="1"/>
                      <wps:spPr>
                        <a:xfrm>
                          <a:off x="0" y="0"/>
                          <a:ext cx="2702459" cy="203703"/>
                        </a:xfrm>
                        <a:prstGeom prst="rect">
                          <a:avLst/>
                        </a:prstGeom>
                        <a:noFill/>
                      </wps:spPr>
                      <wps:txbx>
                        <w:txbxContent>
                          <w:p w14:paraId="427290B8" w14:textId="77777777" w:rsidR="0094619F" w:rsidRPr="0094619F" w:rsidRDefault="0094619F" w:rsidP="0094619F">
                            <w:pPr>
                              <w:rPr>
                                <w:rFonts w:ascii="Arial" w:hAnsi="Arial" w:cs="Arial"/>
                                <w:sz w:val="16"/>
                                <w:szCs w:val="16"/>
                              </w:rPr>
                            </w:pPr>
                            <w:r w:rsidRPr="0094619F">
                              <w:rPr>
                                <w:rFonts w:ascii="Arial" w:hAnsi="Arial" w:cs="Arial"/>
                                <w:color w:val="000000" w:themeColor="text1"/>
                                <w:kern w:val="24"/>
                                <w:sz w:val="16"/>
                                <w:szCs w:val="16"/>
                              </w:rPr>
                              <w:t>Source: FactSet, CNBC, Trading Economics</w:t>
                            </w:r>
                          </w:p>
                        </w:txbxContent>
                      </wps:txbx>
                      <wps:bodyPr wrap="square" lIns="0" rtlCol="0">
                        <a:noAutofit/>
                      </wps:bodyPr>
                    </wps:wsp>
                  </a:graphicData>
                </a:graphic>
                <wp14:sizeRelH relativeFrom="margin">
                  <wp14:pctWidth>0</wp14:pctWidth>
                </wp14:sizeRelH>
                <wp14:sizeRelV relativeFrom="margin">
                  <wp14:pctHeight>0</wp14:pctHeight>
                </wp14:sizeRelV>
              </wp:anchor>
            </w:drawing>
          </mc:Choice>
          <mc:Fallback>
            <w:pict>
              <v:shapetype w14:anchorId="2635F8DF" id="_x0000_t202" coordsize="21600,21600" o:spt="202" path="m,l,21600r21600,l21600,xe">
                <v:stroke joinstyle="miter"/>
                <v:path gradientshapeok="t" o:connecttype="rect"/>
              </v:shapetype>
              <v:shape id="TextBox 51" o:spid="_x0000_s1026" type="#_x0000_t202" style="position:absolute;left:0;text-align:left;margin-left:1in;margin-top:217.15pt;width:212.8pt;height:16.0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" filled="f" stroked="f">
                <v:textbox inset="0">
                  <w:txbxContent>
                    <w:p w14:paraId="427290B8" w14:textId="77777777" w:rsidR="0094619F" w:rsidRPr="0094619F" w:rsidRDefault="0094619F" w:rsidP="0094619F">
                      <w:pPr>
                        <w:rPr>
                          <w:rFonts w:ascii="Arial" w:hAnsi="Arial" w:cs="Arial"/>
                          <w:sz w:val="16"/>
                          <w:szCs w:val="16"/>
                        </w:rPr>
                      </w:pPr>
                      <w:r w:rsidRPr="0094619F">
                        <w:rPr>
                          <w:rFonts w:ascii="Arial" w:hAnsi="Arial" w:cs="Arial"/>
                          <w:color w:val="000000" w:themeColor="text1"/>
                          <w:kern w:val="24"/>
                          <w:sz w:val="16"/>
                          <w:szCs w:val="16"/>
                        </w:rPr>
                        <w:t>Source: FactSet, CNBC, Trading Economics</w:t>
                      </w:r>
                    </w:p>
                  </w:txbxContent>
                </v:textbox>
                <w10:wrap anchorx="margin"/>
              </v:shape>
            </w:pict>
          </mc:Fallback>
        </mc:AlternateContent>
      </w:r>
      <w:r>
        <w:rPr>
          <w:rFonts w:ascii="Arial" w:hAnsi="Arial" w:cs="Arial"/>
          <w:noProof/>
          <w:sz w:val="20"/>
          <w:szCs w:val="20"/>
        </w:rPr>
        <w:drawing>
          <wp:inline distT="0" distB="0" distL="0" distR="0" wp14:anchorId="2249572E" wp14:editId="129E7E7A">
            <wp:extent cx="5861597" cy="2893305"/>
            <wp:effectExtent l="0" t="0" r="0" b="254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13584" cy="2918966"/>
                    </a:xfrm>
                    <a:prstGeom prst="rect">
                      <a:avLst/>
                    </a:prstGeom>
                    <a:noFill/>
                  </pic:spPr>
                </pic:pic>
              </a:graphicData>
            </a:graphic>
          </wp:inline>
        </w:drawing>
      </w:r>
    </w:p>
    <w:p w14:paraId="53E2FE62" w14:textId="30542644" w:rsidR="00CA2A62" w:rsidRPr="005359F5" w:rsidRDefault="00CA2A62" w:rsidP="005359F5">
      <w:pPr>
        <w:pStyle w:val="ListParagraph"/>
        <w:numPr>
          <w:ilvl w:val="0"/>
          <w:numId w:val="3"/>
        </w:numPr>
        <w:rPr>
          <w:rFonts w:ascii="Arial" w:hAnsi="Arial" w:cs="Arial"/>
          <w:iCs/>
          <w:sz w:val="20"/>
          <w:szCs w:val="20"/>
        </w:rPr>
      </w:pPr>
      <w:bookmarkStart w:id="1" w:name="_Hlk84243051"/>
      <w:r w:rsidRPr="005359F5">
        <w:rPr>
          <w:rFonts w:ascii="Arial" w:hAnsi="Arial" w:cs="Arial"/>
          <w:b/>
          <w:bCs/>
          <w:iCs/>
          <w:sz w:val="20"/>
          <w:szCs w:val="20"/>
        </w:rPr>
        <w:lastRenderedPageBreak/>
        <w:t>Within</w:t>
      </w:r>
      <w:r w:rsidR="00085ABF" w:rsidRPr="005359F5">
        <w:rPr>
          <w:rFonts w:ascii="Arial" w:hAnsi="Arial" w:cs="Arial"/>
          <w:b/>
          <w:bCs/>
          <w:iCs/>
          <w:sz w:val="20"/>
          <w:szCs w:val="20"/>
        </w:rPr>
        <w:t xml:space="preserve"> </w:t>
      </w:r>
      <w:r w:rsidRPr="005359F5">
        <w:rPr>
          <w:rFonts w:ascii="Arial" w:hAnsi="Arial" w:cs="Arial"/>
          <w:b/>
          <w:bCs/>
          <w:iCs/>
          <w:sz w:val="20"/>
          <w:szCs w:val="20"/>
        </w:rPr>
        <w:t xml:space="preserve">US </w:t>
      </w:r>
      <w:r w:rsidR="008D7EC8" w:rsidRPr="005359F5">
        <w:rPr>
          <w:rFonts w:ascii="Arial" w:hAnsi="Arial" w:cs="Arial"/>
          <w:b/>
          <w:bCs/>
          <w:iCs/>
          <w:sz w:val="20"/>
          <w:szCs w:val="20"/>
        </w:rPr>
        <w:t>equities</w:t>
      </w:r>
      <w:r w:rsidR="00085ABF" w:rsidRPr="005359F5">
        <w:rPr>
          <w:rFonts w:ascii="Arial" w:hAnsi="Arial" w:cs="Arial"/>
          <w:b/>
          <w:bCs/>
          <w:iCs/>
          <w:sz w:val="20"/>
          <w:szCs w:val="20"/>
        </w:rPr>
        <w:t>,</w:t>
      </w:r>
      <w:r w:rsidRPr="005359F5">
        <w:rPr>
          <w:rFonts w:ascii="Arial" w:hAnsi="Arial" w:cs="Arial"/>
          <w:b/>
          <w:bCs/>
          <w:iCs/>
          <w:sz w:val="20"/>
          <w:szCs w:val="20"/>
        </w:rPr>
        <w:t xml:space="preserve"> </w:t>
      </w:r>
      <w:r w:rsidR="00E8703A">
        <w:rPr>
          <w:rFonts w:ascii="Arial" w:hAnsi="Arial" w:cs="Arial"/>
          <w:b/>
          <w:bCs/>
          <w:iCs/>
          <w:sz w:val="20"/>
          <w:szCs w:val="20"/>
        </w:rPr>
        <w:t xml:space="preserve">9 out </w:t>
      </w:r>
      <w:r w:rsidR="007A2EBD">
        <w:rPr>
          <w:rFonts w:ascii="Arial" w:hAnsi="Arial" w:cs="Arial"/>
          <w:b/>
          <w:bCs/>
          <w:iCs/>
          <w:sz w:val="20"/>
          <w:szCs w:val="20"/>
        </w:rPr>
        <w:t xml:space="preserve">of </w:t>
      </w:r>
      <w:r w:rsidR="00E8703A">
        <w:rPr>
          <w:rFonts w:ascii="Arial" w:hAnsi="Arial" w:cs="Arial"/>
          <w:b/>
          <w:bCs/>
          <w:iCs/>
          <w:sz w:val="20"/>
          <w:szCs w:val="20"/>
        </w:rPr>
        <w:t>11</w:t>
      </w:r>
      <w:r w:rsidR="00C42F61" w:rsidRPr="005359F5">
        <w:rPr>
          <w:rFonts w:ascii="Arial" w:hAnsi="Arial" w:cs="Arial"/>
          <w:b/>
          <w:bCs/>
          <w:iCs/>
          <w:sz w:val="20"/>
          <w:szCs w:val="20"/>
        </w:rPr>
        <w:t xml:space="preserve"> sectors</w:t>
      </w:r>
      <w:r w:rsidR="009A3768" w:rsidRPr="005359F5">
        <w:rPr>
          <w:rFonts w:ascii="Arial" w:hAnsi="Arial" w:cs="Arial"/>
          <w:b/>
          <w:bCs/>
          <w:iCs/>
          <w:sz w:val="20"/>
          <w:szCs w:val="20"/>
        </w:rPr>
        <w:t xml:space="preserve"> suffered losses in </w:t>
      </w:r>
      <w:r w:rsidR="00C42F61" w:rsidRPr="005359F5">
        <w:rPr>
          <w:rFonts w:ascii="Arial" w:hAnsi="Arial" w:cs="Arial"/>
          <w:b/>
          <w:bCs/>
          <w:iCs/>
          <w:sz w:val="20"/>
          <w:szCs w:val="20"/>
        </w:rPr>
        <w:t>2</w:t>
      </w:r>
      <w:r w:rsidR="009A3768" w:rsidRPr="005359F5">
        <w:rPr>
          <w:rFonts w:ascii="Arial" w:hAnsi="Arial" w:cs="Arial"/>
          <w:b/>
          <w:bCs/>
          <w:iCs/>
          <w:sz w:val="20"/>
          <w:szCs w:val="20"/>
        </w:rPr>
        <w:t>Q22</w:t>
      </w:r>
      <w:r w:rsidRPr="005359F5">
        <w:rPr>
          <w:rFonts w:ascii="Arial" w:hAnsi="Arial" w:cs="Arial"/>
          <w:b/>
          <w:bCs/>
          <w:iCs/>
          <w:sz w:val="20"/>
          <w:szCs w:val="20"/>
        </w:rPr>
        <w:t>.</w:t>
      </w:r>
      <w:bookmarkEnd w:id="1"/>
      <w:r w:rsidR="009A3768" w:rsidRPr="005359F5">
        <w:rPr>
          <w:rFonts w:ascii="Arial" w:hAnsi="Arial" w:cs="Arial"/>
          <w:b/>
          <w:bCs/>
          <w:iCs/>
          <w:sz w:val="20"/>
          <w:szCs w:val="20"/>
        </w:rPr>
        <w:t xml:space="preserve"> </w:t>
      </w:r>
      <w:r w:rsidR="00C17892" w:rsidRPr="00C17892">
        <w:rPr>
          <w:rFonts w:ascii="Arial" w:hAnsi="Arial" w:cs="Arial"/>
          <w:iCs/>
          <w:sz w:val="20"/>
          <w:szCs w:val="20"/>
        </w:rPr>
        <w:t>Surprisingly,</w:t>
      </w:r>
      <w:r w:rsidR="00C17892">
        <w:rPr>
          <w:rFonts w:ascii="Arial" w:hAnsi="Arial" w:cs="Arial"/>
          <w:b/>
          <w:bCs/>
          <w:iCs/>
          <w:sz w:val="20"/>
          <w:szCs w:val="20"/>
        </w:rPr>
        <w:t xml:space="preserve"> </w:t>
      </w:r>
      <w:r w:rsidR="00ED629A" w:rsidRPr="00E75C1B">
        <w:rPr>
          <w:rFonts w:ascii="Arial" w:hAnsi="Arial" w:cs="Arial"/>
          <w:iCs/>
          <w:sz w:val="20"/>
          <w:szCs w:val="20"/>
        </w:rPr>
        <w:t xml:space="preserve">the </w:t>
      </w:r>
      <w:r w:rsidR="00C17892" w:rsidRPr="00C17892">
        <w:rPr>
          <w:rFonts w:ascii="Arial" w:hAnsi="Arial" w:cs="Arial"/>
          <w:iCs/>
          <w:sz w:val="20"/>
          <w:szCs w:val="20"/>
        </w:rPr>
        <w:t>c</w:t>
      </w:r>
      <w:r w:rsidR="00E8703A">
        <w:rPr>
          <w:rFonts w:ascii="Arial" w:hAnsi="Arial" w:cs="Arial"/>
          <w:iCs/>
          <w:sz w:val="20"/>
          <w:szCs w:val="20"/>
        </w:rPr>
        <w:t>onsumer discretionary</w:t>
      </w:r>
      <w:r w:rsidR="00C17892">
        <w:rPr>
          <w:rFonts w:ascii="Arial" w:hAnsi="Arial" w:cs="Arial"/>
          <w:iCs/>
          <w:sz w:val="20"/>
          <w:szCs w:val="20"/>
        </w:rPr>
        <w:t xml:space="preserve"> sector</w:t>
      </w:r>
      <w:r w:rsidR="00E8703A">
        <w:rPr>
          <w:rFonts w:ascii="Arial" w:hAnsi="Arial" w:cs="Arial"/>
          <w:iCs/>
          <w:sz w:val="20"/>
          <w:szCs w:val="20"/>
        </w:rPr>
        <w:t xml:space="preserve"> gained 4.4%</w:t>
      </w:r>
      <w:r w:rsidR="00C17892">
        <w:rPr>
          <w:rFonts w:ascii="Arial" w:hAnsi="Arial" w:cs="Arial"/>
          <w:iCs/>
          <w:sz w:val="20"/>
          <w:szCs w:val="20"/>
        </w:rPr>
        <w:t xml:space="preserve"> for the quarter</w:t>
      </w:r>
      <w:r w:rsidR="00A14920">
        <w:rPr>
          <w:rFonts w:ascii="Arial" w:hAnsi="Arial" w:cs="Arial"/>
          <w:iCs/>
          <w:sz w:val="20"/>
          <w:szCs w:val="20"/>
        </w:rPr>
        <w:t>,</w:t>
      </w:r>
      <w:r w:rsidR="00E8703A">
        <w:rPr>
          <w:rFonts w:ascii="Arial" w:hAnsi="Arial" w:cs="Arial"/>
          <w:iCs/>
          <w:sz w:val="20"/>
          <w:szCs w:val="20"/>
        </w:rPr>
        <w:t xml:space="preserve"> helped by select stocks despite </w:t>
      </w:r>
      <w:r w:rsidR="00C17892">
        <w:rPr>
          <w:rFonts w:ascii="Arial" w:hAnsi="Arial" w:cs="Arial"/>
          <w:iCs/>
          <w:sz w:val="20"/>
          <w:szCs w:val="20"/>
        </w:rPr>
        <w:t xml:space="preserve">having a greater sensitivity to the overall business cycle. </w:t>
      </w:r>
      <w:r w:rsidR="00ED629A">
        <w:rPr>
          <w:rFonts w:ascii="Arial" w:hAnsi="Arial" w:cs="Arial"/>
          <w:iCs/>
          <w:sz w:val="20"/>
          <w:szCs w:val="20"/>
        </w:rPr>
        <w:t xml:space="preserve">However, it remains the second worst performing sector at -29.9% for the year. </w:t>
      </w:r>
      <w:r w:rsidR="00C17892">
        <w:rPr>
          <w:rFonts w:ascii="Arial" w:hAnsi="Arial" w:cs="Arial"/>
          <w:iCs/>
          <w:sz w:val="20"/>
          <w:szCs w:val="20"/>
        </w:rPr>
        <w:t xml:space="preserve">Similarly, </w:t>
      </w:r>
      <w:r w:rsidR="00A14920">
        <w:rPr>
          <w:rFonts w:ascii="Arial" w:hAnsi="Arial" w:cs="Arial"/>
          <w:iCs/>
          <w:sz w:val="20"/>
          <w:szCs w:val="20"/>
        </w:rPr>
        <w:t xml:space="preserve">the </w:t>
      </w:r>
      <w:r w:rsidR="00C17892">
        <w:rPr>
          <w:rFonts w:ascii="Arial" w:hAnsi="Arial" w:cs="Arial"/>
          <w:iCs/>
          <w:sz w:val="20"/>
          <w:szCs w:val="20"/>
        </w:rPr>
        <w:t>energy sector gained</w:t>
      </w:r>
      <w:r w:rsidR="00BF6B73">
        <w:rPr>
          <w:rFonts w:ascii="Arial" w:hAnsi="Arial" w:cs="Arial"/>
          <w:iCs/>
          <w:sz w:val="20"/>
          <w:szCs w:val="20"/>
        </w:rPr>
        <w:t xml:space="preserve"> 2.3% </w:t>
      </w:r>
      <w:r w:rsidR="00C17892">
        <w:rPr>
          <w:rFonts w:ascii="Arial" w:hAnsi="Arial" w:cs="Arial"/>
          <w:iCs/>
          <w:sz w:val="20"/>
          <w:szCs w:val="20"/>
        </w:rPr>
        <w:t>despite falling oil prices during the quarter</w:t>
      </w:r>
      <w:r w:rsidR="00ED629A">
        <w:rPr>
          <w:rFonts w:ascii="Arial" w:hAnsi="Arial" w:cs="Arial"/>
          <w:iCs/>
          <w:sz w:val="20"/>
          <w:szCs w:val="20"/>
        </w:rPr>
        <w:t xml:space="preserve"> and remains the</w:t>
      </w:r>
      <w:r w:rsidR="00DE2A0C" w:rsidRPr="005359F5">
        <w:rPr>
          <w:rFonts w:ascii="Arial" w:hAnsi="Arial" w:cs="Arial"/>
          <w:sz w:val="20"/>
          <w:szCs w:val="20"/>
        </w:rPr>
        <w:t xml:space="preserve"> only sector with positive returns of 3</w:t>
      </w:r>
      <w:r w:rsidR="00C17892">
        <w:rPr>
          <w:rFonts w:ascii="Arial" w:hAnsi="Arial" w:cs="Arial"/>
          <w:sz w:val="20"/>
          <w:szCs w:val="20"/>
        </w:rPr>
        <w:t>4.9</w:t>
      </w:r>
      <w:r w:rsidR="00DE2A0C" w:rsidRPr="005359F5">
        <w:rPr>
          <w:rFonts w:ascii="Arial" w:hAnsi="Arial" w:cs="Arial"/>
          <w:sz w:val="20"/>
          <w:szCs w:val="20"/>
        </w:rPr>
        <w:t>% for</w:t>
      </w:r>
      <w:r w:rsidR="00C17892">
        <w:rPr>
          <w:rFonts w:ascii="Arial" w:hAnsi="Arial" w:cs="Arial"/>
          <w:sz w:val="20"/>
          <w:szCs w:val="20"/>
        </w:rPr>
        <w:t xml:space="preserve"> the year</w:t>
      </w:r>
      <w:r w:rsidR="00DE2A0C" w:rsidRPr="005359F5">
        <w:rPr>
          <w:rFonts w:ascii="Arial" w:hAnsi="Arial" w:cs="Arial"/>
          <w:sz w:val="20"/>
          <w:szCs w:val="20"/>
        </w:rPr>
        <w:t>.</w:t>
      </w:r>
    </w:p>
    <w:p w14:paraId="72166649" w14:textId="77777777" w:rsidR="00DC2650" w:rsidRPr="00DC2650" w:rsidRDefault="00DC2650" w:rsidP="00DC2650">
      <w:pPr>
        <w:pStyle w:val="ListParagraph"/>
        <w:ind w:left="1440"/>
        <w:rPr>
          <w:rFonts w:ascii="Arial" w:hAnsi="Arial" w:cs="Arial"/>
          <w:iCs/>
          <w:sz w:val="20"/>
          <w:szCs w:val="20"/>
        </w:rPr>
      </w:pPr>
    </w:p>
    <w:p w14:paraId="3822CA92" w14:textId="2307BDF6" w:rsidR="002E5339" w:rsidRPr="00AE3FA3" w:rsidRDefault="00701F56" w:rsidP="00564559">
      <w:pPr>
        <w:pStyle w:val="ListParagraph"/>
        <w:numPr>
          <w:ilvl w:val="0"/>
          <w:numId w:val="3"/>
        </w:numPr>
        <w:rPr>
          <w:rFonts w:ascii="Arial" w:hAnsi="Arial" w:cs="Arial"/>
          <w:iCs/>
          <w:sz w:val="20"/>
          <w:szCs w:val="20"/>
        </w:rPr>
      </w:pPr>
      <w:bookmarkStart w:id="2" w:name="_Hlk84243081"/>
      <w:r>
        <w:rPr>
          <w:rFonts w:ascii="Arial" w:hAnsi="Arial" w:cs="Arial"/>
          <w:b/>
          <w:bCs/>
          <w:iCs/>
          <w:sz w:val="20"/>
          <w:szCs w:val="20"/>
        </w:rPr>
        <w:t>Value stocks reverse trends and underperform</w:t>
      </w:r>
      <w:r w:rsidR="00E70BFB">
        <w:rPr>
          <w:rFonts w:ascii="Arial" w:hAnsi="Arial" w:cs="Arial"/>
          <w:b/>
          <w:bCs/>
          <w:iCs/>
          <w:sz w:val="20"/>
          <w:szCs w:val="20"/>
        </w:rPr>
        <w:t xml:space="preserve">. </w:t>
      </w:r>
      <w:bookmarkStart w:id="3" w:name="_Hlk107914326"/>
      <w:bookmarkStart w:id="4" w:name="_Hlk107913760"/>
      <w:r w:rsidR="00E375AF" w:rsidRPr="00E375AF">
        <w:rPr>
          <w:rFonts w:ascii="Arial" w:hAnsi="Arial" w:cs="Arial"/>
          <w:iCs/>
          <w:sz w:val="20"/>
          <w:szCs w:val="20"/>
        </w:rPr>
        <w:t xml:space="preserve">Growth stocks are often synonymous with the high-flying </w:t>
      </w:r>
      <w:r w:rsidR="005C4E73">
        <w:rPr>
          <w:rFonts w:ascii="Arial" w:hAnsi="Arial" w:cs="Arial"/>
          <w:iCs/>
          <w:sz w:val="20"/>
          <w:szCs w:val="20"/>
        </w:rPr>
        <w:t>companies in</w:t>
      </w:r>
      <w:r w:rsidR="00E375AF" w:rsidRPr="00E375AF">
        <w:rPr>
          <w:rFonts w:ascii="Arial" w:hAnsi="Arial" w:cs="Arial"/>
          <w:iCs/>
          <w:sz w:val="20"/>
          <w:szCs w:val="20"/>
        </w:rPr>
        <w:t xml:space="preserve"> the markets like technology</w:t>
      </w:r>
      <w:r w:rsidR="00A14920">
        <w:rPr>
          <w:rFonts w:ascii="Arial" w:hAnsi="Arial" w:cs="Arial"/>
          <w:iCs/>
          <w:sz w:val="20"/>
          <w:szCs w:val="20"/>
        </w:rPr>
        <w:t>,</w:t>
      </w:r>
      <w:r w:rsidR="00E375AF" w:rsidRPr="00E375AF">
        <w:rPr>
          <w:rFonts w:ascii="Arial" w:hAnsi="Arial" w:cs="Arial"/>
          <w:iCs/>
          <w:sz w:val="20"/>
          <w:szCs w:val="20"/>
        </w:rPr>
        <w:t xml:space="preserve"> while value stocks are often considered </w:t>
      </w:r>
      <w:r w:rsidR="005C4E73">
        <w:rPr>
          <w:rFonts w:ascii="Arial" w:hAnsi="Arial" w:cs="Arial"/>
          <w:iCs/>
          <w:sz w:val="20"/>
          <w:szCs w:val="20"/>
        </w:rPr>
        <w:t>undervalued, steady</w:t>
      </w:r>
      <w:r w:rsidR="00A14920">
        <w:rPr>
          <w:rFonts w:ascii="Arial" w:hAnsi="Arial" w:cs="Arial"/>
          <w:iCs/>
          <w:sz w:val="20"/>
          <w:szCs w:val="20"/>
        </w:rPr>
        <w:t>,</w:t>
      </w:r>
      <w:r w:rsidR="00E375AF">
        <w:rPr>
          <w:rFonts w:ascii="Arial" w:hAnsi="Arial" w:cs="Arial"/>
          <w:iCs/>
          <w:sz w:val="20"/>
          <w:szCs w:val="20"/>
        </w:rPr>
        <w:t xml:space="preserve"> and</w:t>
      </w:r>
      <w:r w:rsidR="00E375AF" w:rsidRPr="00E375AF">
        <w:rPr>
          <w:rFonts w:ascii="Arial" w:hAnsi="Arial" w:cs="Arial"/>
          <w:iCs/>
          <w:sz w:val="20"/>
          <w:szCs w:val="20"/>
        </w:rPr>
        <w:t xml:space="preserve"> sometimes</w:t>
      </w:r>
      <w:r w:rsidR="00E375AF">
        <w:rPr>
          <w:rFonts w:ascii="Arial" w:hAnsi="Arial" w:cs="Arial"/>
          <w:iCs/>
          <w:sz w:val="20"/>
          <w:szCs w:val="20"/>
        </w:rPr>
        <w:t xml:space="preserve"> even</w:t>
      </w:r>
      <w:r w:rsidR="00E375AF" w:rsidRPr="00E375AF">
        <w:rPr>
          <w:rFonts w:ascii="Arial" w:hAnsi="Arial" w:cs="Arial"/>
          <w:iCs/>
          <w:sz w:val="20"/>
          <w:szCs w:val="20"/>
        </w:rPr>
        <w:t xml:space="preserve"> boring</w:t>
      </w:r>
      <w:bookmarkEnd w:id="3"/>
      <w:r w:rsidR="00E375AF">
        <w:rPr>
          <w:rFonts w:ascii="Arial" w:hAnsi="Arial" w:cs="Arial"/>
          <w:iCs/>
          <w:sz w:val="20"/>
          <w:szCs w:val="20"/>
        </w:rPr>
        <w:t xml:space="preserve">. </w:t>
      </w:r>
      <w:r>
        <w:rPr>
          <w:rFonts w:ascii="Arial" w:hAnsi="Arial" w:cs="Arial"/>
          <w:iCs/>
          <w:sz w:val="20"/>
          <w:szCs w:val="20"/>
        </w:rPr>
        <w:t xml:space="preserve">For the quarter, value stocks underperformed </w:t>
      </w:r>
      <w:r w:rsidR="006122CB">
        <w:rPr>
          <w:rFonts w:ascii="Arial" w:hAnsi="Arial" w:cs="Arial"/>
          <w:iCs/>
          <w:sz w:val="20"/>
          <w:szCs w:val="20"/>
        </w:rPr>
        <w:t xml:space="preserve">their </w:t>
      </w:r>
      <w:r>
        <w:rPr>
          <w:rFonts w:ascii="Arial" w:hAnsi="Arial" w:cs="Arial"/>
          <w:iCs/>
          <w:sz w:val="20"/>
          <w:szCs w:val="20"/>
        </w:rPr>
        <w:t>growth counterparts, a reversa</w:t>
      </w:r>
      <w:r w:rsidR="00165B25">
        <w:rPr>
          <w:rFonts w:ascii="Arial" w:hAnsi="Arial" w:cs="Arial"/>
          <w:iCs/>
          <w:sz w:val="20"/>
          <w:szCs w:val="20"/>
        </w:rPr>
        <w:t>l in trends</w:t>
      </w:r>
      <w:r>
        <w:rPr>
          <w:rFonts w:ascii="Arial" w:hAnsi="Arial" w:cs="Arial"/>
          <w:iCs/>
          <w:sz w:val="20"/>
          <w:szCs w:val="20"/>
        </w:rPr>
        <w:t xml:space="preserve"> from the prior quarter</w:t>
      </w:r>
      <w:r w:rsidR="00AE3FA3" w:rsidRPr="00AE3FA3">
        <w:rPr>
          <w:rFonts w:ascii="Arial" w:hAnsi="Arial" w:cs="Arial"/>
          <w:iCs/>
          <w:sz w:val="20"/>
          <w:szCs w:val="20"/>
        </w:rPr>
        <w:t>.</w:t>
      </w:r>
      <w:bookmarkEnd w:id="2"/>
      <w:bookmarkEnd w:id="4"/>
      <w:r w:rsidR="00165B25">
        <w:rPr>
          <w:rFonts w:ascii="Arial" w:hAnsi="Arial" w:cs="Arial"/>
          <w:iCs/>
          <w:sz w:val="20"/>
          <w:szCs w:val="20"/>
        </w:rPr>
        <w:t xml:space="preserve"> </w:t>
      </w:r>
      <w:r>
        <w:rPr>
          <w:rFonts w:ascii="Arial" w:hAnsi="Arial" w:cs="Arial"/>
          <w:iCs/>
          <w:sz w:val="20"/>
          <w:szCs w:val="20"/>
        </w:rPr>
        <w:t xml:space="preserve">Still, large-growth stocks are on pace to have their worst year since 2008. </w:t>
      </w:r>
    </w:p>
    <w:p w14:paraId="5A40AC3A" w14:textId="286BB953" w:rsidR="009A3768" w:rsidRPr="009A3768" w:rsidRDefault="009A3768" w:rsidP="009A3768">
      <w:pPr>
        <w:pStyle w:val="ListParagraph"/>
        <w:rPr>
          <w:rFonts w:ascii="Arial" w:hAnsi="Arial" w:cs="Arial"/>
          <w:b/>
          <w:bCs/>
          <w:iCs/>
          <w:sz w:val="20"/>
          <w:szCs w:val="20"/>
        </w:rPr>
      </w:pPr>
    </w:p>
    <w:p w14:paraId="35665A73" w14:textId="472FF878" w:rsidR="008106A5" w:rsidRPr="008106A5" w:rsidRDefault="00D92610" w:rsidP="00EE51D2">
      <w:pPr>
        <w:pStyle w:val="ListParagraph"/>
        <w:numPr>
          <w:ilvl w:val="0"/>
          <w:numId w:val="3"/>
        </w:numPr>
        <w:rPr>
          <w:rFonts w:ascii="Arial" w:hAnsi="Arial" w:cs="Arial"/>
          <w:b/>
          <w:bCs/>
          <w:iCs/>
          <w:sz w:val="20"/>
          <w:szCs w:val="20"/>
        </w:rPr>
      </w:pPr>
      <w:r w:rsidRPr="008106A5">
        <w:rPr>
          <w:rFonts w:ascii="Arial" w:hAnsi="Arial" w:cs="Arial"/>
          <w:b/>
          <w:bCs/>
          <w:iCs/>
          <w:sz w:val="20"/>
          <w:szCs w:val="20"/>
        </w:rPr>
        <w:t>I</w:t>
      </w:r>
      <w:r w:rsidR="004C4F52" w:rsidRPr="008106A5">
        <w:rPr>
          <w:rFonts w:ascii="Arial" w:hAnsi="Arial" w:cs="Arial"/>
          <w:b/>
          <w:bCs/>
          <w:iCs/>
          <w:sz w:val="20"/>
          <w:szCs w:val="20"/>
        </w:rPr>
        <w:t xml:space="preserve">nternational </w:t>
      </w:r>
      <w:r w:rsidR="00C3563C" w:rsidRPr="008106A5">
        <w:rPr>
          <w:rFonts w:ascii="Arial" w:hAnsi="Arial" w:cs="Arial"/>
          <w:b/>
          <w:bCs/>
          <w:iCs/>
          <w:sz w:val="20"/>
          <w:szCs w:val="20"/>
        </w:rPr>
        <w:t>equities</w:t>
      </w:r>
      <w:r w:rsidRPr="008106A5">
        <w:rPr>
          <w:rFonts w:ascii="Arial" w:hAnsi="Arial" w:cs="Arial"/>
          <w:b/>
          <w:bCs/>
          <w:iCs/>
          <w:sz w:val="20"/>
          <w:szCs w:val="20"/>
        </w:rPr>
        <w:t xml:space="preserve"> </w:t>
      </w:r>
      <w:r w:rsidR="00A32704">
        <w:rPr>
          <w:rFonts w:ascii="Arial" w:hAnsi="Arial" w:cs="Arial"/>
          <w:b/>
          <w:bCs/>
          <w:iCs/>
          <w:sz w:val="20"/>
          <w:szCs w:val="20"/>
        </w:rPr>
        <w:t>underperformed</w:t>
      </w:r>
      <w:r w:rsidRPr="008106A5">
        <w:rPr>
          <w:rFonts w:ascii="Arial" w:hAnsi="Arial" w:cs="Arial"/>
          <w:b/>
          <w:bCs/>
          <w:iCs/>
          <w:sz w:val="20"/>
          <w:szCs w:val="20"/>
        </w:rPr>
        <w:t xml:space="preserve"> US equities in </w:t>
      </w:r>
      <w:r w:rsidR="00A32704">
        <w:rPr>
          <w:rFonts w:ascii="Arial" w:hAnsi="Arial" w:cs="Arial"/>
          <w:b/>
          <w:bCs/>
          <w:iCs/>
          <w:sz w:val="20"/>
          <w:szCs w:val="20"/>
        </w:rPr>
        <w:t>3</w:t>
      </w:r>
      <w:r w:rsidRPr="008106A5">
        <w:rPr>
          <w:rFonts w:ascii="Arial" w:hAnsi="Arial" w:cs="Arial"/>
          <w:b/>
          <w:bCs/>
          <w:iCs/>
          <w:sz w:val="20"/>
          <w:szCs w:val="20"/>
        </w:rPr>
        <w:t>Q22.</w:t>
      </w:r>
      <w:r w:rsidR="00D00FC8">
        <w:rPr>
          <w:rFonts w:ascii="Arial" w:hAnsi="Arial" w:cs="Arial"/>
          <w:b/>
          <w:bCs/>
          <w:iCs/>
          <w:sz w:val="20"/>
          <w:szCs w:val="20"/>
        </w:rPr>
        <w:t xml:space="preserve"> </w:t>
      </w:r>
      <w:r w:rsidR="00965F92" w:rsidRPr="00D00FC8">
        <w:rPr>
          <w:rFonts w:ascii="Arial" w:hAnsi="Arial" w:cs="Arial"/>
          <w:iCs/>
          <w:sz w:val="20"/>
          <w:szCs w:val="20"/>
        </w:rPr>
        <w:t xml:space="preserve">Developed </w:t>
      </w:r>
      <w:r w:rsidR="008106A5" w:rsidRPr="00D00FC8">
        <w:rPr>
          <w:rFonts w:ascii="Arial" w:hAnsi="Arial" w:cs="Arial"/>
          <w:iCs/>
          <w:sz w:val="20"/>
          <w:szCs w:val="20"/>
        </w:rPr>
        <w:t>international, emerging</w:t>
      </w:r>
      <w:r w:rsidR="004C4F52" w:rsidRPr="00D00FC8">
        <w:rPr>
          <w:rFonts w:ascii="Arial" w:hAnsi="Arial" w:cs="Arial"/>
          <w:iCs/>
          <w:sz w:val="20"/>
          <w:szCs w:val="20"/>
        </w:rPr>
        <w:t xml:space="preserve"> markets</w:t>
      </w:r>
      <w:r w:rsidR="00C3563C" w:rsidRPr="00D00FC8">
        <w:rPr>
          <w:rFonts w:ascii="Arial" w:hAnsi="Arial" w:cs="Arial"/>
          <w:iCs/>
          <w:sz w:val="20"/>
          <w:szCs w:val="20"/>
        </w:rPr>
        <w:t xml:space="preserve"> </w:t>
      </w:r>
      <w:r w:rsidR="00362ADF" w:rsidRPr="00D00FC8">
        <w:rPr>
          <w:rFonts w:ascii="Arial" w:hAnsi="Arial" w:cs="Arial"/>
          <w:iCs/>
          <w:sz w:val="20"/>
          <w:szCs w:val="20"/>
        </w:rPr>
        <w:t xml:space="preserve">ended </w:t>
      </w:r>
      <w:r w:rsidR="00A32704">
        <w:rPr>
          <w:rFonts w:ascii="Arial" w:hAnsi="Arial" w:cs="Arial"/>
          <w:iCs/>
          <w:sz w:val="20"/>
          <w:szCs w:val="20"/>
        </w:rPr>
        <w:t>3</w:t>
      </w:r>
      <w:r w:rsidR="00362ADF" w:rsidRPr="00D00FC8">
        <w:rPr>
          <w:rFonts w:ascii="Arial" w:hAnsi="Arial" w:cs="Arial"/>
          <w:iCs/>
          <w:sz w:val="20"/>
          <w:szCs w:val="20"/>
        </w:rPr>
        <w:t xml:space="preserve">Q22 </w:t>
      </w:r>
      <w:r w:rsidR="00C3563C" w:rsidRPr="00D00FC8">
        <w:rPr>
          <w:rFonts w:ascii="Arial" w:hAnsi="Arial" w:cs="Arial"/>
          <w:iCs/>
          <w:sz w:val="20"/>
          <w:szCs w:val="20"/>
        </w:rPr>
        <w:t>at -</w:t>
      </w:r>
      <w:r w:rsidR="00A32704">
        <w:rPr>
          <w:rFonts w:ascii="Arial" w:hAnsi="Arial" w:cs="Arial"/>
          <w:iCs/>
          <w:sz w:val="20"/>
          <w:szCs w:val="20"/>
        </w:rPr>
        <w:t>9.3</w:t>
      </w:r>
      <w:r w:rsidR="004C4F52" w:rsidRPr="00D00FC8">
        <w:rPr>
          <w:rFonts w:ascii="Arial" w:hAnsi="Arial" w:cs="Arial"/>
          <w:iCs/>
          <w:sz w:val="20"/>
          <w:szCs w:val="20"/>
        </w:rPr>
        <w:t xml:space="preserve"> %</w:t>
      </w:r>
      <w:r w:rsidR="00965F92" w:rsidRPr="00D00FC8">
        <w:rPr>
          <w:rFonts w:ascii="Arial" w:hAnsi="Arial" w:cs="Arial"/>
          <w:iCs/>
          <w:sz w:val="20"/>
          <w:szCs w:val="20"/>
        </w:rPr>
        <w:t xml:space="preserve"> and</w:t>
      </w:r>
      <w:r w:rsidR="004C4F52" w:rsidRPr="00D00FC8">
        <w:rPr>
          <w:rFonts w:ascii="Arial" w:hAnsi="Arial" w:cs="Arial"/>
          <w:iCs/>
          <w:sz w:val="20"/>
          <w:szCs w:val="20"/>
        </w:rPr>
        <w:t xml:space="preserve"> </w:t>
      </w:r>
      <w:r w:rsidR="00C3563C" w:rsidRPr="00D00FC8">
        <w:rPr>
          <w:rFonts w:ascii="Arial" w:hAnsi="Arial" w:cs="Arial"/>
          <w:iCs/>
          <w:sz w:val="20"/>
          <w:szCs w:val="20"/>
        </w:rPr>
        <w:t>-11.</w:t>
      </w:r>
      <w:r w:rsidR="00A32704">
        <w:rPr>
          <w:rFonts w:ascii="Arial" w:hAnsi="Arial" w:cs="Arial"/>
          <w:iCs/>
          <w:sz w:val="20"/>
          <w:szCs w:val="20"/>
        </w:rPr>
        <w:t>4</w:t>
      </w:r>
      <w:r w:rsidR="004C4F52" w:rsidRPr="00D00FC8">
        <w:rPr>
          <w:rFonts w:ascii="Arial" w:hAnsi="Arial" w:cs="Arial"/>
          <w:iCs/>
          <w:sz w:val="20"/>
          <w:szCs w:val="20"/>
        </w:rPr>
        <w:t>%</w:t>
      </w:r>
      <w:r w:rsidR="00A14920">
        <w:rPr>
          <w:rFonts w:ascii="Arial" w:hAnsi="Arial" w:cs="Arial"/>
          <w:iCs/>
          <w:sz w:val="20"/>
          <w:szCs w:val="20"/>
        </w:rPr>
        <w:t>,</w:t>
      </w:r>
      <w:r w:rsidR="00A32704">
        <w:rPr>
          <w:rFonts w:ascii="Arial" w:hAnsi="Arial" w:cs="Arial"/>
          <w:iCs/>
          <w:sz w:val="20"/>
          <w:szCs w:val="20"/>
        </w:rPr>
        <w:t xml:space="preserve"> respectively</w:t>
      </w:r>
      <w:r w:rsidR="00A14920">
        <w:rPr>
          <w:rFonts w:ascii="Arial" w:hAnsi="Arial" w:cs="Arial"/>
          <w:iCs/>
          <w:sz w:val="20"/>
          <w:szCs w:val="20"/>
        </w:rPr>
        <w:t>,</w:t>
      </w:r>
      <w:r w:rsidR="009D5C86" w:rsidRPr="00D00FC8">
        <w:rPr>
          <w:rFonts w:ascii="Arial" w:hAnsi="Arial" w:cs="Arial"/>
          <w:iCs/>
          <w:sz w:val="20"/>
          <w:szCs w:val="20"/>
        </w:rPr>
        <w:t xml:space="preserve"> </w:t>
      </w:r>
      <w:r w:rsidR="00A32704">
        <w:rPr>
          <w:rFonts w:ascii="Arial" w:hAnsi="Arial" w:cs="Arial"/>
          <w:iCs/>
          <w:sz w:val="20"/>
          <w:szCs w:val="20"/>
        </w:rPr>
        <w:t>as the energy crisis and recession fears continued to roil European economies while China continue</w:t>
      </w:r>
      <w:r w:rsidR="00E75C1B">
        <w:rPr>
          <w:rFonts w:ascii="Arial" w:hAnsi="Arial" w:cs="Arial"/>
          <w:iCs/>
          <w:sz w:val="20"/>
          <w:szCs w:val="20"/>
        </w:rPr>
        <w:t>d</w:t>
      </w:r>
      <w:r w:rsidR="00A32704">
        <w:rPr>
          <w:rFonts w:ascii="Arial" w:hAnsi="Arial" w:cs="Arial"/>
          <w:iCs/>
          <w:sz w:val="20"/>
          <w:szCs w:val="20"/>
        </w:rPr>
        <w:t xml:space="preserve"> to struggle under its zero COVID policy</w:t>
      </w:r>
      <w:r w:rsidR="004C4F52" w:rsidRPr="00D00FC8">
        <w:rPr>
          <w:rFonts w:ascii="Arial" w:hAnsi="Arial" w:cs="Arial"/>
          <w:iCs/>
          <w:sz w:val="20"/>
          <w:szCs w:val="20"/>
        </w:rPr>
        <w:t>.</w:t>
      </w:r>
      <w:r w:rsidR="00D00FC8">
        <w:rPr>
          <w:rFonts w:ascii="Arial" w:hAnsi="Arial" w:cs="Arial"/>
          <w:b/>
          <w:bCs/>
          <w:iCs/>
          <w:sz w:val="20"/>
          <w:szCs w:val="20"/>
        </w:rPr>
        <w:t xml:space="preserve"> </w:t>
      </w:r>
      <w:r w:rsidR="0010409D">
        <w:rPr>
          <w:rFonts w:ascii="Arial" w:hAnsi="Arial" w:cs="Arial"/>
          <w:iCs/>
          <w:sz w:val="20"/>
          <w:szCs w:val="20"/>
        </w:rPr>
        <w:t>A strong dollar also had a significant impact</w:t>
      </w:r>
      <w:r w:rsidR="00362ADF" w:rsidRPr="008106A5">
        <w:rPr>
          <w:rFonts w:ascii="Arial" w:hAnsi="Arial" w:cs="Arial"/>
          <w:iCs/>
          <w:sz w:val="20"/>
          <w:szCs w:val="20"/>
        </w:rPr>
        <w:t xml:space="preserve">. Generally </w:t>
      </w:r>
      <w:r w:rsidR="008106A5" w:rsidRPr="008106A5">
        <w:rPr>
          <w:rFonts w:ascii="Arial" w:hAnsi="Arial" w:cs="Arial"/>
          <w:iCs/>
          <w:sz w:val="20"/>
          <w:szCs w:val="20"/>
        </w:rPr>
        <w:t>speaking,</w:t>
      </w:r>
      <w:r w:rsidR="00362ADF" w:rsidRPr="008106A5">
        <w:rPr>
          <w:rFonts w:ascii="Arial" w:hAnsi="Arial" w:cs="Arial"/>
          <w:iCs/>
          <w:sz w:val="20"/>
          <w:szCs w:val="20"/>
        </w:rPr>
        <w:t xml:space="preserve"> a stronger dollar translates to lower returns for international investments</w:t>
      </w:r>
      <w:r w:rsidR="0010409D">
        <w:rPr>
          <w:rFonts w:ascii="Arial" w:hAnsi="Arial" w:cs="Arial"/>
          <w:iCs/>
          <w:sz w:val="20"/>
          <w:szCs w:val="20"/>
        </w:rPr>
        <w:t xml:space="preserve">. This can </w:t>
      </w:r>
      <w:r w:rsidR="00D170DD">
        <w:rPr>
          <w:rFonts w:ascii="Arial" w:hAnsi="Arial" w:cs="Arial"/>
          <w:iCs/>
          <w:sz w:val="20"/>
          <w:szCs w:val="20"/>
        </w:rPr>
        <w:t xml:space="preserve">be seen </w:t>
      </w:r>
      <w:r w:rsidR="0010409D">
        <w:rPr>
          <w:rFonts w:ascii="Arial" w:hAnsi="Arial" w:cs="Arial"/>
          <w:iCs/>
          <w:sz w:val="20"/>
          <w:szCs w:val="20"/>
        </w:rPr>
        <w:t>in</w:t>
      </w:r>
      <w:r w:rsidR="00D170DD">
        <w:rPr>
          <w:rFonts w:ascii="Arial" w:hAnsi="Arial" w:cs="Arial"/>
          <w:iCs/>
          <w:sz w:val="20"/>
          <w:szCs w:val="20"/>
        </w:rPr>
        <w:t xml:space="preserve"> its</w:t>
      </w:r>
      <w:r w:rsidR="0010409D">
        <w:rPr>
          <w:rFonts w:ascii="Arial" w:hAnsi="Arial" w:cs="Arial"/>
          <w:iCs/>
          <w:sz w:val="20"/>
          <w:szCs w:val="20"/>
        </w:rPr>
        <w:t xml:space="preserve"> </w:t>
      </w:r>
      <w:r w:rsidR="008106A5" w:rsidRPr="008106A5">
        <w:rPr>
          <w:rFonts w:ascii="Arial" w:hAnsi="Arial" w:cs="Arial"/>
          <w:iCs/>
          <w:sz w:val="20"/>
          <w:szCs w:val="20"/>
        </w:rPr>
        <w:t>local currency</w:t>
      </w:r>
      <w:r w:rsidR="0010409D">
        <w:rPr>
          <w:rFonts w:ascii="Arial" w:hAnsi="Arial" w:cs="Arial"/>
          <w:iCs/>
          <w:sz w:val="20"/>
          <w:szCs w:val="20"/>
        </w:rPr>
        <w:t xml:space="preserve"> returns</w:t>
      </w:r>
      <w:r w:rsidR="00EE05A2">
        <w:rPr>
          <w:rFonts w:ascii="Arial" w:hAnsi="Arial" w:cs="Arial"/>
          <w:iCs/>
          <w:sz w:val="20"/>
          <w:szCs w:val="20"/>
        </w:rPr>
        <w:t>,</w:t>
      </w:r>
      <w:r w:rsidR="0010409D">
        <w:rPr>
          <w:rFonts w:ascii="Arial" w:hAnsi="Arial" w:cs="Arial"/>
          <w:iCs/>
          <w:sz w:val="20"/>
          <w:szCs w:val="20"/>
        </w:rPr>
        <w:t xml:space="preserve"> </w:t>
      </w:r>
      <w:r w:rsidR="00D725BE">
        <w:rPr>
          <w:rFonts w:ascii="Arial" w:hAnsi="Arial" w:cs="Arial"/>
          <w:iCs/>
          <w:sz w:val="20"/>
          <w:szCs w:val="20"/>
        </w:rPr>
        <w:t xml:space="preserve">especially </w:t>
      </w:r>
      <w:r w:rsidR="0010409D">
        <w:rPr>
          <w:rFonts w:ascii="Arial" w:hAnsi="Arial" w:cs="Arial"/>
          <w:iCs/>
          <w:sz w:val="20"/>
          <w:szCs w:val="20"/>
        </w:rPr>
        <w:t xml:space="preserve">for </w:t>
      </w:r>
      <w:r w:rsidR="008106A5" w:rsidRPr="008106A5">
        <w:rPr>
          <w:rFonts w:ascii="Arial" w:hAnsi="Arial" w:cs="Arial"/>
          <w:iCs/>
          <w:sz w:val="20"/>
          <w:szCs w:val="20"/>
        </w:rPr>
        <w:t>developed international</w:t>
      </w:r>
      <w:r w:rsidR="00EE05A2">
        <w:rPr>
          <w:rFonts w:ascii="Arial" w:hAnsi="Arial" w:cs="Arial"/>
          <w:iCs/>
          <w:sz w:val="20"/>
          <w:szCs w:val="20"/>
        </w:rPr>
        <w:t>,</w:t>
      </w:r>
      <w:r w:rsidR="008106A5" w:rsidRPr="008106A5">
        <w:rPr>
          <w:rFonts w:ascii="Arial" w:hAnsi="Arial" w:cs="Arial"/>
          <w:iCs/>
          <w:sz w:val="20"/>
          <w:szCs w:val="20"/>
        </w:rPr>
        <w:t xml:space="preserve"> </w:t>
      </w:r>
      <w:r w:rsidR="0010409D">
        <w:rPr>
          <w:rFonts w:ascii="Arial" w:hAnsi="Arial" w:cs="Arial"/>
          <w:iCs/>
          <w:sz w:val="20"/>
          <w:szCs w:val="20"/>
        </w:rPr>
        <w:t xml:space="preserve">which </w:t>
      </w:r>
      <w:r w:rsidR="008106A5" w:rsidRPr="008106A5">
        <w:rPr>
          <w:rFonts w:ascii="Arial" w:hAnsi="Arial" w:cs="Arial"/>
          <w:iCs/>
          <w:sz w:val="20"/>
          <w:szCs w:val="20"/>
        </w:rPr>
        <w:t xml:space="preserve">ended </w:t>
      </w:r>
      <w:r w:rsidR="00A32704">
        <w:rPr>
          <w:rFonts w:ascii="Arial" w:hAnsi="Arial" w:cs="Arial"/>
          <w:iCs/>
          <w:sz w:val="20"/>
          <w:szCs w:val="20"/>
        </w:rPr>
        <w:t>3</w:t>
      </w:r>
      <w:r w:rsidR="008106A5" w:rsidRPr="008106A5">
        <w:rPr>
          <w:rFonts w:ascii="Arial" w:hAnsi="Arial" w:cs="Arial"/>
          <w:iCs/>
          <w:sz w:val="20"/>
          <w:szCs w:val="20"/>
        </w:rPr>
        <w:t>Q22 at -</w:t>
      </w:r>
      <w:r w:rsidR="00D725BE">
        <w:rPr>
          <w:rFonts w:ascii="Arial" w:hAnsi="Arial" w:cs="Arial"/>
          <w:iCs/>
          <w:sz w:val="20"/>
          <w:szCs w:val="20"/>
        </w:rPr>
        <w:t>3.5</w:t>
      </w:r>
      <w:r w:rsidR="008106A5" w:rsidRPr="008106A5">
        <w:rPr>
          <w:rFonts w:ascii="Arial" w:hAnsi="Arial" w:cs="Arial"/>
          <w:iCs/>
          <w:sz w:val="20"/>
          <w:szCs w:val="20"/>
        </w:rPr>
        <w:t>%</w:t>
      </w:r>
      <w:r w:rsidR="00D725BE">
        <w:rPr>
          <w:rFonts w:ascii="Arial" w:hAnsi="Arial" w:cs="Arial"/>
          <w:iCs/>
          <w:sz w:val="20"/>
          <w:szCs w:val="20"/>
        </w:rPr>
        <w:t>. In local currency, this would put it as one of the better performing developed market equity markets without the currency drag</w:t>
      </w:r>
      <w:r w:rsidR="008106A5" w:rsidRPr="008106A5">
        <w:rPr>
          <w:rFonts w:ascii="Arial" w:hAnsi="Arial" w:cs="Arial"/>
          <w:iCs/>
          <w:sz w:val="20"/>
          <w:szCs w:val="20"/>
        </w:rPr>
        <w:t xml:space="preserve">. </w:t>
      </w:r>
    </w:p>
    <w:p w14:paraId="2367BFF4" w14:textId="747CD7B4" w:rsidR="008106A5" w:rsidRPr="008106A5" w:rsidRDefault="008106A5" w:rsidP="008106A5">
      <w:pPr>
        <w:pStyle w:val="ListParagraph"/>
        <w:ind w:left="1440"/>
        <w:rPr>
          <w:rFonts w:ascii="Arial" w:hAnsi="Arial" w:cs="Arial"/>
          <w:b/>
          <w:bCs/>
          <w:iCs/>
          <w:sz w:val="20"/>
          <w:szCs w:val="20"/>
        </w:rPr>
      </w:pPr>
    </w:p>
    <w:p w14:paraId="73045D4F" w14:textId="165BDBC1" w:rsidR="00203FA8" w:rsidRPr="002E5339" w:rsidRDefault="00165B25" w:rsidP="00F94060">
      <w:pPr>
        <w:pStyle w:val="ListParagraph"/>
        <w:numPr>
          <w:ilvl w:val="0"/>
          <w:numId w:val="3"/>
        </w:numPr>
        <w:rPr>
          <w:rFonts w:ascii="Arial" w:hAnsi="Arial" w:cs="Arial"/>
          <w:b/>
          <w:bCs/>
          <w:iCs/>
          <w:sz w:val="20"/>
          <w:szCs w:val="20"/>
        </w:rPr>
      </w:pPr>
      <w:bookmarkStart w:id="5" w:name="_Hlk84243097"/>
      <w:r>
        <w:rPr>
          <w:rFonts w:ascii="Arial" w:hAnsi="Arial" w:cs="Arial"/>
          <w:b/>
          <w:bCs/>
          <w:iCs/>
          <w:sz w:val="20"/>
          <w:szCs w:val="20"/>
        </w:rPr>
        <w:t>Bonds post steep losses in the third quarter.</w:t>
      </w:r>
      <w:r w:rsidR="00B61730">
        <w:rPr>
          <w:rFonts w:ascii="Arial" w:hAnsi="Arial" w:cs="Arial"/>
          <w:b/>
          <w:bCs/>
          <w:iCs/>
          <w:sz w:val="20"/>
          <w:szCs w:val="20"/>
        </w:rPr>
        <w:t xml:space="preserve"> </w:t>
      </w:r>
      <w:r w:rsidR="00203FA8" w:rsidRPr="002E5339">
        <w:rPr>
          <w:rFonts w:ascii="Arial" w:hAnsi="Arial" w:cs="Arial"/>
          <w:iCs/>
          <w:sz w:val="20"/>
          <w:szCs w:val="20"/>
        </w:rPr>
        <w:t xml:space="preserve">US bonds </w:t>
      </w:r>
      <w:r w:rsidR="00AE05E9">
        <w:rPr>
          <w:rFonts w:ascii="Arial" w:hAnsi="Arial" w:cs="Arial"/>
          <w:iCs/>
          <w:sz w:val="20"/>
          <w:szCs w:val="20"/>
        </w:rPr>
        <w:t xml:space="preserve">fell </w:t>
      </w:r>
      <w:r w:rsidR="00DE2A0C">
        <w:rPr>
          <w:rFonts w:ascii="Arial" w:hAnsi="Arial" w:cs="Arial"/>
          <w:iCs/>
          <w:sz w:val="20"/>
          <w:szCs w:val="20"/>
        </w:rPr>
        <w:t>4.</w:t>
      </w:r>
      <w:r>
        <w:rPr>
          <w:rFonts w:ascii="Arial" w:hAnsi="Arial" w:cs="Arial"/>
          <w:iCs/>
          <w:sz w:val="20"/>
          <w:szCs w:val="20"/>
        </w:rPr>
        <w:t>8</w:t>
      </w:r>
      <w:r w:rsidR="00203FA8" w:rsidRPr="002E5339">
        <w:rPr>
          <w:rFonts w:ascii="Arial" w:hAnsi="Arial" w:cs="Arial"/>
          <w:iCs/>
          <w:sz w:val="20"/>
          <w:szCs w:val="20"/>
        </w:rPr>
        <w:t xml:space="preserve">% </w:t>
      </w:r>
      <w:r w:rsidR="00E826D9">
        <w:rPr>
          <w:rFonts w:ascii="Arial" w:hAnsi="Arial" w:cs="Arial"/>
          <w:iCs/>
          <w:sz w:val="20"/>
          <w:szCs w:val="20"/>
        </w:rPr>
        <w:t>in the quarter</w:t>
      </w:r>
      <w:r>
        <w:rPr>
          <w:rFonts w:ascii="Arial" w:hAnsi="Arial" w:cs="Arial"/>
          <w:iCs/>
          <w:sz w:val="20"/>
          <w:szCs w:val="20"/>
        </w:rPr>
        <w:t xml:space="preserve"> as</w:t>
      </w:r>
      <w:r w:rsidR="00E826D9">
        <w:rPr>
          <w:rFonts w:ascii="Arial" w:hAnsi="Arial" w:cs="Arial"/>
          <w:iCs/>
          <w:sz w:val="20"/>
          <w:szCs w:val="20"/>
        </w:rPr>
        <w:t xml:space="preserve"> the </w:t>
      </w:r>
      <w:r w:rsidR="00EE05A2">
        <w:rPr>
          <w:rFonts w:ascii="Arial" w:hAnsi="Arial" w:cs="Arial"/>
          <w:iCs/>
          <w:sz w:val="20"/>
          <w:szCs w:val="20"/>
        </w:rPr>
        <w:t xml:space="preserve">Fed's </w:t>
      </w:r>
      <w:r w:rsidR="00E826D9">
        <w:rPr>
          <w:rFonts w:ascii="Arial" w:hAnsi="Arial" w:cs="Arial"/>
          <w:iCs/>
          <w:sz w:val="20"/>
          <w:szCs w:val="20"/>
        </w:rPr>
        <w:t xml:space="preserve">aggressive </w:t>
      </w:r>
      <w:r>
        <w:rPr>
          <w:rFonts w:ascii="Arial" w:hAnsi="Arial" w:cs="Arial"/>
          <w:iCs/>
          <w:sz w:val="20"/>
          <w:szCs w:val="20"/>
        </w:rPr>
        <w:t>efforts to tame inflation brought two more rate hikes</w:t>
      </w:r>
      <w:r w:rsidR="00F8695B">
        <w:rPr>
          <w:rFonts w:ascii="Arial" w:hAnsi="Arial" w:cs="Arial"/>
          <w:iCs/>
          <w:sz w:val="20"/>
          <w:szCs w:val="20"/>
        </w:rPr>
        <w:t xml:space="preserve"> of 0.75%</w:t>
      </w:r>
      <w:r>
        <w:rPr>
          <w:rFonts w:ascii="Arial" w:hAnsi="Arial" w:cs="Arial"/>
          <w:iCs/>
          <w:sz w:val="20"/>
          <w:szCs w:val="20"/>
        </w:rPr>
        <w:t>, raising the effective federal-funds rate to 3.00%-3.25%, its highest level since 2008.</w:t>
      </w:r>
      <w:r w:rsidR="00E826D9">
        <w:rPr>
          <w:rFonts w:ascii="Arial" w:hAnsi="Arial" w:cs="Arial"/>
          <w:iCs/>
          <w:sz w:val="20"/>
          <w:szCs w:val="20"/>
        </w:rPr>
        <w:t xml:space="preserve"> </w:t>
      </w:r>
      <w:r w:rsidR="00174AD5">
        <w:rPr>
          <w:rFonts w:ascii="Arial" w:hAnsi="Arial" w:cs="Arial"/>
          <w:iCs/>
          <w:sz w:val="20"/>
          <w:szCs w:val="20"/>
        </w:rPr>
        <w:t xml:space="preserve">Despite higher inflation, TIPS </w:t>
      </w:r>
      <w:r w:rsidR="00BF6B73">
        <w:rPr>
          <w:rFonts w:ascii="Arial" w:hAnsi="Arial" w:cs="Arial"/>
          <w:iCs/>
          <w:sz w:val="20"/>
          <w:szCs w:val="20"/>
        </w:rPr>
        <w:t>fell 5.1</w:t>
      </w:r>
      <w:r w:rsidR="00174AD5">
        <w:rPr>
          <w:rFonts w:ascii="Arial" w:hAnsi="Arial" w:cs="Arial"/>
          <w:iCs/>
          <w:sz w:val="20"/>
          <w:szCs w:val="20"/>
        </w:rPr>
        <w:t>% due to rising rates</w:t>
      </w:r>
      <w:r w:rsidR="00BF6B73">
        <w:rPr>
          <w:rFonts w:ascii="Arial" w:hAnsi="Arial" w:cs="Arial"/>
          <w:iCs/>
          <w:sz w:val="20"/>
          <w:szCs w:val="20"/>
        </w:rPr>
        <w:t xml:space="preserve"> despite inflation concerns</w:t>
      </w:r>
      <w:r w:rsidR="00174AD5">
        <w:rPr>
          <w:rFonts w:ascii="Arial" w:hAnsi="Arial" w:cs="Arial"/>
          <w:iCs/>
          <w:sz w:val="20"/>
          <w:szCs w:val="20"/>
        </w:rPr>
        <w:t xml:space="preserve">. Longer-term </w:t>
      </w:r>
      <w:r w:rsidR="00DA3508">
        <w:rPr>
          <w:rFonts w:ascii="Arial" w:hAnsi="Arial" w:cs="Arial"/>
          <w:iCs/>
          <w:sz w:val="20"/>
          <w:szCs w:val="20"/>
        </w:rPr>
        <w:t>Treasuries</w:t>
      </w:r>
      <w:r w:rsidR="008D79E6">
        <w:rPr>
          <w:rFonts w:ascii="Arial" w:hAnsi="Arial" w:cs="Arial"/>
          <w:iCs/>
          <w:sz w:val="20"/>
          <w:szCs w:val="20"/>
        </w:rPr>
        <w:t>,</w:t>
      </w:r>
      <w:r w:rsidR="00174AD5">
        <w:rPr>
          <w:rFonts w:ascii="Arial" w:hAnsi="Arial" w:cs="Arial"/>
          <w:iCs/>
          <w:sz w:val="20"/>
          <w:szCs w:val="20"/>
        </w:rPr>
        <w:t xml:space="preserve"> which have the greatest sensitivity to interest-rate changes</w:t>
      </w:r>
      <w:r w:rsidR="008D79E6">
        <w:rPr>
          <w:rFonts w:ascii="Arial" w:hAnsi="Arial" w:cs="Arial"/>
          <w:iCs/>
          <w:sz w:val="20"/>
          <w:szCs w:val="20"/>
        </w:rPr>
        <w:t>,</w:t>
      </w:r>
      <w:r w:rsidR="00174AD5">
        <w:rPr>
          <w:rFonts w:ascii="Arial" w:hAnsi="Arial" w:cs="Arial"/>
          <w:iCs/>
          <w:sz w:val="20"/>
          <w:szCs w:val="20"/>
        </w:rPr>
        <w:t xml:space="preserve"> were the hardest hit and </w:t>
      </w:r>
      <w:r w:rsidR="00DA3508">
        <w:rPr>
          <w:rFonts w:ascii="Arial" w:hAnsi="Arial" w:cs="Arial"/>
          <w:iCs/>
          <w:sz w:val="20"/>
          <w:szCs w:val="20"/>
        </w:rPr>
        <w:t xml:space="preserve">fell </w:t>
      </w:r>
      <w:r w:rsidR="00EE05A2">
        <w:rPr>
          <w:rFonts w:ascii="Arial" w:hAnsi="Arial" w:cs="Arial"/>
          <w:iCs/>
          <w:sz w:val="20"/>
          <w:szCs w:val="20"/>
        </w:rPr>
        <w:t xml:space="preserve">by </w:t>
      </w:r>
      <w:r>
        <w:rPr>
          <w:rFonts w:ascii="Arial" w:hAnsi="Arial" w:cs="Arial"/>
          <w:iCs/>
          <w:sz w:val="20"/>
          <w:szCs w:val="20"/>
        </w:rPr>
        <w:t>9.6</w:t>
      </w:r>
      <w:r w:rsidR="00DA3508">
        <w:rPr>
          <w:rFonts w:ascii="Arial" w:hAnsi="Arial" w:cs="Arial"/>
          <w:iCs/>
          <w:sz w:val="20"/>
          <w:szCs w:val="20"/>
        </w:rPr>
        <w:t xml:space="preserve">%. </w:t>
      </w:r>
      <w:r w:rsidR="00F710F4">
        <w:rPr>
          <w:rFonts w:ascii="Arial" w:hAnsi="Arial" w:cs="Arial"/>
          <w:iCs/>
          <w:sz w:val="20"/>
          <w:szCs w:val="20"/>
        </w:rPr>
        <w:t>US h</w:t>
      </w:r>
      <w:r w:rsidR="00F710F4" w:rsidRPr="00F710F4">
        <w:rPr>
          <w:rFonts w:ascii="Arial" w:hAnsi="Arial" w:cs="Arial"/>
          <w:iCs/>
          <w:sz w:val="20"/>
          <w:szCs w:val="20"/>
        </w:rPr>
        <w:t>igh yield</w:t>
      </w:r>
      <w:r w:rsidR="00F710F4">
        <w:rPr>
          <w:rFonts w:ascii="Arial" w:hAnsi="Arial" w:cs="Arial"/>
          <w:iCs/>
          <w:sz w:val="20"/>
          <w:szCs w:val="20"/>
        </w:rPr>
        <w:t xml:space="preserve"> bonds</w:t>
      </w:r>
      <w:r>
        <w:rPr>
          <w:rFonts w:ascii="Arial" w:hAnsi="Arial" w:cs="Arial"/>
          <w:iCs/>
          <w:sz w:val="20"/>
          <w:szCs w:val="20"/>
        </w:rPr>
        <w:t xml:space="preserve"> were surprisingly among the best performing sector and</w:t>
      </w:r>
      <w:r w:rsidR="00F710F4">
        <w:rPr>
          <w:rFonts w:ascii="Arial" w:hAnsi="Arial" w:cs="Arial"/>
          <w:iCs/>
          <w:sz w:val="20"/>
          <w:szCs w:val="20"/>
        </w:rPr>
        <w:t xml:space="preserve"> </w:t>
      </w:r>
      <w:r>
        <w:rPr>
          <w:rFonts w:ascii="Arial" w:hAnsi="Arial" w:cs="Arial"/>
          <w:iCs/>
          <w:sz w:val="20"/>
          <w:szCs w:val="20"/>
        </w:rPr>
        <w:t>only fell 0.6%</w:t>
      </w:r>
      <w:r w:rsidR="00F710F4" w:rsidRPr="00F710F4">
        <w:rPr>
          <w:rFonts w:ascii="Arial" w:hAnsi="Arial" w:cs="Arial"/>
          <w:iCs/>
          <w:sz w:val="20"/>
          <w:szCs w:val="20"/>
        </w:rPr>
        <w:t xml:space="preserve"> </w:t>
      </w:r>
      <w:r>
        <w:rPr>
          <w:rFonts w:ascii="Arial" w:hAnsi="Arial" w:cs="Arial"/>
          <w:iCs/>
          <w:sz w:val="20"/>
          <w:szCs w:val="20"/>
        </w:rPr>
        <w:t>despite</w:t>
      </w:r>
      <w:r w:rsidR="00F710F4" w:rsidRPr="00F710F4">
        <w:rPr>
          <w:rFonts w:ascii="Arial" w:hAnsi="Arial" w:cs="Arial"/>
          <w:iCs/>
          <w:sz w:val="20"/>
          <w:szCs w:val="20"/>
        </w:rPr>
        <w:t xml:space="preserve"> </w:t>
      </w:r>
      <w:r>
        <w:rPr>
          <w:rFonts w:ascii="Arial" w:hAnsi="Arial" w:cs="Arial"/>
          <w:iCs/>
          <w:sz w:val="20"/>
          <w:szCs w:val="20"/>
        </w:rPr>
        <w:t xml:space="preserve">ongoing </w:t>
      </w:r>
      <w:r w:rsidR="00E826D9">
        <w:rPr>
          <w:rFonts w:ascii="Arial" w:hAnsi="Arial" w:cs="Arial"/>
          <w:iCs/>
          <w:sz w:val="20"/>
          <w:szCs w:val="20"/>
        </w:rPr>
        <w:t>recession fears</w:t>
      </w:r>
      <w:r w:rsidR="00F710F4">
        <w:rPr>
          <w:rFonts w:ascii="Arial" w:hAnsi="Arial" w:cs="Arial"/>
          <w:iCs/>
          <w:sz w:val="20"/>
          <w:szCs w:val="20"/>
        </w:rPr>
        <w:t>. Lastly, a</w:t>
      </w:r>
      <w:r w:rsidR="001B4F72">
        <w:rPr>
          <w:rFonts w:ascii="Arial" w:hAnsi="Arial" w:cs="Arial"/>
          <w:iCs/>
          <w:sz w:val="20"/>
          <w:szCs w:val="20"/>
        </w:rPr>
        <w:t xml:space="preserve"> stronger dollar and inflation woes also led international bonds lower for the quarter</w:t>
      </w:r>
      <w:r w:rsidR="00FB1955">
        <w:rPr>
          <w:rFonts w:ascii="Arial" w:hAnsi="Arial" w:cs="Arial"/>
          <w:iCs/>
          <w:sz w:val="20"/>
          <w:szCs w:val="20"/>
        </w:rPr>
        <w:t>.</w:t>
      </w:r>
      <w:bookmarkEnd w:id="5"/>
    </w:p>
    <w:p w14:paraId="3C422F6F" w14:textId="77777777" w:rsidR="00805B99" w:rsidRPr="00203FA8" w:rsidRDefault="00805B99" w:rsidP="00805B99">
      <w:pPr>
        <w:pStyle w:val="ListParagraph"/>
        <w:ind w:left="1440"/>
        <w:rPr>
          <w:rFonts w:ascii="Arial" w:hAnsi="Arial" w:cs="Arial"/>
          <w:b/>
          <w:bCs/>
          <w:iCs/>
          <w:sz w:val="20"/>
          <w:szCs w:val="20"/>
        </w:rPr>
      </w:pPr>
    </w:p>
    <w:p w14:paraId="52A629D1" w14:textId="69847110" w:rsidR="00140F12" w:rsidRPr="00F52925" w:rsidRDefault="00127730" w:rsidP="00F52925">
      <w:pPr>
        <w:pStyle w:val="ListParagraph"/>
        <w:numPr>
          <w:ilvl w:val="0"/>
          <w:numId w:val="3"/>
        </w:numPr>
        <w:contextualSpacing w:val="0"/>
        <w:rPr>
          <w:rFonts w:ascii="Arial" w:hAnsi="Arial" w:cs="Arial"/>
          <w:sz w:val="20"/>
          <w:szCs w:val="20"/>
        </w:rPr>
        <w:sectPr w:rsidR="00140F12" w:rsidRPr="00F52925" w:rsidSect="00397AF7">
          <w:headerReference w:type="default" r:id="rId14"/>
          <w:footerReference w:type="even" r:id="rId15"/>
          <w:footerReference w:type="default" r:id="rId16"/>
          <w:headerReference w:type="first" r:id="rId17"/>
          <w:footerReference w:type="first" r:id="rId18"/>
          <w:endnotePr>
            <w:numFmt w:val="decimal"/>
          </w:endnotePr>
          <w:type w:val="continuous"/>
          <w:pgSz w:w="12240" w:h="15840"/>
          <w:pgMar w:top="-1659" w:right="1440" w:bottom="1518" w:left="1440" w:header="720" w:footer="720" w:gutter="0"/>
          <w:cols w:space="720"/>
          <w:titlePg/>
          <w:docGrid w:linePitch="360"/>
        </w:sectPr>
      </w:pPr>
      <w:r w:rsidRPr="00127730">
        <w:rPr>
          <w:rFonts w:ascii="Arial" w:hAnsi="Arial" w:cs="Arial"/>
          <w:b/>
          <w:bCs/>
          <w:iCs/>
          <w:sz w:val="20"/>
          <w:szCs w:val="20"/>
        </w:rPr>
        <w:t>Key commodities</w:t>
      </w:r>
      <w:r w:rsidR="00EE05A2">
        <w:rPr>
          <w:rFonts w:ascii="Arial" w:hAnsi="Arial" w:cs="Arial"/>
          <w:b/>
          <w:bCs/>
          <w:iCs/>
          <w:sz w:val="20"/>
          <w:szCs w:val="20"/>
        </w:rPr>
        <w:t>,</w:t>
      </w:r>
      <w:r w:rsidRPr="00127730">
        <w:rPr>
          <w:rFonts w:ascii="Arial" w:hAnsi="Arial" w:cs="Arial"/>
          <w:b/>
          <w:bCs/>
          <w:iCs/>
          <w:sz w:val="20"/>
          <w:szCs w:val="20"/>
        </w:rPr>
        <w:t xml:space="preserve"> including gold, oil, and copper</w:t>
      </w:r>
      <w:r w:rsidR="00EE05A2">
        <w:rPr>
          <w:rFonts w:ascii="Arial" w:hAnsi="Arial" w:cs="Arial"/>
          <w:b/>
          <w:bCs/>
          <w:iCs/>
          <w:sz w:val="20"/>
          <w:szCs w:val="20"/>
        </w:rPr>
        <w:t>,</w:t>
      </w:r>
      <w:r w:rsidRPr="00127730">
        <w:rPr>
          <w:rFonts w:ascii="Arial" w:hAnsi="Arial" w:cs="Arial"/>
          <w:b/>
          <w:bCs/>
          <w:iCs/>
          <w:sz w:val="20"/>
          <w:szCs w:val="20"/>
        </w:rPr>
        <w:t xml:space="preserve"> declined over concerns</w:t>
      </w:r>
      <w:r w:rsidR="001F0C54">
        <w:rPr>
          <w:rFonts w:ascii="Arial" w:hAnsi="Arial" w:cs="Arial"/>
          <w:b/>
          <w:bCs/>
          <w:iCs/>
          <w:sz w:val="20"/>
          <w:szCs w:val="20"/>
        </w:rPr>
        <w:t xml:space="preserve"> of weaker demand due to</w:t>
      </w:r>
      <w:r w:rsidRPr="00127730">
        <w:rPr>
          <w:rFonts w:ascii="Arial" w:hAnsi="Arial" w:cs="Arial"/>
          <w:b/>
          <w:bCs/>
          <w:iCs/>
          <w:sz w:val="20"/>
          <w:szCs w:val="20"/>
        </w:rPr>
        <w:t xml:space="preserve"> global economic slowdown</w:t>
      </w:r>
      <w:r>
        <w:rPr>
          <w:rFonts w:ascii="Arial" w:hAnsi="Arial" w:cs="Arial"/>
          <w:b/>
          <w:bCs/>
          <w:iCs/>
          <w:sz w:val="20"/>
          <w:szCs w:val="20"/>
        </w:rPr>
        <w:t>.</w:t>
      </w:r>
      <w:r>
        <w:rPr>
          <w:rFonts w:ascii="Arial" w:hAnsi="Arial" w:cs="Arial"/>
          <w:iCs/>
          <w:sz w:val="20"/>
          <w:szCs w:val="20"/>
        </w:rPr>
        <w:t xml:space="preserve"> O</w:t>
      </w:r>
      <w:r w:rsidR="00E75C1B" w:rsidRPr="00127730">
        <w:rPr>
          <w:rFonts w:ascii="Arial" w:hAnsi="Arial" w:cs="Arial"/>
          <w:iCs/>
          <w:sz w:val="20"/>
          <w:szCs w:val="20"/>
        </w:rPr>
        <w:t xml:space="preserve">il prices </w:t>
      </w:r>
      <w:r>
        <w:rPr>
          <w:rFonts w:ascii="Arial" w:hAnsi="Arial" w:cs="Arial"/>
          <w:iCs/>
          <w:sz w:val="20"/>
          <w:szCs w:val="20"/>
        </w:rPr>
        <w:t>fell</w:t>
      </w:r>
      <w:r w:rsidR="00BF6B73">
        <w:rPr>
          <w:rFonts w:ascii="Arial" w:hAnsi="Arial" w:cs="Arial"/>
          <w:iCs/>
          <w:sz w:val="20"/>
          <w:szCs w:val="20"/>
        </w:rPr>
        <w:t xml:space="preserve"> below $80/barrel to</w:t>
      </w:r>
      <w:r>
        <w:rPr>
          <w:rFonts w:ascii="Arial" w:hAnsi="Arial" w:cs="Arial"/>
          <w:iCs/>
          <w:sz w:val="20"/>
          <w:szCs w:val="20"/>
        </w:rPr>
        <w:t xml:space="preserve"> </w:t>
      </w:r>
      <w:r w:rsidR="00E75C1B" w:rsidRPr="00127730">
        <w:rPr>
          <w:rFonts w:ascii="Arial" w:hAnsi="Arial" w:cs="Arial"/>
          <w:iCs/>
          <w:sz w:val="20"/>
          <w:szCs w:val="20"/>
        </w:rPr>
        <w:t xml:space="preserve">their lowest levels since </w:t>
      </w:r>
      <w:r w:rsidR="00EE05A2" w:rsidRPr="00127730">
        <w:rPr>
          <w:rFonts w:ascii="Arial" w:hAnsi="Arial" w:cs="Arial"/>
          <w:iCs/>
          <w:sz w:val="20"/>
          <w:szCs w:val="20"/>
        </w:rPr>
        <w:t>Jan</w:t>
      </w:r>
      <w:r w:rsidR="00EE05A2">
        <w:rPr>
          <w:rFonts w:ascii="Arial" w:hAnsi="Arial" w:cs="Arial"/>
          <w:iCs/>
          <w:sz w:val="20"/>
          <w:szCs w:val="20"/>
        </w:rPr>
        <w:t xml:space="preserve"> '22</w:t>
      </w:r>
      <w:r>
        <w:rPr>
          <w:rFonts w:ascii="Arial" w:hAnsi="Arial" w:cs="Arial"/>
          <w:iCs/>
          <w:sz w:val="20"/>
          <w:szCs w:val="20"/>
        </w:rPr>
        <w:t>.</w:t>
      </w:r>
      <w:r>
        <w:rPr>
          <w:rFonts w:ascii="Arial" w:hAnsi="Arial" w:cs="Arial"/>
          <w:b/>
          <w:bCs/>
          <w:iCs/>
          <w:sz w:val="20"/>
          <w:szCs w:val="20"/>
        </w:rPr>
        <w:t xml:space="preserve"> </w:t>
      </w:r>
      <w:r w:rsidR="006A33FA" w:rsidRPr="006A33FA">
        <w:rPr>
          <w:rFonts w:ascii="Arial" w:hAnsi="Arial" w:cs="Arial"/>
          <w:iCs/>
          <w:sz w:val="20"/>
          <w:szCs w:val="20"/>
        </w:rPr>
        <w:t>Gold prices fell</w:t>
      </w:r>
      <w:r w:rsidR="00D170DD">
        <w:rPr>
          <w:rFonts w:ascii="Arial" w:hAnsi="Arial" w:cs="Arial"/>
          <w:iCs/>
          <w:sz w:val="20"/>
          <w:szCs w:val="20"/>
        </w:rPr>
        <w:t xml:space="preserve"> </w:t>
      </w:r>
      <w:r w:rsidR="00D725BE">
        <w:rPr>
          <w:rFonts w:ascii="Arial" w:hAnsi="Arial" w:cs="Arial"/>
          <w:iCs/>
          <w:sz w:val="20"/>
          <w:szCs w:val="20"/>
        </w:rPr>
        <w:t>7.9</w:t>
      </w:r>
      <w:r>
        <w:rPr>
          <w:rFonts w:ascii="Arial" w:hAnsi="Arial" w:cs="Arial"/>
          <w:iCs/>
          <w:sz w:val="20"/>
          <w:szCs w:val="20"/>
        </w:rPr>
        <w:t>%</w:t>
      </w:r>
      <w:r w:rsidR="006A33FA" w:rsidRPr="006A33FA">
        <w:rPr>
          <w:rFonts w:ascii="Arial" w:hAnsi="Arial" w:cs="Arial"/>
          <w:iCs/>
          <w:sz w:val="20"/>
          <w:szCs w:val="20"/>
        </w:rPr>
        <w:t xml:space="preserve"> </w:t>
      </w:r>
      <w:r w:rsidR="00D170DD">
        <w:rPr>
          <w:rFonts w:ascii="Arial" w:hAnsi="Arial" w:cs="Arial"/>
          <w:iCs/>
          <w:sz w:val="20"/>
          <w:szCs w:val="20"/>
        </w:rPr>
        <w:t xml:space="preserve">for the quarter and </w:t>
      </w:r>
      <w:r w:rsidR="00EE05A2">
        <w:rPr>
          <w:rFonts w:ascii="Arial" w:hAnsi="Arial" w:cs="Arial"/>
          <w:iCs/>
          <w:sz w:val="20"/>
          <w:szCs w:val="20"/>
        </w:rPr>
        <w:t xml:space="preserve">have </w:t>
      </w:r>
      <w:r w:rsidR="00D170DD">
        <w:rPr>
          <w:rFonts w:ascii="Arial" w:hAnsi="Arial" w:cs="Arial"/>
          <w:iCs/>
          <w:sz w:val="20"/>
          <w:szCs w:val="20"/>
        </w:rPr>
        <w:t xml:space="preserve">failed to </w:t>
      </w:r>
      <w:r w:rsidR="006A33FA" w:rsidRPr="006A33FA">
        <w:rPr>
          <w:rFonts w:ascii="Arial" w:hAnsi="Arial" w:cs="Arial"/>
          <w:iCs/>
          <w:sz w:val="20"/>
          <w:szCs w:val="20"/>
        </w:rPr>
        <w:t>meet expectations as an inflation hedge</w:t>
      </w:r>
      <w:r>
        <w:rPr>
          <w:rFonts w:ascii="Arial" w:hAnsi="Arial" w:cs="Arial"/>
          <w:iCs/>
          <w:sz w:val="20"/>
          <w:szCs w:val="20"/>
        </w:rPr>
        <w:t xml:space="preserve"> or a safe haven investment</w:t>
      </w:r>
      <w:r w:rsidR="00062EA0">
        <w:rPr>
          <w:rFonts w:ascii="Arial" w:hAnsi="Arial" w:cs="Arial"/>
          <w:iCs/>
          <w:sz w:val="20"/>
          <w:szCs w:val="20"/>
        </w:rPr>
        <w:t xml:space="preserve"> in 2022</w:t>
      </w:r>
      <w:r w:rsidR="006A33FA">
        <w:rPr>
          <w:rFonts w:ascii="Arial" w:hAnsi="Arial" w:cs="Arial"/>
          <w:b/>
          <w:bCs/>
          <w:iCs/>
          <w:sz w:val="20"/>
          <w:szCs w:val="20"/>
        </w:rPr>
        <w:t xml:space="preserve">. </w:t>
      </w:r>
      <w:r w:rsidR="003F76DF">
        <w:rPr>
          <w:rFonts w:ascii="Arial" w:hAnsi="Arial" w:cs="Arial"/>
          <w:iCs/>
          <w:sz w:val="20"/>
          <w:szCs w:val="20"/>
        </w:rPr>
        <w:t xml:space="preserve">Expectations for higher interest rates in the US led the dollar to rally </w:t>
      </w:r>
      <w:r w:rsidR="00D725BE">
        <w:rPr>
          <w:rFonts w:ascii="Arial" w:hAnsi="Arial" w:cs="Arial"/>
          <w:iCs/>
          <w:sz w:val="20"/>
          <w:szCs w:val="20"/>
        </w:rPr>
        <w:t>7.8</w:t>
      </w:r>
      <w:r w:rsidR="003F76DF">
        <w:rPr>
          <w:rFonts w:ascii="Arial" w:hAnsi="Arial" w:cs="Arial"/>
          <w:iCs/>
          <w:sz w:val="20"/>
          <w:szCs w:val="20"/>
        </w:rPr>
        <w:t>%</w:t>
      </w:r>
      <w:r w:rsidR="006A33FA">
        <w:rPr>
          <w:rFonts w:ascii="Arial" w:hAnsi="Arial" w:cs="Arial"/>
          <w:iCs/>
          <w:sz w:val="20"/>
          <w:szCs w:val="20"/>
        </w:rPr>
        <w:t xml:space="preserve"> for the quarter and </w:t>
      </w:r>
      <w:r w:rsidR="00D725BE">
        <w:rPr>
          <w:rFonts w:ascii="Arial" w:hAnsi="Arial" w:cs="Arial"/>
          <w:iCs/>
          <w:sz w:val="20"/>
          <w:szCs w:val="20"/>
        </w:rPr>
        <w:t>17.6</w:t>
      </w:r>
      <w:r w:rsidR="006A33FA">
        <w:rPr>
          <w:rFonts w:ascii="Arial" w:hAnsi="Arial" w:cs="Arial"/>
          <w:iCs/>
          <w:sz w:val="20"/>
          <w:szCs w:val="20"/>
        </w:rPr>
        <w:t>% for the year</w:t>
      </w:r>
      <w:r w:rsidR="003F76DF">
        <w:rPr>
          <w:rFonts w:ascii="Arial" w:hAnsi="Arial" w:cs="Arial"/>
          <w:iCs/>
          <w:sz w:val="20"/>
          <w:szCs w:val="20"/>
        </w:rPr>
        <w:t>.</w:t>
      </w:r>
      <w:r w:rsidR="00B7710C">
        <w:rPr>
          <w:rFonts w:ascii="Arial" w:hAnsi="Arial" w:cs="Arial"/>
          <w:iCs/>
          <w:sz w:val="20"/>
          <w:szCs w:val="20"/>
        </w:rPr>
        <w:t xml:space="preserve"> </w:t>
      </w:r>
      <w:r w:rsidR="00F52925" w:rsidRPr="00127730">
        <w:rPr>
          <w:rFonts w:ascii="Arial" w:hAnsi="Arial" w:cs="Arial"/>
          <w:iCs/>
          <w:sz w:val="20"/>
          <w:szCs w:val="20"/>
        </w:rPr>
        <w:t>One notable exception within commodities w</w:t>
      </w:r>
      <w:r w:rsidR="00BF6B73">
        <w:rPr>
          <w:rFonts w:ascii="Arial" w:hAnsi="Arial" w:cs="Arial"/>
          <w:iCs/>
          <w:sz w:val="20"/>
          <w:szCs w:val="20"/>
        </w:rPr>
        <w:t xml:space="preserve">ere grains, specifically </w:t>
      </w:r>
      <w:r w:rsidR="00F52925" w:rsidRPr="00127730">
        <w:rPr>
          <w:rFonts w:ascii="Arial" w:hAnsi="Arial" w:cs="Arial"/>
          <w:iCs/>
          <w:sz w:val="20"/>
          <w:szCs w:val="20"/>
        </w:rPr>
        <w:t>w</w:t>
      </w:r>
      <w:r w:rsidR="00BF6B73">
        <w:rPr>
          <w:rFonts w:ascii="Arial" w:hAnsi="Arial" w:cs="Arial"/>
          <w:iCs/>
          <w:sz w:val="20"/>
          <w:szCs w:val="20"/>
        </w:rPr>
        <w:t>heat</w:t>
      </w:r>
      <w:r w:rsidR="00EE05A2">
        <w:rPr>
          <w:rFonts w:ascii="Arial" w:hAnsi="Arial" w:cs="Arial"/>
          <w:iCs/>
          <w:sz w:val="20"/>
          <w:szCs w:val="20"/>
        </w:rPr>
        <w:t>,</w:t>
      </w:r>
      <w:r w:rsidR="00BF6B73">
        <w:rPr>
          <w:rFonts w:ascii="Arial" w:hAnsi="Arial" w:cs="Arial"/>
          <w:iCs/>
          <w:sz w:val="20"/>
          <w:szCs w:val="20"/>
        </w:rPr>
        <w:t xml:space="preserve"> with strong gains</w:t>
      </w:r>
      <w:r w:rsidR="00F52925" w:rsidRPr="00127730">
        <w:rPr>
          <w:rFonts w:ascii="Arial" w:hAnsi="Arial" w:cs="Arial"/>
          <w:iCs/>
          <w:sz w:val="20"/>
          <w:szCs w:val="20"/>
        </w:rPr>
        <w:t xml:space="preserve"> for the quarter as the conflict in Ukraine continues to impact the world suppl</w:t>
      </w:r>
      <w:r w:rsidR="00F52925">
        <w:rPr>
          <w:rFonts w:ascii="Arial" w:hAnsi="Arial" w:cs="Arial"/>
          <w:iCs/>
          <w:sz w:val="20"/>
          <w:szCs w:val="20"/>
        </w:rPr>
        <w:t xml:space="preserve">y. Finally, US REITs lost </w:t>
      </w:r>
      <w:r w:rsidR="00D725BE">
        <w:rPr>
          <w:rFonts w:ascii="Arial" w:hAnsi="Arial" w:cs="Arial"/>
          <w:iCs/>
          <w:sz w:val="20"/>
          <w:szCs w:val="20"/>
        </w:rPr>
        <w:t>10.8</w:t>
      </w:r>
      <w:r w:rsidR="00F52925">
        <w:rPr>
          <w:rFonts w:ascii="Arial" w:hAnsi="Arial" w:cs="Arial"/>
          <w:iCs/>
          <w:sz w:val="20"/>
          <w:szCs w:val="20"/>
        </w:rPr>
        <w:t xml:space="preserve">% </w:t>
      </w:r>
      <w:r w:rsidR="00BF6B73">
        <w:rPr>
          <w:rFonts w:ascii="Arial" w:hAnsi="Arial" w:cs="Arial"/>
          <w:iCs/>
          <w:sz w:val="20"/>
          <w:szCs w:val="20"/>
        </w:rPr>
        <w:t xml:space="preserve">for the quarter </w:t>
      </w:r>
      <w:r w:rsidR="00F52925">
        <w:rPr>
          <w:rFonts w:ascii="Arial" w:hAnsi="Arial" w:cs="Arial"/>
          <w:iCs/>
          <w:sz w:val="20"/>
          <w:szCs w:val="20"/>
        </w:rPr>
        <w:t>over concerns of rising costs due to higher interest rates.</w:t>
      </w:r>
    </w:p>
    <w:p w14:paraId="379DB21C" w14:textId="77777777" w:rsidR="004915F5" w:rsidRDefault="004915F5" w:rsidP="00140F12">
      <w:pPr>
        <w:spacing w:after="120"/>
        <w:ind w:left="-720" w:right="-720"/>
        <w:rPr>
          <w:rFonts w:ascii="Arial" w:hAnsi="Arial" w:cs="Arial"/>
          <w:color w:val="343433"/>
          <w:sz w:val="21"/>
        </w:rPr>
      </w:pPr>
    </w:p>
    <w:p w14:paraId="4B4A08F5" w14:textId="7F17301D" w:rsidR="009F65E5" w:rsidRPr="0040163B" w:rsidRDefault="008F63B8" w:rsidP="00140F12">
      <w:pPr>
        <w:spacing w:after="120"/>
        <w:ind w:left="-720" w:right="-720"/>
        <w:rPr>
          <w:rFonts w:ascii="Arial" w:hAnsi="Arial" w:cs="Arial"/>
          <w:color w:val="343433"/>
          <w:sz w:val="21"/>
        </w:rPr>
      </w:pPr>
      <w:r>
        <w:rPr>
          <w:rFonts w:ascii="Arial" w:hAnsi="Arial" w:cs="Arial"/>
          <w:color w:val="343433"/>
          <w:sz w:val="21"/>
        </w:rPr>
        <w:t>Asset classes are represented by the following indexes:</w:t>
      </w:r>
    </w:p>
    <w:tbl>
      <w:tblPr>
        <w:tblStyle w:val="TableGrid"/>
        <w:tblW w:w="10795" w:type="dxa"/>
        <w:tblInd w:w="-720" w:type="dxa"/>
        <w:tblLook w:val="04A0" w:firstRow="1" w:lastRow="0" w:firstColumn="1" w:lastColumn="0" w:noHBand="0" w:noVBand="1"/>
      </w:tblPr>
      <w:tblGrid>
        <w:gridCol w:w="1615"/>
        <w:gridCol w:w="9180"/>
      </w:tblGrid>
      <w:tr w:rsidR="00762B2D" w14:paraId="1C4EF1F0"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55D03EAD" w14:textId="64A2F3FD" w:rsidR="00762B2D" w:rsidRDefault="00762B2D" w:rsidP="00762B2D">
            <w:pPr>
              <w:spacing w:after="160"/>
              <w:rPr>
                <w:rFonts w:ascii="Arial" w:hAnsi="Arial" w:cs="Arial"/>
                <w:b/>
                <w:color w:val="343433"/>
                <w:sz w:val="16"/>
                <w:szCs w:val="17"/>
              </w:rPr>
            </w:pPr>
            <w:r>
              <w:rPr>
                <w:rFonts w:ascii="Arial" w:hAnsi="Arial" w:cs="Arial"/>
                <w:b/>
                <w:color w:val="343433"/>
                <w:sz w:val="16"/>
                <w:szCs w:val="17"/>
              </w:rPr>
              <w:t>US Equities</w:t>
            </w:r>
          </w:p>
        </w:tc>
        <w:tc>
          <w:tcPr>
            <w:tcW w:w="9180" w:type="dxa"/>
            <w:tcBorders>
              <w:top w:val="single" w:sz="4" w:space="0" w:color="E7E6E6"/>
              <w:left w:val="single" w:sz="4" w:space="0" w:color="E7E6E6"/>
              <w:bottom w:val="single" w:sz="4" w:space="0" w:color="E7E6E6"/>
              <w:right w:val="single" w:sz="4" w:space="0" w:color="E7E6E6"/>
            </w:tcBorders>
          </w:tcPr>
          <w:p w14:paraId="31015CB9" w14:textId="264E3D9E" w:rsidR="00762B2D" w:rsidRPr="0040163B" w:rsidRDefault="00762B2D" w:rsidP="00762B2D">
            <w:pPr>
              <w:spacing w:after="120"/>
              <w:rPr>
                <w:rFonts w:ascii="Arial" w:hAnsi="Arial" w:cs="Arial"/>
                <w:b/>
                <w:color w:val="343433"/>
                <w:sz w:val="16"/>
                <w:szCs w:val="17"/>
              </w:rPr>
            </w:pPr>
            <w:r w:rsidRPr="0040163B">
              <w:rPr>
                <w:rFonts w:ascii="Arial" w:hAnsi="Arial" w:cs="Arial"/>
                <w:b/>
                <w:color w:val="343433"/>
                <w:sz w:val="16"/>
                <w:szCs w:val="17"/>
              </w:rPr>
              <w:t>S&amp;P 500</w:t>
            </w:r>
            <w:r w:rsidRPr="0040163B">
              <w:rPr>
                <w:rFonts w:ascii="Arial" w:hAnsi="Arial" w:cs="Arial"/>
                <w:color w:val="343433"/>
                <w:sz w:val="16"/>
                <w:szCs w:val="17"/>
              </w:rPr>
              <w:t xml:space="preserve"> </w:t>
            </w:r>
            <w:r>
              <w:rPr>
                <w:rFonts w:ascii="Arial" w:hAnsi="Arial" w:cs="Arial"/>
                <w:color w:val="343433"/>
                <w:sz w:val="16"/>
                <w:szCs w:val="17"/>
              </w:rPr>
              <w:t>–</w:t>
            </w:r>
            <w:r w:rsidRPr="0040163B">
              <w:rPr>
                <w:rFonts w:ascii="Arial" w:hAnsi="Arial" w:cs="Arial"/>
                <w:color w:val="343433"/>
                <w:sz w:val="16"/>
                <w:szCs w:val="17"/>
              </w:rPr>
              <w:t xml:space="preserve"> </w:t>
            </w:r>
            <w:r>
              <w:rPr>
                <w:rFonts w:ascii="Arial" w:hAnsi="Arial" w:cs="Arial"/>
                <w:color w:val="343433"/>
                <w:sz w:val="16"/>
                <w:szCs w:val="17"/>
              </w:rPr>
              <w:t>is a</w:t>
            </w:r>
            <w:r w:rsidRPr="0040163B">
              <w:rPr>
                <w:rFonts w:ascii="Arial" w:hAnsi="Arial" w:cs="Arial"/>
                <w:color w:val="343433"/>
                <w:sz w:val="16"/>
                <w:szCs w:val="17"/>
              </w:rPr>
              <w:t xml:space="preserve">n unmanaged index that is generally considered representative of the US equity market, consisting of 500 leading companies in leading industries of the US economy (typically large cap companies) representing approximately 75% of the investable US equity market. </w:t>
            </w:r>
          </w:p>
        </w:tc>
      </w:tr>
      <w:tr w:rsidR="00762B2D" w14:paraId="20B2C35A"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1BA437AA" w14:textId="3C3DCCF2" w:rsidR="00762B2D" w:rsidRDefault="00762B2D" w:rsidP="00762B2D">
            <w:pPr>
              <w:spacing w:after="160"/>
              <w:rPr>
                <w:rFonts w:ascii="Arial" w:hAnsi="Arial" w:cs="Arial"/>
                <w:b/>
                <w:color w:val="343433"/>
                <w:sz w:val="16"/>
                <w:szCs w:val="17"/>
              </w:rPr>
            </w:pPr>
            <w:r>
              <w:rPr>
                <w:rFonts w:ascii="Arial" w:hAnsi="Arial" w:cs="Arial"/>
                <w:b/>
                <w:color w:val="343433"/>
                <w:sz w:val="16"/>
                <w:szCs w:val="17"/>
              </w:rPr>
              <w:t>International Equities</w:t>
            </w:r>
          </w:p>
        </w:tc>
        <w:tc>
          <w:tcPr>
            <w:tcW w:w="9180" w:type="dxa"/>
            <w:tcBorders>
              <w:top w:val="single" w:sz="4" w:space="0" w:color="E7E6E6"/>
              <w:left w:val="single" w:sz="4" w:space="0" w:color="E7E6E6"/>
              <w:bottom w:val="single" w:sz="4" w:space="0" w:color="E7E6E6"/>
              <w:right w:val="single" w:sz="4" w:space="0" w:color="E7E6E6"/>
            </w:tcBorders>
          </w:tcPr>
          <w:p w14:paraId="05F8466F" w14:textId="65D819A3" w:rsidR="00762B2D" w:rsidRPr="0040163B" w:rsidRDefault="00762B2D" w:rsidP="00762B2D">
            <w:pPr>
              <w:spacing w:after="120"/>
              <w:rPr>
                <w:rFonts w:ascii="Arial" w:hAnsi="Arial" w:cs="Arial"/>
                <w:b/>
                <w:color w:val="343433"/>
                <w:sz w:val="16"/>
                <w:szCs w:val="17"/>
              </w:rPr>
            </w:pPr>
            <w:r w:rsidRPr="0040163B">
              <w:rPr>
                <w:rFonts w:ascii="Arial" w:hAnsi="Arial" w:cs="Arial"/>
                <w:b/>
                <w:color w:val="343433"/>
                <w:sz w:val="16"/>
                <w:szCs w:val="17"/>
              </w:rPr>
              <w:t>MSCI EAFE</w:t>
            </w:r>
            <w:r w:rsidRPr="0040163B">
              <w:rPr>
                <w:rFonts w:ascii="Arial" w:hAnsi="Arial" w:cs="Arial"/>
                <w:color w:val="343433"/>
                <w:sz w:val="16"/>
                <w:szCs w:val="17"/>
              </w:rPr>
              <w:t xml:space="preserve"> </w:t>
            </w:r>
            <w:r>
              <w:rPr>
                <w:rFonts w:ascii="Arial" w:hAnsi="Arial" w:cs="Arial"/>
                <w:color w:val="343433"/>
                <w:sz w:val="16"/>
                <w:szCs w:val="17"/>
              </w:rPr>
              <w:t>–</w:t>
            </w:r>
            <w:r w:rsidRPr="0040163B">
              <w:rPr>
                <w:rFonts w:ascii="Arial" w:hAnsi="Arial" w:cs="Arial"/>
                <w:color w:val="343433"/>
                <w:sz w:val="16"/>
                <w:szCs w:val="17"/>
              </w:rPr>
              <w:t xml:space="preserve"> </w:t>
            </w:r>
            <w:r>
              <w:rPr>
                <w:rFonts w:ascii="Arial" w:hAnsi="Arial" w:cs="Arial"/>
                <w:color w:val="343433"/>
                <w:sz w:val="16"/>
                <w:szCs w:val="17"/>
              </w:rPr>
              <w:t>is a</w:t>
            </w:r>
            <w:r w:rsidRPr="0040163B">
              <w:rPr>
                <w:rFonts w:ascii="Arial" w:hAnsi="Arial" w:cs="Arial"/>
                <w:color w:val="343433"/>
                <w:sz w:val="16"/>
                <w:szCs w:val="17"/>
              </w:rPr>
              <w:t xml:space="preserve"> free float-adjusted market capitalization weighted index that is designed to measure the equity market performance of countries considered to represent developed markets, excluding the U.S. and Canada. </w:t>
            </w:r>
          </w:p>
        </w:tc>
      </w:tr>
      <w:tr w:rsidR="00762B2D" w14:paraId="0CD05564"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04FD21ED" w14:textId="2C2F89A0" w:rsidR="00762B2D" w:rsidRDefault="00762B2D" w:rsidP="00762B2D">
            <w:pPr>
              <w:spacing w:after="160"/>
              <w:rPr>
                <w:rFonts w:ascii="Arial" w:hAnsi="Arial" w:cs="Arial"/>
                <w:b/>
                <w:color w:val="343433"/>
                <w:sz w:val="16"/>
                <w:szCs w:val="17"/>
              </w:rPr>
            </w:pPr>
            <w:r>
              <w:rPr>
                <w:rFonts w:ascii="Arial" w:hAnsi="Arial" w:cs="Arial"/>
                <w:b/>
                <w:color w:val="343433"/>
                <w:sz w:val="16"/>
                <w:szCs w:val="17"/>
              </w:rPr>
              <w:lastRenderedPageBreak/>
              <w:t>Emerging Markets Equities</w:t>
            </w:r>
          </w:p>
        </w:tc>
        <w:tc>
          <w:tcPr>
            <w:tcW w:w="9180" w:type="dxa"/>
            <w:tcBorders>
              <w:top w:val="single" w:sz="4" w:space="0" w:color="E7E6E6"/>
              <w:left w:val="single" w:sz="4" w:space="0" w:color="E7E6E6"/>
              <w:bottom w:val="single" w:sz="4" w:space="0" w:color="E7E6E6"/>
              <w:right w:val="single" w:sz="4" w:space="0" w:color="E7E6E6"/>
            </w:tcBorders>
          </w:tcPr>
          <w:p w14:paraId="7E0B267C" w14:textId="6C794EA3" w:rsidR="00762B2D" w:rsidRPr="0040163B" w:rsidRDefault="00762B2D" w:rsidP="00762B2D">
            <w:pPr>
              <w:spacing w:after="120"/>
              <w:rPr>
                <w:rFonts w:ascii="Arial" w:hAnsi="Arial" w:cs="Arial"/>
                <w:b/>
                <w:color w:val="343433"/>
                <w:sz w:val="16"/>
                <w:szCs w:val="17"/>
              </w:rPr>
            </w:pPr>
            <w:r w:rsidRPr="0040163B">
              <w:rPr>
                <w:rFonts w:ascii="Arial" w:hAnsi="Arial" w:cs="Arial"/>
                <w:b/>
                <w:color w:val="343433"/>
                <w:sz w:val="16"/>
                <w:szCs w:val="17"/>
              </w:rPr>
              <w:t>MSCI Emerging Markets</w:t>
            </w:r>
            <w:r w:rsidRPr="0040163B">
              <w:rPr>
                <w:rFonts w:ascii="Arial" w:hAnsi="Arial" w:cs="Arial"/>
                <w:color w:val="343433"/>
                <w:sz w:val="16"/>
                <w:szCs w:val="17"/>
              </w:rPr>
              <w:t xml:space="preserve"> </w:t>
            </w:r>
            <w:r>
              <w:rPr>
                <w:rFonts w:ascii="Arial" w:hAnsi="Arial" w:cs="Arial"/>
                <w:color w:val="343433"/>
                <w:sz w:val="16"/>
                <w:szCs w:val="17"/>
              </w:rPr>
              <w:t>–</w:t>
            </w:r>
            <w:r w:rsidRPr="0040163B">
              <w:rPr>
                <w:rFonts w:ascii="Arial" w:hAnsi="Arial" w:cs="Arial"/>
                <w:color w:val="343433"/>
                <w:sz w:val="16"/>
                <w:szCs w:val="17"/>
              </w:rPr>
              <w:t xml:space="preserve"> </w:t>
            </w:r>
            <w:r>
              <w:rPr>
                <w:rFonts w:ascii="Arial" w:hAnsi="Arial" w:cs="Arial"/>
                <w:color w:val="343433"/>
                <w:sz w:val="16"/>
                <w:szCs w:val="17"/>
              </w:rPr>
              <w:t>is a</w:t>
            </w:r>
            <w:r w:rsidRPr="0040163B">
              <w:rPr>
                <w:rFonts w:ascii="Arial" w:hAnsi="Arial" w:cs="Arial"/>
                <w:color w:val="343433"/>
                <w:sz w:val="16"/>
                <w:szCs w:val="17"/>
              </w:rPr>
              <w:t xml:space="preserve"> free float-adjusted, market capitalization index that is designed to measure the equity market performance of countries considered to represent emerging markets</w:t>
            </w:r>
            <w:r>
              <w:rPr>
                <w:rFonts w:ascii="Arial" w:hAnsi="Arial" w:cs="Arial"/>
                <w:color w:val="343433"/>
                <w:sz w:val="16"/>
                <w:szCs w:val="17"/>
              </w:rPr>
              <w:t>.</w:t>
            </w:r>
          </w:p>
        </w:tc>
      </w:tr>
      <w:tr w:rsidR="005D1CCE" w14:paraId="4860CD1E"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73D0F435" w14:textId="57B76529" w:rsidR="005D1CCE" w:rsidRDefault="005D1CCE" w:rsidP="00762B2D">
            <w:pPr>
              <w:spacing w:after="160"/>
              <w:rPr>
                <w:rFonts w:ascii="Arial" w:hAnsi="Arial" w:cs="Arial"/>
                <w:b/>
                <w:color w:val="343433"/>
                <w:sz w:val="16"/>
                <w:szCs w:val="17"/>
              </w:rPr>
            </w:pPr>
            <w:r>
              <w:rPr>
                <w:rFonts w:ascii="Arial" w:hAnsi="Arial" w:cs="Arial"/>
                <w:b/>
                <w:color w:val="343433"/>
                <w:sz w:val="16"/>
                <w:szCs w:val="17"/>
              </w:rPr>
              <w:t>Global Equity</w:t>
            </w:r>
          </w:p>
        </w:tc>
        <w:tc>
          <w:tcPr>
            <w:tcW w:w="9180" w:type="dxa"/>
            <w:tcBorders>
              <w:top w:val="single" w:sz="4" w:space="0" w:color="E7E6E6"/>
              <w:left w:val="single" w:sz="4" w:space="0" w:color="E7E6E6"/>
              <w:bottom w:val="single" w:sz="4" w:space="0" w:color="E7E6E6"/>
              <w:right w:val="single" w:sz="4" w:space="0" w:color="E7E6E6"/>
            </w:tcBorders>
          </w:tcPr>
          <w:p w14:paraId="6B0E3A9B" w14:textId="7E8D3AAB" w:rsidR="005D1CCE" w:rsidRDefault="005D1CCE" w:rsidP="005D1CCE">
            <w:pPr>
              <w:spacing w:after="0" w:line="240" w:lineRule="auto"/>
              <w:rPr>
                <w:rFonts w:ascii="Arial" w:hAnsi="Arial" w:cs="Arial"/>
                <w:color w:val="000000"/>
                <w:sz w:val="16"/>
                <w:szCs w:val="16"/>
              </w:rPr>
            </w:pPr>
            <w:r w:rsidRPr="005D1CCE">
              <w:rPr>
                <w:rFonts w:ascii="Arial" w:hAnsi="Arial" w:cs="Arial"/>
                <w:b/>
                <w:bCs/>
                <w:color w:val="000000"/>
                <w:sz w:val="16"/>
                <w:szCs w:val="16"/>
              </w:rPr>
              <w:t xml:space="preserve">MSCI ACWI - </w:t>
            </w:r>
            <w:r w:rsidRPr="005D1CCE">
              <w:rPr>
                <w:rFonts w:ascii="Arial" w:hAnsi="Arial" w:cs="Arial"/>
                <w:color w:val="000000"/>
                <w:sz w:val="16"/>
                <w:szCs w:val="16"/>
              </w:rPr>
              <w:t xml:space="preserve">measures large- and mid-cap equity performance of developed and emerging markets. Represents approximately 85% of the global equity investment universe. </w:t>
            </w:r>
          </w:p>
          <w:p w14:paraId="3235789C" w14:textId="1384DC90" w:rsidR="005D1CCE" w:rsidRPr="0040163B" w:rsidRDefault="005D1CCE" w:rsidP="005D1CCE">
            <w:pPr>
              <w:spacing w:after="0" w:line="240" w:lineRule="auto"/>
              <w:rPr>
                <w:rFonts w:ascii="Arial" w:hAnsi="Arial" w:cs="Arial"/>
                <w:b/>
                <w:color w:val="343433"/>
                <w:sz w:val="16"/>
                <w:szCs w:val="17"/>
              </w:rPr>
            </w:pPr>
          </w:p>
        </w:tc>
      </w:tr>
      <w:tr w:rsidR="00D81EC3" w14:paraId="38DB68D0"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768A9445" w14:textId="1D3109FD" w:rsidR="00D81EC3" w:rsidRDefault="00D81EC3" w:rsidP="00A27DE3">
            <w:pPr>
              <w:spacing w:after="160"/>
              <w:rPr>
                <w:rFonts w:ascii="Arial" w:hAnsi="Arial" w:cs="Arial"/>
                <w:b/>
                <w:color w:val="343433"/>
                <w:sz w:val="16"/>
                <w:szCs w:val="17"/>
              </w:rPr>
            </w:pPr>
            <w:r>
              <w:rPr>
                <w:rFonts w:ascii="Arial" w:hAnsi="Arial" w:cs="Arial"/>
                <w:b/>
                <w:color w:val="343433"/>
                <w:sz w:val="16"/>
                <w:szCs w:val="17"/>
              </w:rPr>
              <w:t>US Small Cap Growth</w:t>
            </w:r>
          </w:p>
        </w:tc>
        <w:tc>
          <w:tcPr>
            <w:tcW w:w="9180" w:type="dxa"/>
            <w:tcBorders>
              <w:top w:val="single" w:sz="4" w:space="0" w:color="E7E6E6"/>
              <w:left w:val="single" w:sz="4" w:space="0" w:color="E7E6E6"/>
              <w:bottom w:val="single" w:sz="4" w:space="0" w:color="E7E6E6"/>
              <w:right w:val="single" w:sz="4" w:space="0" w:color="E7E6E6"/>
            </w:tcBorders>
          </w:tcPr>
          <w:p w14:paraId="3D6723F6" w14:textId="55762732" w:rsidR="00D81EC3" w:rsidRPr="0040163B" w:rsidRDefault="00D81EC3" w:rsidP="00A27DE3">
            <w:pPr>
              <w:spacing w:after="120"/>
              <w:rPr>
                <w:rFonts w:ascii="Arial" w:hAnsi="Arial" w:cs="Arial"/>
                <w:b/>
                <w:color w:val="343433"/>
                <w:sz w:val="16"/>
                <w:szCs w:val="17"/>
              </w:rPr>
            </w:pPr>
            <w:r w:rsidRPr="009B6440">
              <w:rPr>
                <w:rFonts w:ascii="Arial" w:hAnsi="Arial" w:cs="Arial"/>
                <w:b/>
                <w:color w:val="343433"/>
                <w:sz w:val="16"/>
                <w:szCs w:val="17"/>
              </w:rPr>
              <w:t>S&amp;P 600 Growth</w:t>
            </w:r>
            <w:r>
              <w:rPr>
                <w:rFonts w:ascii="Arial" w:hAnsi="Arial" w:cs="Arial"/>
                <w:b/>
                <w:bCs/>
                <w:color w:val="343433"/>
                <w:sz w:val="16"/>
                <w:szCs w:val="16"/>
              </w:rPr>
              <w:t xml:space="preserve"> - </w:t>
            </w:r>
            <w:r w:rsidRPr="00334AF7">
              <w:rPr>
                <w:rFonts w:ascii="Arial" w:hAnsi="Arial" w:cs="Arial"/>
                <w:color w:val="343433"/>
                <w:sz w:val="16"/>
                <w:szCs w:val="16"/>
              </w:rPr>
              <w:t>measures the performance of the small cap growth segment of the US equity market.</w:t>
            </w:r>
          </w:p>
        </w:tc>
      </w:tr>
      <w:tr w:rsidR="00D81EC3" w14:paraId="53FA813D"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66E02AAC" w14:textId="679166AF" w:rsidR="00D81EC3" w:rsidRDefault="00D81EC3" w:rsidP="00A27DE3">
            <w:pPr>
              <w:spacing w:after="160"/>
              <w:rPr>
                <w:rFonts w:ascii="Arial" w:hAnsi="Arial" w:cs="Arial"/>
                <w:b/>
                <w:color w:val="343433"/>
                <w:sz w:val="16"/>
                <w:szCs w:val="17"/>
              </w:rPr>
            </w:pPr>
            <w:r>
              <w:rPr>
                <w:rFonts w:ascii="Arial" w:hAnsi="Arial" w:cs="Arial"/>
                <w:b/>
                <w:color w:val="343433"/>
                <w:sz w:val="16"/>
                <w:szCs w:val="17"/>
              </w:rPr>
              <w:t>US Small Cap Value</w:t>
            </w:r>
          </w:p>
        </w:tc>
        <w:tc>
          <w:tcPr>
            <w:tcW w:w="9180" w:type="dxa"/>
            <w:tcBorders>
              <w:top w:val="single" w:sz="4" w:space="0" w:color="E7E6E6"/>
              <w:left w:val="single" w:sz="4" w:space="0" w:color="E7E6E6"/>
              <w:bottom w:val="single" w:sz="4" w:space="0" w:color="E7E6E6"/>
              <w:right w:val="single" w:sz="4" w:space="0" w:color="E7E6E6"/>
            </w:tcBorders>
          </w:tcPr>
          <w:p w14:paraId="40D20444" w14:textId="0B4F51E3" w:rsidR="00D81EC3" w:rsidRPr="00334AF7" w:rsidRDefault="00D81EC3" w:rsidP="00A27DE3">
            <w:pPr>
              <w:spacing w:after="120"/>
              <w:rPr>
                <w:rFonts w:ascii="Arial" w:hAnsi="Arial" w:cs="Arial"/>
                <w:b/>
                <w:bCs/>
                <w:color w:val="343433"/>
                <w:sz w:val="16"/>
                <w:szCs w:val="16"/>
              </w:rPr>
            </w:pPr>
            <w:r w:rsidRPr="009B6440">
              <w:rPr>
                <w:rFonts w:ascii="Arial" w:hAnsi="Arial" w:cs="Arial"/>
                <w:b/>
                <w:color w:val="343433"/>
                <w:sz w:val="16"/>
                <w:szCs w:val="17"/>
              </w:rPr>
              <w:t>S&amp;P 600 Value</w:t>
            </w:r>
            <w:r>
              <w:rPr>
                <w:rFonts w:ascii="Arial" w:hAnsi="Arial" w:cs="Arial"/>
                <w:b/>
                <w:bCs/>
                <w:color w:val="343433"/>
                <w:sz w:val="16"/>
                <w:szCs w:val="16"/>
              </w:rPr>
              <w:t xml:space="preserve"> - </w:t>
            </w:r>
            <w:r w:rsidRPr="00334AF7">
              <w:rPr>
                <w:rFonts w:ascii="Arial" w:hAnsi="Arial" w:cs="Arial"/>
                <w:color w:val="343433"/>
                <w:sz w:val="16"/>
                <w:szCs w:val="16"/>
              </w:rPr>
              <w:t>measures the performance of the small cap value segment of the US equity market.</w:t>
            </w:r>
          </w:p>
        </w:tc>
      </w:tr>
      <w:tr w:rsidR="00D81EC3" w14:paraId="0D0C9866"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743A939D" w14:textId="495B83BD" w:rsidR="00D81EC3" w:rsidRDefault="00D81EC3" w:rsidP="00A27DE3">
            <w:pPr>
              <w:spacing w:after="160"/>
              <w:rPr>
                <w:rFonts w:ascii="Arial" w:hAnsi="Arial" w:cs="Arial"/>
                <w:b/>
                <w:color w:val="343433"/>
                <w:sz w:val="16"/>
                <w:szCs w:val="17"/>
              </w:rPr>
            </w:pPr>
            <w:r>
              <w:rPr>
                <w:rFonts w:ascii="Arial" w:hAnsi="Arial" w:cs="Arial"/>
                <w:b/>
                <w:color w:val="343433"/>
                <w:sz w:val="16"/>
                <w:szCs w:val="17"/>
              </w:rPr>
              <w:t>US Mid Cap Value</w:t>
            </w:r>
          </w:p>
        </w:tc>
        <w:tc>
          <w:tcPr>
            <w:tcW w:w="9180" w:type="dxa"/>
            <w:tcBorders>
              <w:top w:val="single" w:sz="4" w:space="0" w:color="E7E6E6"/>
              <w:left w:val="single" w:sz="4" w:space="0" w:color="E7E6E6"/>
              <w:bottom w:val="single" w:sz="4" w:space="0" w:color="E7E6E6"/>
              <w:right w:val="single" w:sz="4" w:space="0" w:color="E7E6E6"/>
            </w:tcBorders>
          </w:tcPr>
          <w:p w14:paraId="063DD477" w14:textId="7D9ABB3C" w:rsidR="00D81EC3" w:rsidRDefault="00D81EC3" w:rsidP="00A27DE3">
            <w:pPr>
              <w:spacing w:after="120"/>
              <w:rPr>
                <w:rFonts w:ascii="Arial" w:hAnsi="Arial" w:cs="Arial"/>
                <w:b/>
                <w:color w:val="343433"/>
                <w:sz w:val="16"/>
                <w:szCs w:val="17"/>
              </w:rPr>
            </w:pPr>
            <w:r w:rsidRPr="009B6440">
              <w:rPr>
                <w:rFonts w:ascii="Arial" w:hAnsi="Arial" w:cs="Arial"/>
                <w:b/>
                <w:color w:val="343433"/>
                <w:sz w:val="16"/>
                <w:szCs w:val="17"/>
              </w:rPr>
              <w:t>S&amp;P 400 Value</w:t>
            </w:r>
            <w:r>
              <w:rPr>
                <w:rFonts w:ascii="Arial" w:hAnsi="Arial" w:cs="Arial"/>
                <w:b/>
                <w:color w:val="000000"/>
                <w:sz w:val="16"/>
                <w:szCs w:val="16"/>
              </w:rPr>
              <w:t xml:space="preserve"> </w:t>
            </w:r>
            <w:r w:rsidRPr="00334AF7">
              <w:rPr>
                <w:rFonts w:ascii="Arial" w:hAnsi="Arial" w:cs="Arial"/>
                <w:bCs/>
                <w:color w:val="000000"/>
                <w:sz w:val="16"/>
                <w:szCs w:val="16"/>
              </w:rPr>
              <w:t>– measures the performance of the mid cap value segment of the US equity market.</w:t>
            </w:r>
          </w:p>
        </w:tc>
      </w:tr>
      <w:tr w:rsidR="00D81EC3" w14:paraId="589F241B"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448C75FE" w14:textId="140DB8FA" w:rsidR="00D81EC3" w:rsidRDefault="00D81EC3" w:rsidP="00A27DE3">
            <w:pPr>
              <w:spacing w:after="160"/>
              <w:rPr>
                <w:rFonts w:ascii="Arial" w:hAnsi="Arial" w:cs="Arial"/>
                <w:b/>
                <w:color w:val="343433"/>
                <w:sz w:val="16"/>
                <w:szCs w:val="17"/>
              </w:rPr>
            </w:pPr>
            <w:r>
              <w:rPr>
                <w:rFonts w:ascii="Arial" w:hAnsi="Arial" w:cs="Arial"/>
                <w:b/>
                <w:color w:val="343433"/>
                <w:sz w:val="16"/>
                <w:szCs w:val="17"/>
              </w:rPr>
              <w:t>US Mid Cap Growth</w:t>
            </w:r>
          </w:p>
        </w:tc>
        <w:tc>
          <w:tcPr>
            <w:tcW w:w="9180" w:type="dxa"/>
            <w:tcBorders>
              <w:top w:val="single" w:sz="4" w:space="0" w:color="E7E6E6"/>
              <w:left w:val="single" w:sz="4" w:space="0" w:color="E7E6E6"/>
              <w:bottom w:val="single" w:sz="4" w:space="0" w:color="E7E6E6"/>
              <w:right w:val="single" w:sz="4" w:space="0" w:color="E7E6E6"/>
            </w:tcBorders>
          </w:tcPr>
          <w:p w14:paraId="5B975B87" w14:textId="1616D030" w:rsidR="00D81EC3" w:rsidRPr="0086319B" w:rsidRDefault="00D81EC3" w:rsidP="00A27DE3">
            <w:pPr>
              <w:spacing w:after="120"/>
              <w:rPr>
                <w:rFonts w:ascii="Arial" w:hAnsi="Arial" w:cs="Arial"/>
                <w:b/>
                <w:color w:val="000000"/>
                <w:sz w:val="16"/>
                <w:szCs w:val="16"/>
              </w:rPr>
            </w:pPr>
            <w:r w:rsidRPr="009B6440">
              <w:rPr>
                <w:rFonts w:ascii="Arial" w:hAnsi="Arial" w:cs="Arial"/>
                <w:b/>
                <w:color w:val="343433"/>
                <w:sz w:val="16"/>
                <w:szCs w:val="17"/>
              </w:rPr>
              <w:t>S&amp;P 400 Growth</w:t>
            </w:r>
            <w:r>
              <w:rPr>
                <w:rFonts w:ascii="Arial" w:hAnsi="Arial" w:cs="Arial"/>
                <w:b/>
                <w:color w:val="000000"/>
                <w:sz w:val="16"/>
                <w:szCs w:val="16"/>
              </w:rPr>
              <w:t xml:space="preserve"> </w:t>
            </w:r>
            <w:r w:rsidRPr="00334AF7">
              <w:rPr>
                <w:rFonts w:ascii="Arial" w:hAnsi="Arial" w:cs="Arial"/>
                <w:bCs/>
                <w:color w:val="000000"/>
                <w:sz w:val="16"/>
                <w:szCs w:val="16"/>
              </w:rPr>
              <w:t>– meas</w:t>
            </w:r>
            <w:r>
              <w:rPr>
                <w:rFonts w:ascii="Arial" w:hAnsi="Arial" w:cs="Arial"/>
                <w:bCs/>
                <w:color w:val="000000"/>
                <w:sz w:val="16"/>
                <w:szCs w:val="16"/>
              </w:rPr>
              <w:t>ures the performance of the mid cap growth segment of the US equity market</w:t>
            </w:r>
          </w:p>
        </w:tc>
      </w:tr>
      <w:tr w:rsidR="00D81EC3" w14:paraId="6D9F2941"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10FEA055" w14:textId="48FF5589" w:rsidR="00D81EC3" w:rsidRDefault="00D81EC3" w:rsidP="00A27DE3">
            <w:pPr>
              <w:spacing w:after="160"/>
              <w:rPr>
                <w:rFonts w:ascii="Arial" w:hAnsi="Arial" w:cs="Arial"/>
                <w:b/>
                <w:color w:val="343433"/>
                <w:sz w:val="16"/>
                <w:szCs w:val="17"/>
              </w:rPr>
            </w:pPr>
            <w:r>
              <w:rPr>
                <w:rFonts w:ascii="Arial" w:hAnsi="Arial" w:cs="Arial"/>
                <w:b/>
                <w:color w:val="343433"/>
                <w:sz w:val="16"/>
                <w:szCs w:val="17"/>
              </w:rPr>
              <w:t>US Large Cap Value</w:t>
            </w:r>
          </w:p>
        </w:tc>
        <w:tc>
          <w:tcPr>
            <w:tcW w:w="9180" w:type="dxa"/>
            <w:tcBorders>
              <w:top w:val="single" w:sz="4" w:space="0" w:color="E7E6E6"/>
              <w:left w:val="single" w:sz="4" w:space="0" w:color="E7E6E6"/>
              <w:bottom w:val="single" w:sz="4" w:space="0" w:color="E7E6E6"/>
              <w:right w:val="single" w:sz="4" w:space="0" w:color="E7E6E6"/>
            </w:tcBorders>
          </w:tcPr>
          <w:p w14:paraId="13598DBC" w14:textId="28DC6139" w:rsidR="00D81EC3" w:rsidRPr="0086319B" w:rsidRDefault="00D81EC3" w:rsidP="00A27DE3">
            <w:pPr>
              <w:spacing w:after="120"/>
              <w:rPr>
                <w:rFonts w:ascii="Arial" w:hAnsi="Arial" w:cs="Arial"/>
                <w:b/>
                <w:color w:val="000000"/>
                <w:sz w:val="16"/>
                <w:szCs w:val="16"/>
              </w:rPr>
            </w:pPr>
            <w:r w:rsidRPr="009B6440">
              <w:rPr>
                <w:rFonts w:ascii="Arial" w:hAnsi="Arial" w:cs="Arial"/>
                <w:b/>
                <w:color w:val="343433"/>
                <w:sz w:val="16"/>
                <w:szCs w:val="17"/>
              </w:rPr>
              <w:t>S&amp;P 500 Value</w:t>
            </w:r>
            <w:r>
              <w:rPr>
                <w:rFonts w:ascii="Arial" w:hAnsi="Arial" w:cs="Arial"/>
                <w:b/>
                <w:color w:val="000000"/>
                <w:sz w:val="16"/>
                <w:szCs w:val="16"/>
              </w:rPr>
              <w:t xml:space="preserve"> </w:t>
            </w:r>
            <w:r w:rsidRPr="00334AF7">
              <w:rPr>
                <w:rFonts w:ascii="Arial" w:hAnsi="Arial" w:cs="Arial"/>
                <w:bCs/>
                <w:color w:val="000000"/>
                <w:sz w:val="16"/>
                <w:szCs w:val="16"/>
              </w:rPr>
              <w:t>– measures the performance of the large cap value segment of the US equity market</w:t>
            </w:r>
          </w:p>
        </w:tc>
      </w:tr>
      <w:tr w:rsidR="00D81EC3" w14:paraId="7C142D89"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7182B7DD" w14:textId="44F45A16" w:rsidR="00D81EC3" w:rsidRDefault="00D81EC3" w:rsidP="00A27DE3">
            <w:pPr>
              <w:spacing w:after="160"/>
              <w:rPr>
                <w:rFonts w:ascii="Arial" w:hAnsi="Arial" w:cs="Arial"/>
                <w:b/>
                <w:color w:val="343433"/>
                <w:sz w:val="16"/>
                <w:szCs w:val="17"/>
              </w:rPr>
            </w:pPr>
            <w:r>
              <w:rPr>
                <w:rFonts w:ascii="Arial" w:hAnsi="Arial" w:cs="Arial"/>
                <w:b/>
                <w:color w:val="343433"/>
                <w:sz w:val="16"/>
                <w:szCs w:val="17"/>
              </w:rPr>
              <w:t>US Large Cap Growth</w:t>
            </w:r>
          </w:p>
        </w:tc>
        <w:tc>
          <w:tcPr>
            <w:tcW w:w="9180" w:type="dxa"/>
            <w:tcBorders>
              <w:top w:val="single" w:sz="4" w:space="0" w:color="E7E6E6"/>
              <w:left w:val="single" w:sz="4" w:space="0" w:color="E7E6E6"/>
              <w:bottom w:val="single" w:sz="4" w:space="0" w:color="E7E6E6"/>
              <w:right w:val="single" w:sz="4" w:space="0" w:color="E7E6E6"/>
            </w:tcBorders>
          </w:tcPr>
          <w:p w14:paraId="3ED492E5" w14:textId="0453A962" w:rsidR="00D81EC3" w:rsidRPr="0086319B" w:rsidRDefault="00D81EC3" w:rsidP="00A27DE3">
            <w:pPr>
              <w:spacing w:after="120"/>
              <w:rPr>
                <w:rFonts w:ascii="Arial" w:hAnsi="Arial" w:cs="Arial"/>
                <w:b/>
                <w:color w:val="000000"/>
                <w:sz w:val="16"/>
                <w:szCs w:val="16"/>
              </w:rPr>
            </w:pPr>
            <w:r w:rsidRPr="009B6440">
              <w:rPr>
                <w:rFonts w:ascii="Arial" w:hAnsi="Arial" w:cs="Arial"/>
                <w:b/>
                <w:color w:val="343433"/>
                <w:sz w:val="16"/>
                <w:szCs w:val="17"/>
              </w:rPr>
              <w:t>S&amp;P 500 Growth</w:t>
            </w:r>
            <w:r>
              <w:rPr>
                <w:rFonts w:ascii="Arial" w:hAnsi="Arial" w:cs="Arial"/>
                <w:b/>
                <w:color w:val="000000"/>
                <w:sz w:val="16"/>
                <w:szCs w:val="16"/>
              </w:rPr>
              <w:t xml:space="preserve"> </w:t>
            </w:r>
            <w:r w:rsidRPr="00334AF7">
              <w:rPr>
                <w:rFonts w:ascii="Arial" w:hAnsi="Arial" w:cs="Arial"/>
                <w:bCs/>
                <w:color w:val="000000"/>
                <w:sz w:val="16"/>
                <w:szCs w:val="16"/>
              </w:rPr>
              <w:t>– measures the performance of the large cap growth segment of the US equity market</w:t>
            </w:r>
          </w:p>
        </w:tc>
      </w:tr>
      <w:tr w:rsidR="00D81EC3" w14:paraId="73745119"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6CEA7CC6" w14:textId="475CDF97" w:rsidR="00D81EC3" w:rsidRDefault="00D81EC3" w:rsidP="00A27DE3">
            <w:pPr>
              <w:spacing w:after="160"/>
              <w:rPr>
                <w:rFonts w:ascii="Arial" w:hAnsi="Arial" w:cs="Arial"/>
                <w:b/>
                <w:color w:val="343433"/>
                <w:sz w:val="16"/>
                <w:szCs w:val="17"/>
              </w:rPr>
            </w:pPr>
            <w:r>
              <w:rPr>
                <w:rFonts w:ascii="Arial" w:hAnsi="Arial" w:cs="Arial"/>
                <w:b/>
                <w:color w:val="343433"/>
                <w:sz w:val="16"/>
                <w:szCs w:val="17"/>
              </w:rPr>
              <w:t>US Bonds</w:t>
            </w:r>
          </w:p>
        </w:tc>
        <w:tc>
          <w:tcPr>
            <w:tcW w:w="9180" w:type="dxa"/>
            <w:tcBorders>
              <w:top w:val="single" w:sz="4" w:space="0" w:color="E7E6E6"/>
              <w:left w:val="single" w:sz="4" w:space="0" w:color="E7E6E6"/>
              <w:bottom w:val="single" w:sz="4" w:space="0" w:color="E7E6E6"/>
              <w:right w:val="single" w:sz="4" w:space="0" w:color="E7E6E6"/>
            </w:tcBorders>
          </w:tcPr>
          <w:p w14:paraId="7AC1AF70" w14:textId="34532BBC" w:rsidR="00D81EC3" w:rsidRPr="0086319B" w:rsidRDefault="00D81EC3" w:rsidP="00A27DE3">
            <w:pPr>
              <w:spacing w:after="120"/>
              <w:rPr>
                <w:rFonts w:ascii="Arial" w:hAnsi="Arial" w:cs="Arial"/>
                <w:b/>
                <w:color w:val="000000"/>
                <w:sz w:val="16"/>
                <w:szCs w:val="16"/>
              </w:rPr>
            </w:pPr>
            <w:r>
              <w:rPr>
                <w:rFonts w:ascii="Arial" w:hAnsi="Arial" w:cs="Arial"/>
                <w:b/>
                <w:color w:val="343433"/>
                <w:sz w:val="16"/>
                <w:szCs w:val="17"/>
              </w:rPr>
              <w:t xml:space="preserve">Bloomberg US Aggregate </w:t>
            </w:r>
            <w:r w:rsidRPr="009B6440">
              <w:rPr>
                <w:rFonts w:ascii="Arial" w:hAnsi="Arial" w:cs="Arial"/>
                <w:bCs/>
                <w:color w:val="000000"/>
                <w:sz w:val="16"/>
                <w:szCs w:val="16"/>
              </w:rPr>
              <w:t>—</w:t>
            </w:r>
            <w:r w:rsidRPr="009B6440">
              <w:rPr>
                <w:rFonts w:ascii="Arial" w:hAnsi="Arial" w:cs="Arial"/>
                <w:b/>
                <w:color w:val="000000"/>
                <w:sz w:val="16"/>
                <w:szCs w:val="16"/>
              </w:rPr>
              <w:t xml:space="preserve"> </w:t>
            </w:r>
            <w:r>
              <w:rPr>
                <w:rFonts w:ascii="Arial" w:hAnsi="Arial" w:cs="Arial"/>
                <w:color w:val="343433"/>
                <w:sz w:val="16"/>
                <w:szCs w:val="17"/>
              </w:rPr>
              <w:t xml:space="preserve">measures the market of USD-denominated, investment grade, fixed-rate taxable bond market of SEC-registered securities, including bonds from the Treasury, government-related, corporate, mortgage-backed securities (agency fixed-rate and hybrid ARM passthroughs), ABS and CMBS sectors. US Agency Hybrid Adjustable Rate Mortgage (ARM) securities were added to the US Aggregate Index on April 1, 2007. </w:t>
            </w:r>
          </w:p>
        </w:tc>
      </w:tr>
      <w:tr w:rsidR="00D81EC3" w14:paraId="2BF00A1F"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2F689800" w14:textId="1ED8192F" w:rsidR="00D81EC3" w:rsidRDefault="00D81EC3" w:rsidP="00A27DE3">
            <w:pPr>
              <w:spacing w:after="160"/>
              <w:rPr>
                <w:rFonts w:ascii="Arial" w:hAnsi="Arial" w:cs="Arial"/>
                <w:b/>
                <w:color w:val="343433"/>
                <w:sz w:val="16"/>
                <w:szCs w:val="17"/>
              </w:rPr>
            </w:pPr>
            <w:r>
              <w:rPr>
                <w:rFonts w:ascii="Arial" w:hAnsi="Arial" w:cs="Arial"/>
                <w:b/>
                <w:color w:val="343433"/>
                <w:sz w:val="16"/>
                <w:szCs w:val="17"/>
              </w:rPr>
              <w:t>International Bonds</w:t>
            </w:r>
          </w:p>
        </w:tc>
        <w:tc>
          <w:tcPr>
            <w:tcW w:w="9180" w:type="dxa"/>
            <w:tcBorders>
              <w:top w:val="single" w:sz="4" w:space="0" w:color="E7E6E6"/>
              <w:left w:val="single" w:sz="4" w:space="0" w:color="E7E6E6"/>
              <w:bottom w:val="single" w:sz="4" w:space="0" w:color="E7E6E6"/>
              <w:right w:val="single" w:sz="4" w:space="0" w:color="E7E6E6"/>
            </w:tcBorders>
          </w:tcPr>
          <w:p w14:paraId="5A9BF417" w14:textId="4CFDE7B7" w:rsidR="00D81EC3" w:rsidRPr="0040163B" w:rsidRDefault="00D81EC3" w:rsidP="00A27DE3">
            <w:pPr>
              <w:spacing w:after="120"/>
              <w:rPr>
                <w:rFonts w:ascii="Arial" w:hAnsi="Arial" w:cs="Arial"/>
                <w:b/>
                <w:color w:val="343433"/>
                <w:sz w:val="16"/>
                <w:szCs w:val="17"/>
              </w:rPr>
            </w:pPr>
            <w:r w:rsidRPr="0040163B">
              <w:rPr>
                <w:rFonts w:ascii="Arial" w:hAnsi="Arial" w:cs="Arial"/>
                <w:b/>
                <w:color w:val="343433"/>
                <w:sz w:val="16"/>
                <w:szCs w:val="17"/>
              </w:rPr>
              <w:t>Bloomberg Global Aggregate ex USD</w:t>
            </w:r>
            <w:r w:rsidRPr="0040163B">
              <w:rPr>
                <w:rFonts w:ascii="Arial" w:hAnsi="Arial" w:cs="Arial"/>
                <w:color w:val="343433"/>
                <w:sz w:val="16"/>
                <w:szCs w:val="17"/>
              </w:rPr>
              <w:t xml:space="preserve"> - is a flagship hard currency Emerg</w:t>
            </w:r>
            <w:r>
              <w:rPr>
                <w:rFonts w:ascii="Arial" w:hAnsi="Arial" w:cs="Arial"/>
                <w:color w:val="343433"/>
                <w:sz w:val="16"/>
                <w:szCs w:val="17"/>
              </w:rPr>
              <w:t>ing</w:t>
            </w:r>
            <w:r w:rsidRPr="0040163B">
              <w:rPr>
                <w:rFonts w:ascii="Arial" w:hAnsi="Arial" w:cs="Arial"/>
                <w:color w:val="343433"/>
                <w:sz w:val="16"/>
                <w:szCs w:val="17"/>
              </w:rPr>
              <w:t xml:space="preserve"> Markets debt benchmark that includes fixed and floating-rate US dollar-denominated debt issued from sovereign, quasi-sovereign, and corporate EM issuers. Country eligibility and classification as Emerging Markets is rules-based and reviewed annually using World Bank income group and International Monetary Fund (IMF) country classification.</w:t>
            </w:r>
          </w:p>
        </w:tc>
      </w:tr>
      <w:tr w:rsidR="00D81EC3" w14:paraId="563AD8AD"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724671F2" w14:textId="34CA1407" w:rsidR="00D81EC3" w:rsidRDefault="00D81EC3" w:rsidP="00A27DE3">
            <w:pPr>
              <w:spacing w:after="160"/>
              <w:rPr>
                <w:rFonts w:ascii="Arial" w:hAnsi="Arial" w:cs="Arial"/>
                <w:b/>
                <w:color w:val="343433"/>
                <w:sz w:val="16"/>
                <w:szCs w:val="17"/>
              </w:rPr>
            </w:pPr>
            <w:r>
              <w:rPr>
                <w:rFonts w:ascii="Arial" w:hAnsi="Arial" w:cs="Arial"/>
                <w:b/>
                <w:color w:val="343433"/>
                <w:sz w:val="16"/>
                <w:szCs w:val="17"/>
              </w:rPr>
              <w:t>Emerging Markets Bonds</w:t>
            </w:r>
          </w:p>
        </w:tc>
        <w:tc>
          <w:tcPr>
            <w:tcW w:w="9180" w:type="dxa"/>
            <w:tcBorders>
              <w:top w:val="single" w:sz="4" w:space="0" w:color="E7E6E6"/>
              <w:left w:val="single" w:sz="4" w:space="0" w:color="E7E6E6"/>
              <w:bottom w:val="single" w:sz="4" w:space="0" w:color="E7E6E6"/>
              <w:right w:val="single" w:sz="4" w:space="0" w:color="E7E6E6"/>
            </w:tcBorders>
          </w:tcPr>
          <w:p w14:paraId="138E540B" w14:textId="0ED0C23E" w:rsidR="00D81EC3" w:rsidRPr="005C0619" w:rsidRDefault="00D81EC3" w:rsidP="00A27DE3">
            <w:pPr>
              <w:spacing w:after="120"/>
              <w:rPr>
                <w:rFonts w:ascii="Arial" w:hAnsi="Arial" w:cs="Arial"/>
                <w:color w:val="343433"/>
                <w:sz w:val="16"/>
                <w:szCs w:val="17"/>
              </w:rPr>
            </w:pPr>
            <w:r w:rsidRPr="0040163B">
              <w:rPr>
                <w:rFonts w:ascii="Arial" w:hAnsi="Arial" w:cs="Arial"/>
                <w:b/>
                <w:color w:val="343433"/>
                <w:sz w:val="16"/>
                <w:szCs w:val="17"/>
              </w:rPr>
              <w:t>Bloomberg Emerging Markets USD Aggregate</w:t>
            </w:r>
            <w:r w:rsidRPr="0040163B">
              <w:rPr>
                <w:rFonts w:ascii="Arial" w:hAnsi="Arial" w:cs="Arial"/>
                <w:color w:val="343433"/>
                <w:sz w:val="16"/>
                <w:szCs w:val="17"/>
              </w:rPr>
              <w:t xml:space="preserve"> - is a </w:t>
            </w:r>
            <w:r>
              <w:rPr>
                <w:rFonts w:ascii="Arial" w:hAnsi="Arial" w:cs="Arial"/>
                <w:color w:val="343433"/>
                <w:sz w:val="16"/>
                <w:szCs w:val="17"/>
              </w:rPr>
              <w:t>flagship hard currency Emerging</w:t>
            </w:r>
            <w:r w:rsidRPr="0040163B">
              <w:rPr>
                <w:rFonts w:ascii="Arial" w:hAnsi="Arial" w:cs="Arial"/>
                <w:color w:val="343433"/>
                <w:sz w:val="16"/>
                <w:szCs w:val="17"/>
              </w:rPr>
              <w:t xml:space="preserve"> Markets debt benchmark that includes fixed and floating-rate US dollar-denominated debt issued from sovereign, quasi-sovereign, and corporate EM issuers. Country eligibility and classification as Emerging Markets is rules-based and reviewed annually using World Bank income group and International Monetary Fund (IMF) country classification.</w:t>
            </w:r>
          </w:p>
        </w:tc>
      </w:tr>
      <w:tr w:rsidR="005D1CCE" w14:paraId="247C57B4"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598B70DE" w14:textId="0A2A5C6F" w:rsidR="005D1CCE" w:rsidRDefault="005D1CCE" w:rsidP="00A27DE3">
            <w:pPr>
              <w:spacing w:after="160"/>
              <w:rPr>
                <w:rFonts w:ascii="Arial" w:hAnsi="Arial" w:cs="Arial"/>
                <w:b/>
                <w:color w:val="343433"/>
                <w:sz w:val="16"/>
                <w:szCs w:val="17"/>
              </w:rPr>
            </w:pPr>
            <w:r>
              <w:rPr>
                <w:rFonts w:ascii="Arial" w:hAnsi="Arial" w:cs="Arial"/>
                <w:b/>
                <w:color w:val="343433"/>
                <w:sz w:val="16"/>
                <w:szCs w:val="17"/>
              </w:rPr>
              <w:t>Global Bonds</w:t>
            </w:r>
          </w:p>
        </w:tc>
        <w:tc>
          <w:tcPr>
            <w:tcW w:w="9180" w:type="dxa"/>
            <w:tcBorders>
              <w:top w:val="single" w:sz="4" w:space="0" w:color="E7E6E6"/>
              <w:left w:val="single" w:sz="4" w:space="0" w:color="E7E6E6"/>
              <w:bottom w:val="single" w:sz="4" w:space="0" w:color="E7E6E6"/>
              <w:right w:val="single" w:sz="4" w:space="0" w:color="E7E6E6"/>
            </w:tcBorders>
          </w:tcPr>
          <w:p w14:paraId="5575D515" w14:textId="0B10BB18" w:rsidR="005D1CCE" w:rsidRPr="0040163B" w:rsidRDefault="005D1CCE" w:rsidP="005D1CCE">
            <w:pPr>
              <w:spacing w:after="120"/>
              <w:rPr>
                <w:rFonts w:ascii="Arial" w:hAnsi="Arial" w:cs="Arial"/>
                <w:b/>
                <w:color w:val="343433"/>
                <w:sz w:val="16"/>
                <w:szCs w:val="17"/>
              </w:rPr>
            </w:pPr>
            <w:r w:rsidRPr="005D1CCE">
              <w:rPr>
                <w:rFonts w:ascii="Arial" w:hAnsi="Arial" w:cs="Arial"/>
                <w:b/>
                <w:bCs/>
                <w:color w:val="343433"/>
                <w:sz w:val="16"/>
                <w:szCs w:val="17"/>
              </w:rPr>
              <w:t>Barclays Global Aggregate</w:t>
            </w:r>
            <w:r>
              <w:rPr>
                <w:rFonts w:ascii="Arial" w:hAnsi="Arial" w:cs="Arial"/>
                <w:b/>
                <w:bCs/>
                <w:color w:val="343433"/>
                <w:sz w:val="16"/>
                <w:szCs w:val="17"/>
              </w:rPr>
              <w:t xml:space="preserve"> - </w:t>
            </w:r>
            <w:r w:rsidRPr="005D1CCE">
              <w:rPr>
                <w:rFonts w:ascii="Arial" w:hAnsi="Arial" w:cs="Arial"/>
                <w:color w:val="343433"/>
                <w:sz w:val="16"/>
                <w:szCs w:val="17"/>
              </w:rPr>
              <w:t>measures the performance of global, investment-grade debt from 24 local currency markets. This benchmark includes treasury, government-related, corporate and securitized fixed-rate bonds from both developed and emerging markets issuers.</w:t>
            </w:r>
          </w:p>
        </w:tc>
      </w:tr>
      <w:tr w:rsidR="00D81EC3" w14:paraId="660109FC"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2A9744E8" w14:textId="359E2123" w:rsidR="00D81EC3" w:rsidRDefault="00D81EC3" w:rsidP="00A27DE3">
            <w:pPr>
              <w:spacing w:after="160"/>
              <w:rPr>
                <w:rFonts w:ascii="Arial" w:hAnsi="Arial" w:cs="Arial"/>
                <w:b/>
                <w:color w:val="343433"/>
                <w:sz w:val="16"/>
                <w:szCs w:val="17"/>
              </w:rPr>
            </w:pPr>
            <w:r>
              <w:rPr>
                <w:rFonts w:ascii="Arial" w:hAnsi="Arial" w:cs="Arial"/>
                <w:b/>
                <w:color w:val="343433"/>
                <w:sz w:val="16"/>
                <w:szCs w:val="17"/>
              </w:rPr>
              <w:t>TIPS</w:t>
            </w:r>
          </w:p>
        </w:tc>
        <w:tc>
          <w:tcPr>
            <w:tcW w:w="9180" w:type="dxa"/>
            <w:tcBorders>
              <w:top w:val="single" w:sz="4" w:space="0" w:color="E7E6E6"/>
              <w:left w:val="single" w:sz="4" w:space="0" w:color="E7E6E6"/>
              <w:bottom w:val="single" w:sz="4" w:space="0" w:color="E7E6E6"/>
              <w:right w:val="single" w:sz="4" w:space="0" w:color="E7E6E6"/>
            </w:tcBorders>
          </w:tcPr>
          <w:p w14:paraId="083B4CE1" w14:textId="163440FC" w:rsidR="00D81EC3" w:rsidRPr="00D17BCA" w:rsidRDefault="00D81EC3" w:rsidP="00A27DE3">
            <w:pPr>
              <w:spacing w:after="160"/>
              <w:rPr>
                <w:rFonts w:ascii="Arial" w:hAnsi="Arial" w:cs="Arial"/>
                <w:color w:val="343433"/>
                <w:sz w:val="16"/>
                <w:szCs w:val="17"/>
              </w:rPr>
            </w:pPr>
            <w:r>
              <w:rPr>
                <w:rFonts w:ascii="Arial" w:hAnsi="Arial" w:cs="Arial"/>
                <w:b/>
                <w:color w:val="343433"/>
                <w:sz w:val="16"/>
                <w:szCs w:val="17"/>
              </w:rPr>
              <w:t xml:space="preserve">Bloomberg US TIPS </w:t>
            </w:r>
            <w:r w:rsidRPr="00431ABC">
              <w:rPr>
                <w:rFonts w:ascii="Arial" w:hAnsi="Arial" w:cs="Arial"/>
                <w:bCs/>
                <w:color w:val="343433"/>
                <w:sz w:val="16"/>
                <w:szCs w:val="17"/>
              </w:rPr>
              <w:t>-</w:t>
            </w:r>
            <w:r>
              <w:rPr>
                <w:rFonts w:ascii="Arial" w:hAnsi="Arial" w:cs="Arial"/>
                <w:b/>
                <w:color w:val="343433"/>
                <w:sz w:val="16"/>
                <w:szCs w:val="17"/>
              </w:rPr>
              <w:t xml:space="preserve"> </w:t>
            </w:r>
            <w:r w:rsidRPr="00431ABC">
              <w:rPr>
                <w:rFonts w:ascii="Arial" w:hAnsi="Arial" w:cs="Arial"/>
                <w:color w:val="343433"/>
                <w:sz w:val="16"/>
                <w:szCs w:val="17"/>
              </w:rPr>
              <w:t>measures the performance of inflation-protected securities issued by the US Treasury.</w:t>
            </w:r>
          </w:p>
        </w:tc>
      </w:tr>
      <w:tr w:rsidR="00D81EC3" w14:paraId="4B1FDE88"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4A7E2563" w14:textId="3FA04CD4" w:rsidR="00D81EC3" w:rsidRDefault="00D81EC3" w:rsidP="00A27DE3">
            <w:pPr>
              <w:spacing w:after="160"/>
              <w:rPr>
                <w:rFonts w:ascii="Arial" w:hAnsi="Arial" w:cs="Arial"/>
                <w:b/>
                <w:color w:val="343433"/>
                <w:sz w:val="16"/>
                <w:szCs w:val="17"/>
              </w:rPr>
            </w:pPr>
            <w:r>
              <w:rPr>
                <w:rFonts w:ascii="Arial" w:hAnsi="Arial" w:cs="Arial"/>
                <w:b/>
                <w:color w:val="343433"/>
                <w:sz w:val="16"/>
                <w:szCs w:val="17"/>
              </w:rPr>
              <w:t>US Long Treasuries</w:t>
            </w:r>
          </w:p>
        </w:tc>
        <w:tc>
          <w:tcPr>
            <w:tcW w:w="9180" w:type="dxa"/>
            <w:tcBorders>
              <w:top w:val="single" w:sz="4" w:space="0" w:color="E7E6E6"/>
              <w:left w:val="single" w:sz="4" w:space="0" w:color="E7E6E6"/>
              <w:bottom w:val="single" w:sz="4" w:space="0" w:color="E7E6E6"/>
              <w:right w:val="single" w:sz="4" w:space="0" w:color="E7E6E6"/>
            </w:tcBorders>
          </w:tcPr>
          <w:p w14:paraId="646D2B38" w14:textId="1D249A55" w:rsidR="00D81EC3" w:rsidRPr="0040163B" w:rsidRDefault="00D81EC3" w:rsidP="00A27DE3">
            <w:pPr>
              <w:spacing w:after="160"/>
              <w:rPr>
                <w:rFonts w:ascii="Arial" w:hAnsi="Arial" w:cs="Arial"/>
                <w:b/>
                <w:color w:val="343433"/>
                <w:sz w:val="16"/>
                <w:szCs w:val="17"/>
              </w:rPr>
            </w:pPr>
            <w:r w:rsidRPr="00BB3771">
              <w:rPr>
                <w:rFonts w:ascii="Arial" w:hAnsi="Arial" w:cs="Arial"/>
                <w:b/>
                <w:color w:val="343433"/>
                <w:sz w:val="16"/>
                <w:szCs w:val="17"/>
              </w:rPr>
              <w:t>Bloomberg Long Treasuries</w:t>
            </w:r>
            <w:r>
              <w:rPr>
                <w:rFonts w:ascii="Arial" w:hAnsi="Arial" w:cs="Arial"/>
                <w:bCs/>
                <w:color w:val="343433"/>
                <w:sz w:val="16"/>
                <w:szCs w:val="17"/>
              </w:rPr>
              <w:t xml:space="preserve"> - </w:t>
            </w:r>
            <w:r w:rsidRPr="00BB3771">
              <w:rPr>
                <w:rFonts w:ascii="Arial" w:hAnsi="Arial" w:cs="Arial"/>
                <w:bCs/>
                <w:color w:val="343433"/>
                <w:sz w:val="16"/>
                <w:szCs w:val="17"/>
              </w:rPr>
              <w:t xml:space="preserve">measures the performance of </w:t>
            </w:r>
            <w:r>
              <w:rPr>
                <w:rFonts w:ascii="Arial" w:hAnsi="Arial" w:cs="Arial"/>
                <w:bCs/>
                <w:color w:val="343433"/>
                <w:sz w:val="16"/>
                <w:szCs w:val="17"/>
              </w:rPr>
              <w:t>long</w:t>
            </w:r>
            <w:r w:rsidRPr="00BB3771">
              <w:rPr>
                <w:rFonts w:ascii="Arial" w:hAnsi="Arial" w:cs="Arial"/>
                <w:bCs/>
                <w:color w:val="343433"/>
                <w:sz w:val="16"/>
                <w:szCs w:val="17"/>
              </w:rPr>
              <w:t>-term US Treasury bonds, including all publicly issued securities that have a remaining maturity of ten or more years, are: non-convertible, denominated in US dollars, rated investment-grade, fixed-rate and have $250 or more of outstanding face value.</w:t>
            </w:r>
          </w:p>
        </w:tc>
      </w:tr>
      <w:tr w:rsidR="00D81EC3" w14:paraId="5DEB02D2"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0E6C8C1C" w14:textId="0B1BA40E" w:rsidR="00D81EC3" w:rsidRDefault="00D81EC3" w:rsidP="00A27DE3">
            <w:pPr>
              <w:spacing w:after="160"/>
              <w:rPr>
                <w:rFonts w:ascii="Arial" w:hAnsi="Arial" w:cs="Arial"/>
                <w:b/>
                <w:color w:val="343433"/>
                <w:sz w:val="16"/>
                <w:szCs w:val="17"/>
              </w:rPr>
            </w:pPr>
            <w:r>
              <w:rPr>
                <w:rFonts w:ascii="Arial" w:hAnsi="Arial" w:cs="Arial"/>
                <w:b/>
                <w:color w:val="343433"/>
                <w:sz w:val="16"/>
                <w:szCs w:val="17"/>
              </w:rPr>
              <w:t>High-Yield Bonds</w:t>
            </w:r>
          </w:p>
        </w:tc>
        <w:tc>
          <w:tcPr>
            <w:tcW w:w="9180" w:type="dxa"/>
            <w:tcBorders>
              <w:top w:val="single" w:sz="4" w:space="0" w:color="E7E6E6"/>
              <w:left w:val="single" w:sz="4" w:space="0" w:color="E7E6E6"/>
              <w:bottom w:val="single" w:sz="4" w:space="0" w:color="E7E6E6"/>
              <w:right w:val="single" w:sz="4" w:space="0" w:color="E7E6E6"/>
            </w:tcBorders>
          </w:tcPr>
          <w:p w14:paraId="7547C8B0" w14:textId="1BE63CB2" w:rsidR="00D81EC3" w:rsidRPr="00BB3771" w:rsidRDefault="00D81EC3" w:rsidP="00A27DE3">
            <w:pPr>
              <w:spacing w:after="160"/>
              <w:rPr>
                <w:rFonts w:ascii="Arial" w:hAnsi="Arial" w:cs="Arial"/>
                <w:bCs/>
                <w:color w:val="343433"/>
                <w:sz w:val="16"/>
                <w:szCs w:val="17"/>
              </w:rPr>
            </w:pPr>
            <w:r w:rsidRPr="0040163B">
              <w:rPr>
                <w:rFonts w:ascii="Arial" w:hAnsi="Arial" w:cs="Arial"/>
                <w:b/>
                <w:color w:val="343433"/>
                <w:sz w:val="16"/>
                <w:szCs w:val="17"/>
              </w:rPr>
              <w:t>Bloomberg US Corporate High Yield</w:t>
            </w:r>
            <w:r w:rsidRPr="0040163B">
              <w:rPr>
                <w:rFonts w:ascii="Arial" w:hAnsi="Arial" w:cs="Arial"/>
                <w:color w:val="343433"/>
                <w:sz w:val="16"/>
                <w:szCs w:val="17"/>
              </w:rPr>
              <w:t xml:space="preserve"> - measures the market of USD-denominated, non-investment grade, fixed-rate, taxable corporate bonds. Securities are classified as high yield if the middle rating of </w:t>
            </w:r>
            <w:r w:rsidR="00EE05A2" w:rsidRPr="0040163B">
              <w:rPr>
                <w:rFonts w:ascii="Arial" w:hAnsi="Arial" w:cs="Arial"/>
                <w:color w:val="343433"/>
                <w:sz w:val="16"/>
                <w:szCs w:val="17"/>
              </w:rPr>
              <w:t>Moody</w:t>
            </w:r>
            <w:r w:rsidR="00EE05A2">
              <w:rPr>
                <w:rFonts w:ascii="Arial" w:hAnsi="Arial" w:cs="Arial"/>
                <w:color w:val="343433"/>
                <w:sz w:val="16"/>
                <w:szCs w:val="17"/>
              </w:rPr>
              <w:t>'</w:t>
            </w:r>
            <w:r w:rsidR="00EE05A2" w:rsidRPr="0040163B">
              <w:rPr>
                <w:rFonts w:ascii="Arial" w:hAnsi="Arial" w:cs="Arial"/>
                <w:color w:val="343433"/>
                <w:sz w:val="16"/>
                <w:szCs w:val="17"/>
              </w:rPr>
              <w:t>s</w:t>
            </w:r>
            <w:r w:rsidRPr="0040163B">
              <w:rPr>
                <w:rFonts w:ascii="Arial" w:hAnsi="Arial" w:cs="Arial"/>
                <w:color w:val="343433"/>
                <w:sz w:val="16"/>
                <w:szCs w:val="17"/>
              </w:rPr>
              <w:t>, Fitch, and S&amp;P is Ba1/BB+/BB+ or below. The index excludes emerging market debt.</w:t>
            </w:r>
          </w:p>
        </w:tc>
      </w:tr>
      <w:tr w:rsidR="00D81EC3" w14:paraId="42045002"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06CB1661" w14:textId="77777777" w:rsidR="00D81EC3" w:rsidRPr="009B6440" w:rsidRDefault="00D81EC3" w:rsidP="00B50986">
            <w:pPr>
              <w:spacing w:after="160"/>
              <w:rPr>
                <w:rFonts w:ascii="Arial" w:hAnsi="Arial" w:cs="Arial"/>
                <w:b/>
                <w:color w:val="343433"/>
                <w:sz w:val="16"/>
                <w:szCs w:val="17"/>
              </w:rPr>
            </w:pPr>
            <w:r w:rsidRPr="009B6440">
              <w:rPr>
                <w:rFonts w:ascii="Arial" w:hAnsi="Arial" w:cs="Arial"/>
                <w:b/>
                <w:color w:val="343433"/>
                <w:sz w:val="16"/>
                <w:szCs w:val="17"/>
              </w:rPr>
              <w:t>Consumer Discretionary</w:t>
            </w:r>
          </w:p>
          <w:p w14:paraId="2F5B748E" w14:textId="507DD7C2" w:rsidR="00D81EC3" w:rsidRDefault="00D81EC3" w:rsidP="00A27DE3">
            <w:pPr>
              <w:spacing w:after="160"/>
              <w:rPr>
                <w:rFonts w:ascii="Arial" w:hAnsi="Arial" w:cs="Arial"/>
                <w:b/>
                <w:color w:val="343433"/>
                <w:sz w:val="16"/>
                <w:szCs w:val="17"/>
              </w:rPr>
            </w:pPr>
          </w:p>
        </w:tc>
        <w:tc>
          <w:tcPr>
            <w:tcW w:w="9180" w:type="dxa"/>
            <w:tcBorders>
              <w:top w:val="single" w:sz="4" w:space="0" w:color="E7E6E6"/>
              <w:left w:val="single" w:sz="4" w:space="0" w:color="E7E6E6"/>
              <w:bottom w:val="single" w:sz="4" w:space="0" w:color="E7E6E6"/>
              <w:right w:val="single" w:sz="4" w:space="0" w:color="E7E6E6"/>
            </w:tcBorders>
          </w:tcPr>
          <w:p w14:paraId="62932521" w14:textId="2F5C3C7F" w:rsidR="00D81EC3" w:rsidRDefault="00D81EC3" w:rsidP="00A27DE3">
            <w:pPr>
              <w:spacing w:after="160"/>
              <w:rPr>
                <w:rFonts w:ascii="Arial" w:hAnsi="Arial" w:cs="Arial"/>
                <w:b/>
                <w:color w:val="343433"/>
                <w:sz w:val="16"/>
                <w:szCs w:val="17"/>
              </w:rPr>
            </w:pPr>
            <w:r w:rsidRPr="002812BF">
              <w:rPr>
                <w:rFonts w:ascii="Arial" w:hAnsi="Arial" w:cs="Arial"/>
                <w:b/>
                <w:color w:val="343433"/>
                <w:sz w:val="16"/>
                <w:szCs w:val="17"/>
              </w:rPr>
              <w:t>S&amp;P 500 Consumer Discretionary Sector</w:t>
            </w:r>
            <w:r>
              <w:rPr>
                <w:rFonts w:ascii="Arial" w:hAnsi="Arial" w:cs="Arial"/>
                <w:color w:val="000000"/>
                <w:sz w:val="16"/>
                <w:szCs w:val="16"/>
              </w:rPr>
              <w:t xml:space="preserve"> - </w:t>
            </w:r>
            <w:r w:rsidRPr="00BB3771">
              <w:rPr>
                <w:rFonts w:ascii="Arial" w:hAnsi="Arial" w:cs="Arial"/>
                <w:color w:val="000000"/>
                <w:sz w:val="16"/>
                <w:szCs w:val="16"/>
              </w:rPr>
              <w:t>measures the performance of companies involved in industries such as: automobiles and components, consumer durables, apparel, hotels, restaurants, leisure, media and retailing.</w:t>
            </w:r>
          </w:p>
        </w:tc>
      </w:tr>
      <w:tr w:rsidR="00D81EC3" w14:paraId="55BBB1A9" w14:textId="77777777" w:rsidTr="00BB3771">
        <w:trPr>
          <w:trHeight w:val="833"/>
        </w:trPr>
        <w:tc>
          <w:tcPr>
            <w:tcW w:w="1615" w:type="dxa"/>
            <w:tcBorders>
              <w:top w:val="single" w:sz="4" w:space="0" w:color="E7E6E6"/>
              <w:left w:val="single" w:sz="4" w:space="0" w:color="E7E6E6"/>
              <w:bottom w:val="single" w:sz="4" w:space="0" w:color="E7E6E6"/>
              <w:right w:val="single" w:sz="4" w:space="0" w:color="E7E6E6"/>
            </w:tcBorders>
          </w:tcPr>
          <w:p w14:paraId="31F6983A" w14:textId="0089A0F1" w:rsidR="00D81EC3" w:rsidRPr="002C384C" w:rsidRDefault="00D81EC3" w:rsidP="00B50986">
            <w:pPr>
              <w:spacing w:after="160"/>
              <w:rPr>
                <w:rFonts w:ascii="Arial" w:hAnsi="Arial" w:cs="Arial"/>
                <w:b/>
                <w:color w:val="343433"/>
                <w:sz w:val="16"/>
                <w:szCs w:val="17"/>
              </w:rPr>
            </w:pPr>
            <w:r w:rsidRPr="00FC2692">
              <w:rPr>
                <w:rFonts w:ascii="Arial" w:hAnsi="Arial" w:cs="Arial"/>
                <w:b/>
                <w:color w:val="343433"/>
                <w:sz w:val="16"/>
                <w:szCs w:val="17"/>
              </w:rPr>
              <w:t>Real Estate</w:t>
            </w:r>
          </w:p>
        </w:tc>
        <w:tc>
          <w:tcPr>
            <w:tcW w:w="9180" w:type="dxa"/>
            <w:tcBorders>
              <w:top w:val="single" w:sz="4" w:space="0" w:color="E7E6E6"/>
              <w:left w:val="single" w:sz="4" w:space="0" w:color="E7E6E6"/>
              <w:bottom w:val="single" w:sz="4" w:space="0" w:color="E7E6E6"/>
              <w:right w:val="single" w:sz="4" w:space="0" w:color="E7E6E6"/>
            </w:tcBorders>
          </w:tcPr>
          <w:p w14:paraId="5C3AC59B" w14:textId="2309BF31" w:rsidR="00D81EC3" w:rsidRPr="002C384C" w:rsidRDefault="00D81EC3" w:rsidP="00B50986">
            <w:pPr>
              <w:spacing w:after="160"/>
              <w:rPr>
                <w:rFonts w:ascii="Arial" w:hAnsi="Arial" w:cs="Arial"/>
                <w:color w:val="000000"/>
                <w:sz w:val="16"/>
                <w:szCs w:val="16"/>
              </w:rPr>
            </w:pPr>
            <w:r w:rsidRPr="002812BF">
              <w:rPr>
                <w:rFonts w:ascii="Arial" w:hAnsi="Arial" w:cs="Arial"/>
                <w:b/>
                <w:color w:val="343433"/>
                <w:sz w:val="16"/>
                <w:szCs w:val="17"/>
              </w:rPr>
              <w:t>S&amp;P 500 Sector Real Estate</w:t>
            </w:r>
            <w:r>
              <w:rPr>
                <w:rFonts w:ascii="Arial" w:hAnsi="Arial" w:cs="Arial"/>
                <w:color w:val="000000"/>
                <w:sz w:val="16"/>
                <w:szCs w:val="16"/>
              </w:rPr>
              <w:t xml:space="preserve"> - </w:t>
            </w:r>
            <w:r w:rsidRPr="00FC2692">
              <w:rPr>
                <w:rFonts w:ascii="Arial" w:hAnsi="Arial" w:cs="Arial"/>
                <w:color w:val="000000"/>
                <w:sz w:val="16"/>
                <w:szCs w:val="16"/>
              </w:rPr>
              <w:t>measures the performance of companies from the following industries:  real estate management &amp; development and REITS, excluding mortgage REITS.</w:t>
            </w:r>
          </w:p>
        </w:tc>
      </w:tr>
      <w:tr w:rsidR="00D81EC3" w14:paraId="5564DFE3"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5B306A72" w14:textId="226057CF" w:rsidR="00D81EC3" w:rsidRPr="002C384C" w:rsidRDefault="00D81EC3" w:rsidP="00B50986">
            <w:pPr>
              <w:spacing w:after="160"/>
              <w:rPr>
                <w:rFonts w:ascii="Arial" w:hAnsi="Arial" w:cs="Arial"/>
                <w:b/>
                <w:color w:val="343433"/>
                <w:sz w:val="16"/>
                <w:szCs w:val="17"/>
              </w:rPr>
            </w:pPr>
            <w:r w:rsidRPr="00FC2692">
              <w:rPr>
                <w:rFonts w:ascii="Arial" w:hAnsi="Arial" w:cs="Arial"/>
                <w:b/>
                <w:color w:val="343433"/>
                <w:sz w:val="16"/>
                <w:szCs w:val="17"/>
              </w:rPr>
              <w:t>Energy</w:t>
            </w:r>
          </w:p>
        </w:tc>
        <w:tc>
          <w:tcPr>
            <w:tcW w:w="9180" w:type="dxa"/>
            <w:tcBorders>
              <w:top w:val="single" w:sz="4" w:space="0" w:color="E7E6E6"/>
              <w:left w:val="single" w:sz="4" w:space="0" w:color="E7E6E6"/>
              <w:bottom w:val="single" w:sz="4" w:space="0" w:color="E7E6E6"/>
              <w:right w:val="single" w:sz="4" w:space="0" w:color="E7E6E6"/>
            </w:tcBorders>
          </w:tcPr>
          <w:p w14:paraId="6B707C7E" w14:textId="020379D0" w:rsidR="00D81EC3" w:rsidRPr="002C384C" w:rsidRDefault="00D81EC3" w:rsidP="00B50986">
            <w:pPr>
              <w:spacing w:after="160"/>
              <w:rPr>
                <w:rFonts w:ascii="Arial" w:hAnsi="Arial" w:cs="Arial"/>
                <w:color w:val="000000"/>
                <w:sz w:val="16"/>
                <w:szCs w:val="16"/>
              </w:rPr>
            </w:pPr>
            <w:r>
              <w:rPr>
                <w:rFonts w:ascii="Arial" w:hAnsi="Arial" w:cs="Arial"/>
                <w:b/>
                <w:color w:val="343433"/>
                <w:sz w:val="16"/>
                <w:szCs w:val="17"/>
              </w:rPr>
              <w:t xml:space="preserve">S&amp;P 500 Sector Energy - </w:t>
            </w:r>
            <w:r w:rsidRPr="00FC2692">
              <w:rPr>
                <w:rFonts w:ascii="Arial" w:hAnsi="Arial" w:cs="Arial"/>
                <w:bCs/>
                <w:color w:val="343433"/>
                <w:sz w:val="16"/>
                <w:szCs w:val="17"/>
              </w:rPr>
              <w:t>measures the performance of companies involved in the development and production of crude oil, natural gas and provide drilling and other energy-related services</w:t>
            </w:r>
            <w:r>
              <w:rPr>
                <w:rFonts w:ascii="Arial" w:hAnsi="Arial" w:cs="Arial"/>
                <w:bCs/>
                <w:color w:val="343433"/>
                <w:sz w:val="16"/>
                <w:szCs w:val="17"/>
              </w:rPr>
              <w:t>.</w:t>
            </w:r>
          </w:p>
        </w:tc>
      </w:tr>
      <w:tr w:rsidR="00D81EC3" w14:paraId="5B051311"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0EC84B31" w14:textId="674FEA84" w:rsidR="00D81EC3" w:rsidRPr="002C384C" w:rsidRDefault="00D81EC3" w:rsidP="00B50986">
            <w:pPr>
              <w:spacing w:after="160"/>
              <w:rPr>
                <w:rFonts w:ascii="Arial" w:hAnsi="Arial" w:cs="Arial"/>
                <w:b/>
                <w:color w:val="343433"/>
                <w:sz w:val="16"/>
                <w:szCs w:val="17"/>
              </w:rPr>
            </w:pPr>
            <w:r>
              <w:rPr>
                <w:rFonts w:ascii="Arial" w:hAnsi="Arial" w:cs="Arial"/>
                <w:b/>
                <w:color w:val="343433"/>
                <w:sz w:val="16"/>
                <w:szCs w:val="17"/>
              </w:rPr>
              <w:lastRenderedPageBreak/>
              <w:t>US REITs</w:t>
            </w:r>
          </w:p>
        </w:tc>
        <w:tc>
          <w:tcPr>
            <w:tcW w:w="9180" w:type="dxa"/>
            <w:tcBorders>
              <w:top w:val="single" w:sz="4" w:space="0" w:color="E7E6E6"/>
              <w:left w:val="single" w:sz="4" w:space="0" w:color="E7E6E6"/>
              <w:bottom w:val="single" w:sz="4" w:space="0" w:color="E7E6E6"/>
              <w:right w:val="single" w:sz="4" w:space="0" w:color="E7E6E6"/>
            </w:tcBorders>
          </w:tcPr>
          <w:p w14:paraId="34F94CD3" w14:textId="029A46D8" w:rsidR="00D81EC3" w:rsidRPr="00FC2692" w:rsidRDefault="00D81EC3" w:rsidP="00B50986">
            <w:pPr>
              <w:spacing w:after="160"/>
              <w:rPr>
                <w:rFonts w:ascii="Arial" w:hAnsi="Arial" w:cs="Arial"/>
                <w:bCs/>
                <w:color w:val="343433"/>
                <w:sz w:val="16"/>
                <w:szCs w:val="17"/>
              </w:rPr>
            </w:pPr>
            <w:r>
              <w:rPr>
                <w:rFonts w:ascii="Arial" w:hAnsi="Arial" w:cs="Arial"/>
                <w:b/>
                <w:color w:val="343433"/>
                <w:sz w:val="16"/>
                <w:szCs w:val="17"/>
              </w:rPr>
              <w:t xml:space="preserve">FTSE NAREIT All Equity REIT - </w:t>
            </w:r>
            <w:r w:rsidRPr="0086319B">
              <w:rPr>
                <w:rFonts w:ascii="Arial" w:hAnsi="Arial" w:cs="Arial"/>
                <w:color w:val="343433"/>
                <w:sz w:val="16"/>
                <w:szCs w:val="17"/>
              </w:rPr>
              <w:t>measures the price of physical commodities futures contracts traded on US exchanges, except aluminum, nickel and zinc, which trade on the London Metal Exchange. Weightings are determined by rules designed to insure diversified commodity exposure.</w:t>
            </w:r>
          </w:p>
        </w:tc>
      </w:tr>
      <w:tr w:rsidR="00D81EC3" w14:paraId="13EEFDA3"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796D3D4D" w14:textId="543BCBBA" w:rsidR="00D81EC3" w:rsidRPr="00080D15" w:rsidRDefault="00D81EC3" w:rsidP="00B50986">
            <w:pPr>
              <w:spacing w:after="160"/>
              <w:rPr>
                <w:rFonts w:ascii="Arial" w:hAnsi="Arial" w:cs="Arial"/>
                <w:b/>
                <w:color w:val="343433"/>
                <w:sz w:val="16"/>
                <w:szCs w:val="17"/>
              </w:rPr>
            </w:pPr>
            <w:r>
              <w:rPr>
                <w:rFonts w:ascii="Arial" w:hAnsi="Arial" w:cs="Arial"/>
                <w:b/>
                <w:color w:val="343433"/>
                <w:sz w:val="16"/>
                <w:szCs w:val="17"/>
              </w:rPr>
              <w:t>Gold</w:t>
            </w:r>
          </w:p>
        </w:tc>
        <w:tc>
          <w:tcPr>
            <w:tcW w:w="9180" w:type="dxa"/>
            <w:tcBorders>
              <w:top w:val="single" w:sz="4" w:space="0" w:color="E7E6E6"/>
              <w:left w:val="single" w:sz="4" w:space="0" w:color="E7E6E6"/>
              <w:bottom w:val="single" w:sz="4" w:space="0" w:color="E7E6E6"/>
              <w:right w:val="single" w:sz="4" w:space="0" w:color="E7E6E6"/>
            </w:tcBorders>
          </w:tcPr>
          <w:p w14:paraId="6ED59CD8" w14:textId="43FDC57C" w:rsidR="00D81EC3" w:rsidRPr="00080D15" w:rsidRDefault="00D81EC3" w:rsidP="00B50986">
            <w:pPr>
              <w:spacing w:after="160"/>
              <w:rPr>
                <w:rFonts w:ascii="Arial" w:hAnsi="Arial" w:cs="Arial"/>
                <w:b/>
                <w:color w:val="343433"/>
                <w:sz w:val="16"/>
                <w:szCs w:val="17"/>
              </w:rPr>
            </w:pPr>
            <w:r w:rsidRPr="00FC2692">
              <w:rPr>
                <w:rFonts w:ascii="Arial" w:hAnsi="Arial" w:cs="Arial"/>
                <w:b/>
                <w:color w:val="343433"/>
                <w:sz w:val="16"/>
                <w:szCs w:val="17"/>
              </w:rPr>
              <w:t>Bloomberg Sub Gold</w:t>
            </w:r>
            <w:r>
              <w:rPr>
                <w:rFonts w:ascii="Arial" w:hAnsi="Arial" w:cs="Arial"/>
                <w:b/>
                <w:color w:val="343433"/>
                <w:sz w:val="16"/>
                <w:szCs w:val="17"/>
              </w:rPr>
              <w:t xml:space="preserve"> </w:t>
            </w:r>
            <w:r w:rsidRPr="002812BF">
              <w:rPr>
                <w:rFonts w:ascii="Arial" w:hAnsi="Arial" w:cs="Arial"/>
                <w:bCs/>
                <w:color w:val="343433"/>
                <w:sz w:val="16"/>
                <w:szCs w:val="17"/>
              </w:rPr>
              <w:t xml:space="preserve">- </w:t>
            </w:r>
            <w:r w:rsidRPr="00FC2692">
              <w:rPr>
                <w:rFonts w:ascii="Arial" w:hAnsi="Arial" w:cs="Arial"/>
                <w:bCs/>
                <w:color w:val="343433"/>
                <w:sz w:val="16"/>
                <w:szCs w:val="17"/>
              </w:rPr>
              <w:t>measures the price of gold futures contracts, reflecting the return of underlying commodity futures price movements quoted in USD.</w:t>
            </w:r>
          </w:p>
        </w:tc>
      </w:tr>
      <w:tr w:rsidR="00D81EC3" w14:paraId="04E1EFA7" w14:textId="77777777" w:rsidTr="00FC2692">
        <w:trPr>
          <w:trHeight w:val="698"/>
        </w:trPr>
        <w:tc>
          <w:tcPr>
            <w:tcW w:w="1615" w:type="dxa"/>
            <w:tcBorders>
              <w:top w:val="single" w:sz="4" w:space="0" w:color="E7E6E6"/>
              <w:left w:val="single" w:sz="4" w:space="0" w:color="E7E6E6"/>
              <w:bottom w:val="single" w:sz="4" w:space="0" w:color="E7E6E6"/>
              <w:right w:val="single" w:sz="4" w:space="0" w:color="E7E6E6"/>
            </w:tcBorders>
          </w:tcPr>
          <w:p w14:paraId="176B7282" w14:textId="5861F057" w:rsidR="00D81EC3" w:rsidRDefault="00D81EC3" w:rsidP="00B50986">
            <w:pPr>
              <w:spacing w:after="160"/>
              <w:rPr>
                <w:rFonts w:ascii="Arial" w:hAnsi="Arial" w:cs="Arial"/>
                <w:b/>
                <w:color w:val="343433"/>
                <w:sz w:val="16"/>
                <w:szCs w:val="17"/>
              </w:rPr>
            </w:pPr>
            <w:r>
              <w:rPr>
                <w:rFonts w:ascii="Arial" w:hAnsi="Arial" w:cs="Arial"/>
                <w:b/>
                <w:color w:val="343433"/>
                <w:sz w:val="16"/>
                <w:szCs w:val="17"/>
              </w:rPr>
              <w:t>Commodities</w:t>
            </w:r>
          </w:p>
        </w:tc>
        <w:tc>
          <w:tcPr>
            <w:tcW w:w="9180" w:type="dxa"/>
            <w:tcBorders>
              <w:top w:val="single" w:sz="4" w:space="0" w:color="E7E6E6"/>
              <w:left w:val="single" w:sz="4" w:space="0" w:color="E7E6E6"/>
              <w:bottom w:val="single" w:sz="4" w:space="0" w:color="E7E6E6"/>
              <w:right w:val="single" w:sz="4" w:space="0" w:color="E7E6E6"/>
            </w:tcBorders>
          </w:tcPr>
          <w:p w14:paraId="1014B149" w14:textId="6AB33C3F" w:rsidR="00D81EC3" w:rsidRDefault="00D81EC3" w:rsidP="00B50986">
            <w:pPr>
              <w:spacing w:after="160"/>
              <w:rPr>
                <w:rFonts w:ascii="Arial" w:hAnsi="Arial" w:cs="Arial"/>
                <w:b/>
                <w:color w:val="343433"/>
                <w:sz w:val="16"/>
                <w:szCs w:val="17"/>
              </w:rPr>
            </w:pPr>
            <w:r w:rsidRPr="00080D15">
              <w:rPr>
                <w:rFonts w:ascii="Arial" w:hAnsi="Arial" w:cs="Arial"/>
                <w:b/>
                <w:color w:val="343433"/>
                <w:sz w:val="16"/>
                <w:szCs w:val="17"/>
              </w:rPr>
              <w:t xml:space="preserve">Bloomberg </w:t>
            </w:r>
            <w:r>
              <w:rPr>
                <w:rFonts w:ascii="Arial" w:hAnsi="Arial" w:cs="Arial"/>
                <w:b/>
                <w:color w:val="343433"/>
                <w:sz w:val="16"/>
                <w:szCs w:val="17"/>
              </w:rPr>
              <w:t>Commodity</w:t>
            </w:r>
            <w:r>
              <w:rPr>
                <w:rFonts w:ascii="Arial" w:hAnsi="Arial" w:cs="Arial"/>
                <w:color w:val="343433"/>
                <w:sz w:val="16"/>
                <w:szCs w:val="17"/>
              </w:rPr>
              <w:t xml:space="preserve"> - </w:t>
            </w:r>
            <w:r w:rsidRPr="0086319B">
              <w:rPr>
                <w:rFonts w:ascii="Arial" w:hAnsi="Arial" w:cs="Arial"/>
                <w:color w:val="343433"/>
                <w:sz w:val="16"/>
                <w:szCs w:val="17"/>
              </w:rPr>
              <w:t>dynamically rebalances exposure to maintain a 10% volatility target and represents portfolios consisting of the S&amp;P 500 index and a cash component accruing interest. Uses S&amp;P 500 methodology and overlays algorithms to control the index risk at specific volatility targets.</w:t>
            </w:r>
          </w:p>
        </w:tc>
      </w:tr>
      <w:tr w:rsidR="00D81EC3" w14:paraId="062E2EC9"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47AE7724" w14:textId="7EC8F432" w:rsidR="00D81EC3" w:rsidRDefault="00D81EC3" w:rsidP="00B50986">
            <w:pPr>
              <w:spacing w:after="160"/>
              <w:rPr>
                <w:rFonts w:ascii="Arial" w:hAnsi="Arial" w:cs="Arial"/>
                <w:b/>
                <w:color w:val="343433"/>
                <w:sz w:val="16"/>
                <w:szCs w:val="17"/>
              </w:rPr>
            </w:pPr>
            <w:r>
              <w:rPr>
                <w:rFonts w:ascii="Arial" w:hAnsi="Arial" w:cs="Arial"/>
                <w:b/>
                <w:color w:val="343433"/>
                <w:sz w:val="16"/>
                <w:szCs w:val="17"/>
              </w:rPr>
              <w:t>US Dollar</w:t>
            </w:r>
          </w:p>
        </w:tc>
        <w:tc>
          <w:tcPr>
            <w:tcW w:w="9180" w:type="dxa"/>
            <w:tcBorders>
              <w:top w:val="single" w:sz="4" w:space="0" w:color="E7E6E6"/>
              <w:left w:val="single" w:sz="4" w:space="0" w:color="E7E6E6"/>
              <w:bottom w:val="single" w:sz="4" w:space="0" w:color="E7E6E6"/>
              <w:right w:val="single" w:sz="4" w:space="0" w:color="E7E6E6"/>
            </w:tcBorders>
          </w:tcPr>
          <w:p w14:paraId="0B1D82C3" w14:textId="791B36F1" w:rsidR="00D81EC3" w:rsidRDefault="00D81EC3" w:rsidP="00B50986">
            <w:pPr>
              <w:spacing w:after="160"/>
              <w:rPr>
                <w:rFonts w:ascii="Arial" w:hAnsi="Arial" w:cs="Arial"/>
                <w:b/>
                <w:color w:val="343433"/>
                <w:sz w:val="16"/>
                <w:szCs w:val="17"/>
              </w:rPr>
            </w:pPr>
            <w:r w:rsidRPr="00FC2692">
              <w:rPr>
                <w:rFonts w:ascii="Arial" w:hAnsi="Arial" w:cs="Arial"/>
                <w:b/>
                <w:color w:val="343433"/>
                <w:sz w:val="16"/>
                <w:szCs w:val="17"/>
              </w:rPr>
              <w:t>US Dollar Index</w:t>
            </w:r>
            <w:r>
              <w:rPr>
                <w:rFonts w:ascii="Arial" w:hAnsi="Arial" w:cs="Arial"/>
                <w:bCs/>
                <w:color w:val="343433"/>
                <w:sz w:val="16"/>
                <w:szCs w:val="17"/>
              </w:rPr>
              <w:t xml:space="preserve"> - </w:t>
            </w:r>
            <w:r w:rsidRPr="00FC2692">
              <w:rPr>
                <w:rFonts w:ascii="Arial" w:hAnsi="Arial" w:cs="Arial"/>
                <w:bCs/>
                <w:color w:val="343433"/>
                <w:sz w:val="16"/>
                <w:szCs w:val="17"/>
              </w:rPr>
              <w:t>measures the value of the US dollar relative to the value of a 'basket' of currencies of the majority of the U.S.'s most significant trading partners. Factors the exchange rates of six major world currencies:  euro, Japanese yen, Canadian dollar, British pound, Swedish krona and Swiss franc.</w:t>
            </w:r>
          </w:p>
        </w:tc>
      </w:tr>
      <w:tr w:rsidR="00D81EC3" w14:paraId="0B29C693"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26E109AB" w14:textId="271F6AF9" w:rsidR="00D81EC3" w:rsidRDefault="00D81EC3" w:rsidP="00B50986">
            <w:pPr>
              <w:spacing w:after="160"/>
              <w:rPr>
                <w:rFonts w:ascii="Arial" w:hAnsi="Arial" w:cs="Arial"/>
                <w:b/>
                <w:color w:val="343433"/>
                <w:sz w:val="16"/>
                <w:szCs w:val="17"/>
              </w:rPr>
            </w:pPr>
          </w:p>
        </w:tc>
        <w:tc>
          <w:tcPr>
            <w:tcW w:w="9180" w:type="dxa"/>
            <w:tcBorders>
              <w:top w:val="single" w:sz="4" w:space="0" w:color="E7E6E6"/>
              <w:left w:val="single" w:sz="4" w:space="0" w:color="E7E6E6"/>
              <w:bottom w:val="single" w:sz="4" w:space="0" w:color="E7E6E6"/>
              <w:right w:val="single" w:sz="4" w:space="0" w:color="E7E6E6"/>
            </w:tcBorders>
          </w:tcPr>
          <w:p w14:paraId="223CA244" w14:textId="1EEA8C91" w:rsidR="00D81EC3" w:rsidRPr="00FC2692" w:rsidRDefault="00D81EC3" w:rsidP="00B50986">
            <w:pPr>
              <w:spacing w:after="160"/>
              <w:rPr>
                <w:rFonts w:ascii="Arial" w:hAnsi="Arial" w:cs="Arial"/>
                <w:bCs/>
                <w:color w:val="343433"/>
                <w:sz w:val="16"/>
                <w:szCs w:val="17"/>
              </w:rPr>
            </w:pPr>
          </w:p>
        </w:tc>
      </w:tr>
    </w:tbl>
    <w:p w14:paraId="6B301E9F" w14:textId="77777777" w:rsidR="00140F12" w:rsidRDefault="00140F12" w:rsidP="004F6ABF">
      <w:pPr>
        <w:spacing w:after="0" w:line="240" w:lineRule="auto"/>
        <w:rPr>
          <w:rFonts w:ascii="Arial" w:hAnsi="Arial" w:cs="Arial"/>
          <w:color w:val="343433"/>
          <w:sz w:val="16"/>
          <w:szCs w:val="16"/>
        </w:rPr>
      </w:pPr>
    </w:p>
    <w:p w14:paraId="7BC73908" w14:textId="5BFE8381" w:rsidR="00140F12" w:rsidRDefault="00140F12">
      <w:pPr>
        <w:spacing w:after="0" w:line="240" w:lineRule="auto"/>
        <w:rPr>
          <w:rFonts w:ascii="Arial" w:hAnsi="Arial" w:cs="Arial"/>
          <w:color w:val="343433"/>
          <w:sz w:val="16"/>
          <w:szCs w:val="16"/>
        </w:rPr>
      </w:pPr>
    </w:p>
    <w:p w14:paraId="0AAD309A" w14:textId="30139EFE" w:rsidR="000F6A69" w:rsidRPr="009F65E5" w:rsidRDefault="004F6ABF" w:rsidP="004F6ABF">
      <w:pPr>
        <w:spacing w:after="0" w:line="240" w:lineRule="auto"/>
        <w:rPr>
          <w:rFonts w:ascii="Arial" w:hAnsi="Arial" w:cs="Arial"/>
          <w:color w:val="343433"/>
          <w:sz w:val="16"/>
          <w:szCs w:val="16"/>
        </w:rPr>
      </w:pPr>
      <w:r w:rsidRPr="0040163B">
        <w:rPr>
          <w:rFonts w:ascii="Arial" w:hAnsi="Arial" w:cs="Arial"/>
          <w:noProof/>
          <w:color w:val="343433"/>
          <w:sz w:val="21"/>
        </w:rPr>
        <mc:AlternateContent>
          <mc:Choice Requires="wpg">
            <w:drawing>
              <wp:anchor distT="0" distB="0" distL="114300" distR="114300" simplePos="0" relativeHeight="251673600" behindDoc="1" locked="0" layoutInCell="1" allowOverlap="1" wp14:anchorId="69F78F6C" wp14:editId="0A040251">
                <wp:simplePos x="0" y="0"/>
                <wp:positionH relativeFrom="margin">
                  <wp:posOffset>-466725</wp:posOffset>
                </wp:positionH>
                <wp:positionV relativeFrom="margin">
                  <wp:posOffset>3956684</wp:posOffset>
                </wp:positionV>
                <wp:extent cx="6875780" cy="4330066"/>
                <wp:effectExtent l="0" t="0" r="1270" b="0"/>
                <wp:wrapTight wrapText="bothSides">
                  <wp:wrapPolygon edited="0">
                    <wp:start x="0" y="0"/>
                    <wp:lineTo x="0" y="20241"/>
                    <wp:lineTo x="299" y="21286"/>
                    <wp:lineTo x="299" y="21476"/>
                    <wp:lineTo x="4309" y="21476"/>
                    <wp:lineTo x="4309" y="21286"/>
                    <wp:lineTo x="21544" y="20241"/>
                    <wp:lineTo x="21544" y="0"/>
                    <wp:lineTo x="0" y="0"/>
                  </wp:wrapPolygon>
                </wp:wrapTight>
                <wp:docPr id="16" name="Group 16"/>
                <wp:cNvGraphicFramePr/>
                <a:graphic xmlns:a="http://schemas.openxmlformats.org/drawingml/2006/main">
                  <a:graphicData uri="http://schemas.microsoft.com/office/word/2010/wordprocessingGroup">
                    <wpg:wgp>
                      <wpg:cNvGrpSpPr/>
                      <wpg:grpSpPr>
                        <a:xfrm>
                          <a:off x="0" y="0"/>
                          <a:ext cx="6875780" cy="4330066"/>
                          <a:chOff x="0" y="373879"/>
                          <a:chExt cx="6858000" cy="1980064"/>
                        </a:xfrm>
                      </wpg:grpSpPr>
                      <wps:wsp>
                        <wps:cNvPr id="18" name="Rectangle 18"/>
                        <wps:cNvSpPr/>
                        <wps:spPr>
                          <a:xfrm>
                            <a:off x="0" y="373879"/>
                            <a:ext cx="6858000" cy="1853398"/>
                          </a:xfrm>
                          <a:prstGeom prst="rect">
                            <a:avLst/>
                          </a:prstGeom>
                          <a:solidFill>
                            <a:sysClr val="window" lastClr="FFFFFF">
                              <a:lumMod val="9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1439694" y="408482"/>
                            <a:ext cx="5417874" cy="1799701"/>
                          </a:xfrm>
                          <a:prstGeom prst="rect">
                            <a:avLst/>
                          </a:prstGeom>
                          <a:noFill/>
                          <a:ln w="6350">
                            <a:noFill/>
                          </a:ln>
                        </wps:spPr>
                        <wps:txbx>
                          <w:txbxContent>
                            <w:p w14:paraId="426D23FC" w14:textId="77777777" w:rsidR="004F6ABF" w:rsidRPr="00A57DA9" w:rsidRDefault="004F6ABF" w:rsidP="004F6ABF">
                              <w:pPr>
                                <w:spacing w:after="120" w:line="240" w:lineRule="auto"/>
                                <w:rPr>
                                  <w:rFonts w:ascii="Arial" w:hAnsi="Arial" w:cs="Arial"/>
                                  <w:b/>
                                  <w:sz w:val="16"/>
                                  <w:szCs w:val="16"/>
                                </w:rPr>
                              </w:pPr>
                              <w:bookmarkStart w:id="6" w:name="_Hlk92871284"/>
                              <w:r w:rsidRPr="00A57DA9">
                                <w:rPr>
                                  <w:rFonts w:ascii="Arial" w:hAnsi="Arial" w:cs="Arial"/>
                                  <w:b/>
                                  <w:sz w:val="16"/>
                                  <w:szCs w:val="16"/>
                                </w:rPr>
                                <w:t>IMPORTANT INFORMATION</w:t>
                              </w:r>
                            </w:p>
                            <w:p w14:paraId="62C97230" w14:textId="4BF8FD3C" w:rsidR="00A933B5" w:rsidRDefault="004F6ABF" w:rsidP="00A933B5">
                              <w:pPr>
                                <w:spacing w:after="120" w:line="240" w:lineRule="auto"/>
                                <w:rPr>
                                  <w:rFonts w:ascii="Arial" w:hAnsi="Arial" w:cs="Arial"/>
                                  <w:sz w:val="16"/>
                                  <w:szCs w:val="16"/>
                                </w:rPr>
                              </w:pPr>
                              <w:r w:rsidRPr="00A57DA9">
                                <w:rPr>
                                  <w:rFonts w:ascii="Arial" w:hAnsi="Arial" w:cs="Arial"/>
                                  <w:sz w:val="16"/>
                                  <w:szCs w:val="16"/>
                                </w:rPr>
                                <w:t>This</w:t>
                              </w:r>
                              <w:r w:rsidR="00A933B5">
                                <w:rPr>
                                  <w:rFonts w:ascii="Arial" w:hAnsi="Arial" w:cs="Arial"/>
                                  <w:sz w:val="16"/>
                                  <w:szCs w:val="16"/>
                                </w:rPr>
                                <w:t xml:space="preserve"> report is for informational purposes only, and is not a solicitation, and should not be considered as investment or tax advice. The information has been drawn from sources believed to be reliable, but its accuracy is not guaranteed, and is subject to change. Opinions are those of AssetMark and may change at any time. Investors seeking more information should discuss with their financial advisor. Financial advisors may seek more information regarding all services offered through the AssetMark platform by contacting AssetMark at 800-664-5345.</w:t>
                              </w:r>
                            </w:p>
                            <w:p w14:paraId="652E85D5" w14:textId="68AC1399" w:rsidR="00A933B5" w:rsidRPr="0069148C" w:rsidRDefault="00A933B5" w:rsidP="00A933B5">
                              <w:pPr>
                                <w:spacing w:after="120" w:line="240" w:lineRule="auto"/>
                                <w:rPr>
                                  <w:rFonts w:ascii="Arial" w:hAnsi="Arial" w:cs="Arial"/>
                                  <w:sz w:val="16"/>
                                  <w:szCs w:val="16"/>
                                </w:rPr>
                              </w:pPr>
                              <w:r>
                                <w:rPr>
                                  <w:rFonts w:ascii="Arial" w:hAnsi="Arial" w:cs="Arial"/>
                                  <w:b/>
                                  <w:sz w:val="16"/>
                                  <w:szCs w:val="16"/>
                                </w:rPr>
                                <w:t>Investing involves risk, including the possible loss of principal. Past performance does not guarantee future results.</w:t>
                              </w:r>
                              <w:r>
                                <w:rPr>
                                  <w:rFonts w:ascii="Arial" w:hAnsi="Arial" w:cs="Arial"/>
                                  <w:sz w:val="16"/>
                                  <w:szCs w:val="16"/>
                                </w:rPr>
                                <w:t xml:space="preserve"> Asset allocation alone cannot eliminate the risk of fluctuating prices and uncertain returns. There is no guarantee that a diversified portfolio will outperform a non-diversified portfolio in any given market environment. No investment strategy, such as asset allocation, can guarantee a profit or protect against a loss. Actual client results </w:t>
                              </w:r>
                              <w:r w:rsidRPr="0069148C">
                                <w:rPr>
                                  <w:rFonts w:ascii="Arial" w:hAnsi="Arial" w:cs="Arial"/>
                                  <w:sz w:val="16"/>
                                  <w:szCs w:val="16"/>
                                </w:rPr>
                                <w:t xml:space="preserve">will vary based on investment selection, timing, and market conditions. The market indices shown are non-managed indices shown for reference purposes. Index performance reflects the reinvestment of dividends. It is not possible to invest directly in an index, and index performance does not reflect any deduction for investment advisory fees. </w:t>
                              </w:r>
                            </w:p>
                            <w:p w14:paraId="675CB9D4" w14:textId="77777777" w:rsidR="00DD61D1" w:rsidRPr="0069148C" w:rsidRDefault="00DD61D1" w:rsidP="00DD61D1">
                              <w:pPr>
                                <w:spacing w:after="120" w:line="240" w:lineRule="auto"/>
                                <w:rPr>
                                  <w:rFonts w:ascii="Arial" w:hAnsi="Arial" w:cs="Arial"/>
                                  <w:sz w:val="16"/>
                                  <w:szCs w:val="16"/>
                                </w:rPr>
                              </w:pPr>
                              <w:r w:rsidRPr="0069148C">
                                <w:rPr>
                                  <w:rFonts w:ascii="Arial" w:hAnsi="Arial" w:cs="Arial"/>
                                  <w:sz w:val="16"/>
                                  <w:szCs w:val="16"/>
                                </w:rPr>
                                <w:t>Please read the Terms of Use posted at www.ewealthmanager.com that govern the use of these materials and also be advised:</w:t>
                              </w:r>
                            </w:p>
                            <w:p w14:paraId="3E7B3BBF" w14:textId="5DAAC38C" w:rsidR="00DD61D1" w:rsidRPr="0069148C" w:rsidRDefault="00DD61D1" w:rsidP="00DD61D1">
                              <w:pPr>
                                <w:spacing w:after="120" w:line="240" w:lineRule="auto"/>
                                <w:rPr>
                                  <w:rFonts w:ascii="Arial" w:hAnsi="Arial" w:cs="Arial"/>
                                  <w:sz w:val="16"/>
                                  <w:szCs w:val="16"/>
                                </w:rPr>
                              </w:pPr>
                              <w:r w:rsidRPr="0069148C">
                                <w:rPr>
                                  <w:rFonts w:ascii="Arial" w:hAnsi="Arial" w:cs="Arial"/>
                                  <w:sz w:val="16"/>
                                  <w:szCs w:val="16"/>
                                </w:rPr>
                                <w:t xml:space="preserve">AssetMark uses financial market information (“Information”) from third-party providers (“Providers”) in reports (“Materials”). The Information includes, but is not limited to, financial market data, quotes, news, analyst opinions and research reports. The Materials are for informational purposes only, not a solicitation or for use in the creation/management/offering/sale of any financial instrument or product based thereon and should not be considered investment, legal or tax advice. The Information has been drawn from sources believed to be reliable, but its accuracy and timeliness is not guaranteed, and is subject to change. You agree that neither AssetMark nor the Providers are liable for the use of the Information.   </w:t>
                              </w:r>
                            </w:p>
                            <w:p w14:paraId="2C78C20E" w14:textId="7B1CA720" w:rsidR="00DD61D1" w:rsidRDefault="00DD61D1" w:rsidP="00DD61D1">
                              <w:pPr>
                                <w:spacing w:after="120" w:line="240" w:lineRule="auto"/>
                                <w:rPr>
                                  <w:rFonts w:ascii="Arial" w:hAnsi="Arial" w:cs="Arial"/>
                                  <w:sz w:val="16"/>
                                  <w:szCs w:val="16"/>
                                </w:rPr>
                              </w:pPr>
                              <w:r w:rsidRPr="0069148C">
                                <w:rPr>
                                  <w:rFonts w:ascii="Arial" w:hAnsi="Arial" w:cs="Arial"/>
                                  <w:sz w:val="16"/>
                                  <w:szCs w:val="16"/>
                                </w:rPr>
                                <w:t>You agree not to redistribute the Information to recipients not authorized by AssetMark.  You agree that the Providers are considered to be third-party beneficiaries of the Terms of Use.</w:t>
                              </w:r>
                            </w:p>
                            <w:p w14:paraId="44D139E2" w14:textId="58EEE99C" w:rsidR="00A933B5" w:rsidRDefault="00A933B5" w:rsidP="00A933B5">
                              <w:pPr>
                                <w:spacing w:after="120" w:line="240" w:lineRule="auto"/>
                                <w:rPr>
                                  <w:rFonts w:ascii="Arial" w:hAnsi="Arial" w:cs="Arial"/>
                                  <w:sz w:val="16"/>
                                  <w:szCs w:val="16"/>
                                </w:rPr>
                              </w:pPr>
                              <w:r>
                                <w:rPr>
                                  <w:rFonts w:ascii="Arial" w:hAnsi="Arial" w:cs="Arial"/>
                                  <w:sz w:val="16"/>
                                  <w:szCs w:val="16"/>
                                </w:rPr>
                                <w:t>AssetMark, Inc. is an investment adviser registered with the Securities and Exchange Commission.</w:t>
                              </w:r>
                              <w:r>
                                <w:rPr>
                                  <w:rFonts w:ascii="Arial" w:hAnsi="Arial" w:cs="Arial"/>
                                  <w:sz w:val="16"/>
                                  <w:szCs w:val="16"/>
                                </w:rPr>
                                <w:br/>
                                <w:t>©202</w:t>
                              </w:r>
                              <w:r w:rsidR="00252E6F">
                                <w:rPr>
                                  <w:rFonts w:ascii="Arial" w:hAnsi="Arial" w:cs="Arial"/>
                                  <w:sz w:val="16"/>
                                  <w:szCs w:val="16"/>
                                </w:rPr>
                                <w:t>2</w:t>
                              </w:r>
                              <w:r>
                                <w:rPr>
                                  <w:rFonts w:ascii="Arial" w:hAnsi="Arial" w:cs="Arial"/>
                                  <w:sz w:val="16"/>
                                  <w:szCs w:val="16"/>
                                </w:rPr>
                                <w:t xml:space="preserve"> AssetMark, Inc. All rights reserved.</w:t>
                              </w:r>
                            </w:p>
                            <w:p w14:paraId="700A5642" w14:textId="40A35612" w:rsidR="00A933B5" w:rsidRPr="004B1C5E" w:rsidRDefault="009077B4" w:rsidP="00A933B5">
                              <w:pPr>
                                <w:spacing w:after="120" w:line="240" w:lineRule="auto"/>
                                <w:rPr>
                                  <w:rFonts w:ascii="Arial" w:hAnsi="Arial" w:cs="Arial"/>
                                  <w:sz w:val="16"/>
                                  <w:szCs w:val="16"/>
                                </w:rPr>
                              </w:pPr>
                              <w:bookmarkStart w:id="7" w:name="_Hlk92277838"/>
                              <w:bookmarkEnd w:id="6"/>
                              <w:r>
                                <w:rPr>
                                  <w:rFonts w:ascii="Arial" w:hAnsi="Arial" w:cs="Arial"/>
                                  <w:sz w:val="16"/>
                                  <w:szCs w:val="16"/>
                                </w:rPr>
                                <w:t>103363 | C22-19267 |10/2022 | EXP 10/31/2024</w:t>
                              </w:r>
                              <w:bookmarkEnd w:id="7"/>
                            </w:p>
                            <w:p w14:paraId="1C5DEE7A" w14:textId="131D87E2" w:rsidR="004F6ABF" w:rsidRPr="004B1C5E" w:rsidRDefault="004F6ABF" w:rsidP="004F6ABF">
                              <w:pPr>
                                <w:spacing w:after="120" w:line="240"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48634" y="408461"/>
                            <a:ext cx="1390953" cy="1945482"/>
                          </a:xfrm>
                          <a:prstGeom prst="rect">
                            <a:avLst/>
                          </a:prstGeom>
                          <a:noFill/>
                          <a:ln w="6350">
                            <a:noFill/>
                          </a:ln>
                        </wps:spPr>
                        <wps:txbx>
                          <w:txbxContent>
                            <w:p w14:paraId="4077A185" w14:textId="77777777" w:rsidR="004F6ABF" w:rsidRPr="00A57DA9" w:rsidRDefault="004F6ABF" w:rsidP="004F6ABF">
                              <w:pPr>
                                <w:spacing w:after="120"/>
                                <w:rPr>
                                  <w:rFonts w:ascii="Arial" w:hAnsi="Arial" w:cs="Arial"/>
                                  <w:b/>
                                  <w:sz w:val="16"/>
                                  <w:szCs w:val="16"/>
                                </w:rPr>
                              </w:pPr>
                              <w:r w:rsidRPr="00A57DA9">
                                <w:rPr>
                                  <w:rFonts w:ascii="Arial" w:hAnsi="Arial" w:cs="Arial"/>
                                  <w:b/>
                                  <w:sz w:val="16"/>
                                  <w:szCs w:val="16"/>
                                </w:rPr>
                                <w:t>AssetMark, Inc.</w:t>
                              </w:r>
                            </w:p>
                            <w:p w14:paraId="487C5125" w14:textId="77777777" w:rsidR="004F6ABF" w:rsidRPr="00A57DA9" w:rsidRDefault="004F6ABF" w:rsidP="004F6ABF">
                              <w:pPr>
                                <w:spacing w:after="120"/>
                                <w:rPr>
                                  <w:rFonts w:ascii="Arial" w:hAnsi="Arial" w:cs="Arial"/>
                                  <w:sz w:val="16"/>
                                  <w:szCs w:val="16"/>
                                </w:rPr>
                              </w:pPr>
                              <w:r w:rsidRPr="00A57DA9">
                                <w:rPr>
                                  <w:rFonts w:ascii="Arial" w:hAnsi="Arial" w:cs="Arial"/>
                                  <w:sz w:val="16"/>
                                  <w:szCs w:val="16"/>
                                </w:rPr>
                                <w:t>1655 Grant Street</w:t>
                              </w:r>
                              <w:r w:rsidRPr="00A57DA9">
                                <w:rPr>
                                  <w:rFonts w:ascii="Arial" w:hAnsi="Arial" w:cs="Arial"/>
                                  <w:sz w:val="16"/>
                                  <w:szCs w:val="16"/>
                                </w:rPr>
                                <w:br/>
                                <w:t>10</w:t>
                              </w:r>
                              <w:r w:rsidRPr="00A57DA9">
                                <w:rPr>
                                  <w:rFonts w:ascii="Arial" w:hAnsi="Arial" w:cs="Arial"/>
                                  <w:sz w:val="16"/>
                                  <w:szCs w:val="16"/>
                                  <w:vertAlign w:val="superscript"/>
                                </w:rPr>
                                <w:t>th</w:t>
                              </w:r>
                              <w:r w:rsidRPr="00A57DA9">
                                <w:rPr>
                                  <w:rFonts w:ascii="Arial" w:hAnsi="Arial" w:cs="Arial"/>
                                  <w:sz w:val="16"/>
                                  <w:szCs w:val="16"/>
                                </w:rPr>
                                <w:t xml:space="preserve"> Floor</w:t>
                              </w:r>
                              <w:r w:rsidRPr="00A57DA9">
                                <w:rPr>
                                  <w:rFonts w:ascii="Arial" w:hAnsi="Arial" w:cs="Arial"/>
                                  <w:sz w:val="16"/>
                                  <w:szCs w:val="16"/>
                                </w:rPr>
                                <w:br/>
                                <w:t>Concord, CA 94520-2445</w:t>
                              </w:r>
                              <w:r w:rsidRPr="00A57DA9">
                                <w:rPr>
                                  <w:rFonts w:ascii="Arial" w:hAnsi="Arial" w:cs="Arial"/>
                                  <w:sz w:val="16"/>
                                  <w:szCs w:val="16"/>
                                </w:rPr>
                                <w:br/>
                                <w:t>800-664-5345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F78F6C" id="Group 16" o:spid="_x0000_s1027" style="position:absolute;margin-left:-36.75pt;margin-top:311.55pt;width:541.4pt;height:340.95pt;z-index:-251642880;mso-position-horizontal-relative:margin;mso-position-vertical-relative:margin;mso-width-relative:margin;mso-height-relative:margin" coordorigin=",3738" coordsize="68580,19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">
                <v:rect id="Rectangle 18" o:spid="_x0000_s1028" style="position:absolute;top:3738;width:68580;height:18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" fillcolor="#f2f2f2" stroked="f" strokeweight="1pt"/>
                <v:shape id="Text Box 22" o:spid="_x0000_s1029" type="#_x0000_t202" style="position:absolute;left:14396;top:4084;width:54179;height:17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426D23FC" w14:textId="77777777" w:rsidR="004F6ABF" w:rsidRPr="00A57DA9" w:rsidRDefault="004F6ABF" w:rsidP="004F6ABF">
                        <w:pPr>
                          <w:spacing w:after="120" w:line="240" w:lineRule="auto"/>
                          <w:rPr>
                            <w:rFonts w:ascii="Arial" w:hAnsi="Arial" w:cs="Arial"/>
                            <w:b/>
                            <w:sz w:val="16"/>
                            <w:szCs w:val="16"/>
                          </w:rPr>
                        </w:pPr>
                        <w:bookmarkStart w:id="8" w:name="_Hlk92871284"/>
                        <w:r w:rsidRPr="00A57DA9">
                          <w:rPr>
                            <w:rFonts w:ascii="Arial" w:hAnsi="Arial" w:cs="Arial"/>
                            <w:b/>
                            <w:sz w:val="16"/>
                            <w:szCs w:val="16"/>
                          </w:rPr>
                          <w:t>IMPORTANT INFORMATION</w:t>
                        </w:r>
                      </w:p>
                      <w:p w14:paraId="62C97230" w14:textId="4BF8FD3C" w:rsidR="00A933B5" w:rsidRDefault="004F6ABF" w:rsidP="00A933B5">
                        <w:pPr>
                          <w:spacing w:after="120" w:line="240" w:lineRule="auto"/>
                          <w:rPr>
                            <w:rFonts w:ascii="Arial" w:hAnsi="Arial" w:cs="Arial"/>
                            <w:sz w:val="16"/>
                            <w:szCs w:val="16"/>
                          </w:rPr>
                        </w:pPr>
                        <w:r w:rsidRPr="00A57DA9">
                          <w:rPr>
                            <w:rFonts w:ascii="Arial" w:hAnsi="Arial" w:cs="Arial"/>
                            <w:sz w:val="16"/>
                            <w:szCs w:val="16"/>
                          </w:rPr>
                          <w:t>This</w:t>
                        </w:r>
                        <w:r w:rsidR="00A933B5">
                          <w:rPr>
                            <w:rFonts w:ascii="Arial" w:hAnsi="Arial" w:cs="Arial"/>
                            <w:sz w:val="16"/>
                            <w:szCs w:val="16"/>
                          </w:rPr>
                          <w:t xml:space="preserve"> report is for informational purposes only, and is not a solicitation, and should not be considered as investment or tax advice. The information has been drawn from sources believed to be reliable, but its accuracy is not guaranteed, and is subject to change. Opinions are those of AssetMark and may change at any time. Investors seeking more information should discuss with their financial advisor. Financial advisors may seek more information regarding all services offered through the AssetMark platform by contacting AssetMark at 800-664-5345.</w:t>
                        </w:r>
                      </w:p>
                      <w:p w14:paraId="652E85D5" w14:textId="68AC1399" w:rsidR="00A933B5" w:rsidRPr="0069148C" w:rsidRDefault="00A933B5" w:rsidP="00A933B5">
                        <w:pPr>
                          <w:spacing w:after="120" w:line="240" w:lineRule="auto"/>
                          <w:rPr>
                            <w:rFonts w:ascii="Arial" w:hAnsi="Arial" w:cs="Arial"/>
                            <w:sz w:val="16"/>
                            <w:szCs w:val="16"/>
                          </w:rPr>
                        </w:pPr>
                        <w:r>
                          <w:rPr>
                            <w:rFonts w:ascii="Arial" w:hAnsi="Arial" w:cs="Arial"/>
                            <w:b/>
                            <w:sz w:val="16"/>
                            <w:szCs w:val="16"/>
                          </w:rPr>
                          <w:t>Investing involves risk, including the possible loss of principal. Past performance does not guarantee future results.</w:t>
                        </w:r>
                        <w:r>
                          <w:rPr>
                            <w:rFonts w:ascii="Arial" w:hAnsi="Arial" w:cs="Arial"/>
                            <w:sz w:val="16"/>
                            <w:szCs w:val="16"/>
                          </w:rPr>
                          <w:t xml:space="preserve"> Asset allocation alone cannot eliminate the risk of fluctuating prices and uncertain returns. There is no guarantee that a diversified portfolio will outperform a non-diversified portfolio in any given market environment. No investment strategy, such as asset allocation, can guarantee a profit or protect against a loss. Actual client results </w:t>
                        </w:r>
                        <w:r w:rsidRPr="0069148C">
                          <w:rPr>
                            <w:rFonts w:ascii="Arial" w:hAnsi="Arial" w:cs="Arial"/>
                            <w:sz w:val="16"/>
                            <w:szCs w:val="16"/>
                          </w:rPr>
                          <w:t xml:space="preserve">will vary based on investment selection, timing, and market conditions. The market indices shown are non-managed indices shown for reference purposes. Index performance reflects the reinvestment of dividends. It is not possible to invest directly in an index, and index performance does not reflect any deduction for investment advisory fees. </w:t>
                        </w:r>
                      </w:p>
                      <w:p w14:paraId="675CB9D4" w14:textId="77777777" w:rsidR="00DD61D1" w:rsidRPr="0069148C" w:rsidRDefault="00DD61D1" w:rsidP="00DD61D1">
                        <w:pPr>
                          <w:spacing w:after="120" w:line="240" w:lineRule="auto"/>
                          <w:rPr>
                            <w:rFonts w:ascii="Arial" w:hAnsi="Arial" w:cs="Arial"/>
                            <w:sz w:val="16"/>
                            <w:szCs w:val="16"/>
                          </w:rPr>
                        </w:pPr>
                        <w:r w:rsidRPr="0069148C">
                          <w:rPr>
                            <w:rFonts w:ascii="Arial" w:hAnsi="Arial" w:cs="Arial"/>
                            <w:sz w:val="16"/>
                            <w:szCs w:val="16"/>
                          </w:rPr>
                          <w:t xml:space="preserve">Please read the Terms of Use posted at www.ewealthmanager.com that govern the use of these materials </w:t>
                        </w:r>
                        <w:proofErr w:type="gramStart"/>
                        <w:r w:rsidRPr="0069148C">
                          <w:rPr>
                            <w:rFonts w:ascii="Arial" w:hAnsi="Arial" w:cs="Arial"/>
                            <w:sz w:val="16"/>
                            <w:szCs w:val="16"/>
                          </w:rPr>
                          <w:t>and also</w:t>
                        </w:r>
                        <w:proofErr w:type="gramEnd"/>
                        <w:r w:rsidRPr="0069148C">
                          <w:rPr>
                            <w:rFonts w:ascii="Arial" w:hAnsi="Arial" w:cs="Arial"/>
                            <w:sz w:val="16"/>
                            <w:szCs w:val="16"/>
                          </w:rPr>
                          <w:t xml:space="preserve"> be advised:</w:t>
                        </w:r>
                      </w:p>
                      <w:p w14:paraId="3E7B3BBF" w14:textId="5DAAC38C" w:rsidR="00DD61D1" w:rsidRPr="0069148C" w:rsidRDefault="00DD61D1" w:rsidP="00DD61D1">
                        <w:pPr>
                          <w:spacing w:after="120" w:line="240" w:lineRule="auto"/>
                          <w:rPr>
                            <w:rFonts w:ascii="Arial" w:hAnsi="Arial" w:cs="Arial"/>
                            <w:sz w:val="16"/>
                            <w:szCs w:val="16"/>
                          </w:rPr>
                        </w:pPr>
                        <w:r w:rsidRPr="0069148C">
                          <w:rPr>
                            <w:rFonts w:ascii="Arial" w:hAnsi="Arial" w:cs="Arial"/>
                            <w:sz w:val="16"/>
                            <w:szCs w:val="16"/>
                          </w:rPr>
                          <w:t xml:space="preserve">AssetMark uses financial market information (“Information”) from third-party providers (“Providers”) in reports (“Materials”). The Information includes, but is not limited to, financial market data, quotes, news, analyst opinions and research reports. The Materials are for informational purposes only, not a solicitation or for use in the creation/management/offering/sale of any financial instrument or product based thereon and should not be considered investment, legal or tax advice. The Information has been drawn from sources believed to be reliable, but its accuracy and timeliness is not guaranteed, and is subject to change. You agree that neither AssetMark nor the Providers are liable for the use of the Information.   </w:t>
                        </w:r>
                      </w:p>
                      <w:p w14:paraId="2C78C20E" w14:textId="7B1CA720" w:rsidR="00DD61D1" w:rsidRDefault="00DD61D1" w:rsidP="00DD61D1">
                        <w:pPr>
                          <w:spacing w:after="120" w:line="240" w:lineRule="auto"/>
                          <w:rPr>
                            <w:rFonts w:ascii="Arial" w:hAnsi="Arial" w:cs="Arial"/>
                            <w:sz w:val="16"/>
                            <w:szCs w:val="16"/>
                          </w:rPr>
                        </w:pPr>
                        <w:r w:rsidRPr="0069148C">
                          <w:rPr>
                            <w:rFonts w:ascii="Arial" w:hAnsi="Arial" w:cs="Arial"/>
                            <w:sz w:val="16"/>
                            <w:szCs w:val="16"/>
                          </w:rPr>
                          <w:t xml:space="preserve">You agree not to redistribute the Information to recipients not authorized by AssetMark.  You agree that the Providers </w:t>
                        </w:r>
                        <w:proofErr w:type="gramStart"/>
                        <w:r w:rsidRPr="0069148C">
                          <w:rPr>
                            <w:rFonts w:ascii="Arial" w:hAnsi="Arial" w:cs="Arial"/>
                            <w:sz w:val="16"/>
                            <w:szCs w:val="16"/>
                          </w:rPr>
                          <w:t>are considered to be</w:t>
                        </w:r>
                        <w:proofErr w:type="gramEnd"/>
                        <w:r w:rsidRPr="0069148C">
                          <w:rPr>
                            <w:rFonts w:ascii="Arial" w:hAnsi="Arial" w:cs="Arial"/>
                            <w:sz w:val="16"/>
                            <w:szCs w:val="16"/>
                          </w:rPr>
                          <w:t xml:space="preserve"> third-party beneficiaries of the Terms of Use.</w:t>
                        </w:r>
                      </w:p>
                      <w:p w14:paraId="44D139E2" w14:textId="58EEE99C" w:rsidR="00A933B5" w:rsidRDefault="00A933B5" w:rsidP="00A933B5">
                        <w:pPr>
                          <w:spacing w:after="120" w:line="240" w:lineRule="auto"/>
                          <w:rPr>
                            <w:rFonts w:ascii="Arial" w:hAnsi="Arial" w:cs="Arial"/>
                            <w:sz w:val="16"/>
                            <w:szCs w:val="16"/>
                          </w:rPr>
                        </w:pPr>
                        <w:r>
                          <w:rPr>
                            <w:rFonts w:ascii="Arial" w:hAnsi="Arial" w:cs="Arial"/>
                            <w:sz w:val="16"/>
                            <w:szCs w:val="16"/>
                          </w:rPr>
                          <w:t>AssetMark, Inc. is an investment adviser registered with the Securities and Exchange Commission.</w:t>
                        </w:r>
                        <w:r>
                          <w:rPr>
                            <w:rFonts w:ascii="Arial" w:hAnsi="Arial" w:cs="Arial"/>
                            <w:sz w:val="16"/>
                            <w:szCs w:val="16"/>
                          </w:rPr>
                          <w:br/>
                          <w:t>©202</w:t>
                        </w:r>
                        <w:r w:rsidR="00252E6F">
                          <w:rPr>
                            <w:rFonts w:ascii="Arial" w:hAnsi="Arial" w:cs="Arial"/>
                            <w:sz w:val="16"/>
                            <w:szCs w:val="16"/>
                          </w:rPr>
                          <w:t>2</w:t>
                        </w:r>
                        <w:r>
                          <w:rPr>
                            <w:rFonts w:ascii="Arial" w:hAnsi="Arial" w:cs="Arial"/>
                            <w:sz w:val="16"/>
                            <w:szCs w:val="16"/>
                          </w:rPr>
                          <w:t xml:space="preserve"> AssetMark, Inc. All rights reserved.</w:t>
                        </w:r>
                      </w:p>
                      <w:p w14:paraId="700A5642" w14:textId="40A35612" w:rsidR="00A933B5" w:rsidRPr="004B1C5E" w:rsidRDefault="009077B4" w:rsidP="00A933B5">
                        <w:pPr>
                          <w:spacing w:after="120" w:line="240" w:lineRule="auto"/>
                          <w:rPr>
                            <w:rFonts w:ascii="Arial" w:hAnsi="Arial" w:cs="Arial"/>
                            <w:sz w:val="16"/>
                            <w:szCs w:val="16"/>
                          </w:rPr>
                        </w:pPr>
                        <w:bookmarkStart w:id="9" w:name="_Hlk92277838"/>
                        <w:bookmarkEnd w:id="8"/>
                        <w:r>
                          <w:rPr>
                            <w:rFonts w:ascii="Arial" w:hAnsi="Arial" w:cs="Arial"/>
                            <w:sz w:val="16"/>
                            <w:szCs w:val="16"/>
                          </w:rPr>
                          <w:t>103363 | C22-19267 |10/2022 | EXP 10/31/2024</w:t>
                        </w:r>
                        <w:bookmarkEnd w:id="9"/>
                      </w:p>
                      <w:p w14:paraId="1C5DEE7A" w14:textId="131D87E2" w:rsidR="004F6ABF" w:rsidRPr="004B1C5E" w:rsidRDefault="004F6ABF" w:rsidP="004F6ABF">
                        <w:pPr>
                          <w:spacing w:after="120" w:line="240" w:lineRule="auto"/>
                          <w:rPr>
                            <w:rFonts w:ascii="Arial" w:hAnsi="Arial" w:cs="Arial"/>
                            <w:sz w:val="16"/>
                            <w:szCs w:val="16"/>
                          </w:rPr>
                        </w:pPr>
                      </w:p>
                    </w:txbxContent>
                  </v:textbox>
                </v:shape>
                <v:shape id="Text Box 23" o:spid="_x0000_s1030" type="#_x0000_t202" style="position:absolute;left:486;top:4084;width:13909;height:19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4077A185" w14:textId="77777777" w:rsidR="004F6ABF" w:rsidRPr="00A57DA9" w:rsidRDefault="004F6ABF" w:rsidP="004F6ABF">
                        <w:pPr>
                          <w:spacing w:after="120"/>
                          <w:rPr>
                            <w:rFonts w:ascii="Arial" w:hAnsi="Arial" w:cs="Arial"/>
                            <w:b/>
                            <w:sz w:val="16"/>
                            <w:szCs w:val="16"/>
                          </w:rPr>
                        </w:pPr>
                        <w:r w:rsidRPr="00A57DA9">
                          <w:rPr>
                            <w:rFonts w:ascii="Arial" w:hAnsi="Arial" w:cs="Arial"/>
                            <w:b/>
                            <w:sz w:val="16"/>
                            <w:szCs w:val="16"/>
                          </w:rPr>
                          <w:t>AssetMark, Inc.</w:t>
                        </w:r>
                      </w:p>
                      <w:p w14:paraId="487C5125" w14:textId="77777777" w:rsidR="004F6ABF" w:rsidRPr="00A57DA9" w:rsidRDefault="004F6ABF" w:rsidP="004F6ABF">
                        <w:pPr>
                          <w:spacing w:after="120"/>
                          <w:rPr>
                            <w:rFonts w:ascii="Arial" w:hAnsi="Arial" w:cs="Arial"/>
                            <w:sz w:val="16"/>
                            <w:szCs w:val="16"/>
                          </w:rPr>
                        </w:pPr>
                        <w:r w:rsidRPr="00A57DA9">
                          <w:rPr>
                            <w:rFonts w:ascii="Arial" w:hAnsi="Arial" w:cs="Arial"/>
                            <w:sz w:val="16"/>
                            <w:szCs w:val="16"/>
                          </w:rPr>
                          <w:t>1655 Grant Street</w:t>
                        </w:r>
                        <w:r w:rsidRPr="00A57DA9">
                          <w:rPr>
                            <w:rFonts w:ascii="Arial" w:hAnsi="Arial" w:cs="Arial"/>
                            <w:sz w:val="16"/>
                            <w:szCs w:val="16"/>
                          </w:rPr>
                          <w:br/>
                          <w:t>10</w:t>
                        </w:r>
                        <w:r w:rsidRPr="00A57DA9">
                          <w:rPr>
                            <w:rFonts w:ascii="Arial" w:hAnsi="Arial" w:cs="Arial"/>
                            <w:sz w:val="16"/>
                            <w:szCs w:val="16"/>
                            <w:vertAlign w:val="superscript"/>
                          </w:rPr>
                          <w:t>th</w:t>
                        </w:r>
                        <w:r w:rsidRPr="00A57DA9">
                          <w:rPr>
                            <w:rFonts w:ascii="Arial" w:hAnsi="Arial" w:cs="Arial"/>
                            <w:sz w:val="16"/>
                            <w:szCs w:val="16"/>
                          </w:rPr>
                          <w:t xml:space="preserve"> Floor</w:t>
                        </w:r>
                        <w:r w:rsidRPr="00A57DA9">
                          <w:rPr>
                            <w:rFonts w:ascii="Arial" w:hAnsi="Arial" w:cs="Arial"/>
                            <w:sz w:val="16"/>
                            <w:szCs w:val="16"/>
                          </w:rPr>
                          <w:br/>
                          <w:t>Concord, CA 94520-2445</w:t>
                        </w:r>
                        <w:r w:rsidRPr="00A57DA9">
                          <w:rPr>
                            <w:rFonts w:ascii="Arial" w:hAnsi="Arial" w:cs="Arial"/>
                            <w:sz w:val="16"/>
                            <w:szCs w:val="16"/>
                          </w:rPr>
                          <w:br/>
                          <w:t>800-664-5345</w:t>
                        </w:r>
                      </w:p>
                    </w:txbxContent>
                  </v:textbox>
                </v:shape>
                <w10:wrap type="tight" anchorx="margin" anchory="margin"/>
              </v:group>
            </w:pict>
          </mc:Fallback>
        </mc:AlternateContent>
      </w:r>
    </w:p>
    <w:sectPr w:rsidR="000F6A69" w:rsidRPr="009F65E5" w:rsidSect="00890AD2">
      <w:type w:val="continuous"/>
      <w:pgSz w:w="12240" w:h="15840"/>
      <w:pgMar w:top="-1659" w:right="1440" w:bottom="151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C2601" w14:textId="77777777" w:rsidR="00D73A03" w:rsidRDefault="00D73A03" w:rsidP="005C1D70">
      <w:pPr>
        <w:spacing w:after="0" w:line="240" w:lineRule="auto"/>
      </w:pPr>
      <w:r>
        <w:separator/>
      </w:r>
    </w:p>
  </w:endnote>
  <w:endnote w:type="continuationSeparator" w:id="0">
    <w:p w14:paraId="4F73919A" w14:textId="77777777" w:rsidR="00D73A03" w:rsidRDefault="00D73A03" w:rsidP="005C1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82884803"/>
      <w:docPartObj>
        <w:docPartGallery w:val="Page Numbers (Bottom of Page)"/>
        <w:docPartUnique/>
      </w:docPartObj>
    </w:sdtPr>
    <w:sdtEndPr>
      <w:rPr>
        <w:rStyle w:val="PageNumber"/>
      </w:rPr>
    </w:sdtEndPr>
    <w:sdtContent>
      <w:p w14:paraId="6A74A47C" w14:textId="77777777" w:rsidR="007C4C9B" w:rsidRDefault="007C4C9B" w:rsidP="007E4E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D71998" w14:textId="77777777" w:rsidR="005C1D70" w:rsidRDefault="005C1D70" w:rsidP="007C4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767171" w:themeColor="background2" w:themeShade="80"/>
        <w:sz w:val="20"/>
      </w:rPr>
      <w:id w:val="1965231298"/>
      <w:docPartObj>
        <w:docPartGallery w:val="Page Numbers (Bottom of Page)"/>
        <w:docPartUnique/>
      </w:docPartObj>
    </w:sdtPr>
    <w:sdtEndPr>
      <w:rPr>
        <w:rStyle w:val="PageNumber"/>
      </w:rPr>
    </w:sdtEndPr>
    <w:sdtContent>
      <w:p w14:paraId="667BBCF9" w14:textId="77777777" w:rsidR="007C4C9B" w:rsidRPr="007C4C9B" w:rsidRDefault="007C4C9B" w:rsidP="007C4C9B">
        <w:pPr>
          <w:pStyle w:val="Footer"/>
          <w:framePr w:wrap="none" w:vAnchor="text" w:hAnchor="page" w:x="11383" w:y="263"/>
          <w:rPr>
            <w:rStyle w:val="PageNumber"/>
            <w:rFonts w:ascii="Arial" w:hAnsi="Arial" w:cs="Arial"/>
            <w:color w:val="767171" w:themeColor="background2" w:themeShade="80"/>
            <w:sz w:val="20"/>
          </w:rPr>
        </w:pPr>
        <w:r w:rsidRPr="007C4C9B">
          <w:rPr>
            <w:rStyle w:val="PageNumber"/>
            <w:rFonts w:ascii="Arial" w:hAnsi="Arial" w:cs="Arial"/>
            <w:color w:val="767171" w:themeColor="background2" w:themeShade="80"/>
            <w:sz w:val="20"/>
          </w:rPr>
          <w:fldChar w:fldCharType="begin"/>
        </w:r>
        <w:r w:rsidRPr="007C4C9B">
          <w:rPr>
            <w:rStyle w:val="PageNumber"/>
            <w:rFonts w:ascii="Arial" w:hAnsi="Arial" w:cs="Arial"/>
            <w:color w:val="767171" w:themeColor="background2" w:themeShade="80"/>
            <w:sz w:val="20"/>
          </w:rPr>
          <w:instrText xml:space="preserve"> PAGE </w:instrText>
        </w:r>
        <w:r w:rsidRPr="007C4C9B">
          <w:rPr>
            <w:rStyle w:val="PageNumber"/>
            <w:rFonts w:ascii="Arial" w:hAnsi="Arial" w:cs="Arial"/>
            <w:color w:val="767171" w:themeColor="background2" w:themeShade="80"/>
            <w:sz w:val="20"/>
          </w:rPr>
          <w:fldChar w:fldCharType="separate"/>
        </w:r>
        <w:r w:rsidR="00C146FF">
          <w:rPr>
            <w:rStyle w:val="PageNumber"/>
            <w:rFonts w:ascii="Arial" w:hAnsi="Arial" w:cs="Arial"/>
            <w:noProof/>
            <w:color w:val="767171" w:themeColor="background2" w:themeShade="80"/>
            <w:sz w:val="20"/>
          </w:rPr>
          <w:t>4</w:t>
        </w:r>
        <w:r w:rsidRPr="007C4C9B">
          <w:rPr>
            <w:rStyle w:val="PageNumber"/>
            <w:rFonts w:ascii="Arial" w:hAnsi="Arial" w:cs="Arial"/>
            <w:color w:val="767171" w:themeColor="background2" w:themeShade="80"/>
            <w:sz w:val="20"/>
          </w:rPr>
          <w:fldChar w:fldCharType="end"/>
        </w:r>
      </w:p>
    </w:sdtContent>
  </w:sdt>
  <w:p w14:paraId="340D8F79" w14:textId="77777777" w:rsidR="005C1D70" w:rsidRDefault="00FE3FBC" w:rsidP="007C4C9B">
    <w:pPr>
      <w:pStyle w:val="Footer"/>
      <w:ind w:right="360"/>
    </w:pPr>
    <w:r>
      <w:rPr>
        <w:noProof/>
      </w:rPr>
      <mc:AlternateContent>
        <mc:Choice Requires="wps">
          <w:drawing>
            <wp:anchor distT="0" distB="0" distL="114300" distR="114300" simplePos="0" relativeHeight="251666432" behindDoc="0" locked="0" layoutInCell="1" allowOverlap="1" wp14:anchorId="20DA12BF" wp14:editId="154F3E05">
              <wp:simplePos x="0" y="0"/>
              <wp:positionH relativeFrom="column">
                <wp:posOffset>-457200</wp:posOffset>
              </wp:positionH>
              <wp:positionV relativeFrom="paragraph">
                <wp:posOffset>78740</wp:posOffset>
              </wp:positionV>
              <wp:extent cx="2743200" cy="2527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743200" cy="252730"/>
                      </a:xfrm>
                      <a:prstGeom prst="rect">
                        <a:avLst/>
                      </a:prstGeom>
                      <a:noFill/>
                      <a:ln w="6350">
                        <a:noFill/>
                      </a:ln>
                    </wps:spPr>
                    <wps:txbx>
                      <w:txbxContent>
                        <w:p w14:paraId="312E4BBA" w14:textId="77777777" w:rsidR="00FE3FBC" w:rsidRPr="005C1D70" w:rsidRDefault="00FE3FBC" w:rsidP="00FE3FBC">
                          <w:pPr>
                            <w:rPr>
                              <w:rFonts w:ascii="Arial" w:hAnsi="Arial" w:cs="Arial"/>
                              <w:color w:val="767171" w:themeColor="background2" w:themeShade="80"/>
                              <w:sz w:val="18"/>
                            </w:rPr>
                          </w:pPr>
                          <w:r>
                            <w:rPr>
                              <w:rFonts w:ascii="Arial" w:hAnsi="Arial" w:cs="Arial"/>
                              <w:color w:val="767171" w:themeColor="background2" w:themeShade="80"/>
                              <w:sz w:val="20"/>
                              <w:szCs w:val="36"/>
                            </w:rPr>
                            <w:t xml:space="preserve">For </w:t>
                          </w:r>
                          <w:r w:rsidR="00A02EE9">
                            <w:rPr>
                              <w:rFonts w:ascii="Arial" w:hAnsi="Arial" w:cs="Arial"/>
                              <w:color w:val="767171" w:themeColor="background2" w:themeShade="80"/>
                              <w:sz w:val="20"/>
                              <w:szCs w:val="36"/>
                            </w:rPr>
                            <w:t>general public use</w:t>
                          </w:r>
                          <w:r>
                            <w:rPr>
                              <w:rFonts w:ascii="Arial" w:hAnsi="Arial" w:cs="Arial"/>
                              <w:color w:val="767171" w:themeColor="background2" w:themeShade="80"/>
                              <w:sz w:val="20"/>
                              <w:szCs w:val="36"/>
                            </w:rPr>
                            <w:t>.</w:t>
                          </w:r>
                        </w:p>
                        <w:p w14:paraId="581BF8DC" w14:textId="77777777" w:rsidR="007C4C9B" w:rsidRPr="005C1D70" w:rsidRDefault="007C4C9B" w:rsidP="007C4C9B">
                          <w:pPr>
                            <w:rPr>
                              <w:rFonts w:ascii="Arial" w:hAnsi="Arial" w:cs="Arial"/>
                              <w:color w:val="767171" w:themeColor="background2" w:themeShade="80"/>
                              <w:sz w:val="18"/>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A12BF" id="_x0000_t202" coordsize="21600,21600" o:spt="202" path="m,l,21600r21600,l21600,xe">
              <v:stroke joinstyle="miter"/>
              <v:path gradientshapeok="t" o:connecttype="rect"/>
            </v:shapetype>
            <v:shape id="Text Box 6" o:spid="_x0000_s1031" type="#_x0000_t202" style="position:absolute;margin-left:-36pt;margin-top:6.2pt;width:3in;height:1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" filled="f" stroked="f" strokeweight=".5pt">
              <v:textbox inset="0">
                <w:txbxContent>
                  <w:p w14:paraId="312E4BBA" w14:textId="77777777" w:rsidR="00FE3FBC" w:rsidRPr="005C1D70" w:rsidRDefault="00FE3FBC" w:rsidP="00FE3FBC">
                    <w:pPr>
                      <w:rPr>
                        <w:rFonts w:ascii="Arial" w:hAnsi="Arial" w:cs="Arial"/>
                        <w:color w:val="767171" w:themeColor="background2" w:themeShade="80"/>
                        <w:sz w:val="18"/>
                      </w:rPr>
                    </w:pPr>
                    <w:r>
                      <w:rPr>
                        <w:rFonts w:ascii="Arial" w:hAnsi="Arial" w:cs="Arial"/>
                        <w:color w:val="767171" w:themeColor="background2" w:themeShade="80"/>
                        <w:sz w:val="20"/>
                        <w:szCs w:val="36"/>
                      </w:rPr>
                      <w:t xml:space="preserve">For </w:t>
                    </w:r>
                    <w:proofErr w:type="gramStart"/>
                    <w:r w:rsidR="00A02EE9">
                      <w:rPr>
                        <w:rFonts w:ascii="Arial" w:hAnsi="Arial" w:cs="Arial"/>
                        <w:color w:val="767171" w:themeColor="background2" w:themeShade="80"/>
                        <w:sz w:val="20"/>
                        <w:szCs w:val="36"/>
                      </w:rPr>
                      <w:t>general public</w:t>
                    </w:r>
                    <w:proofErr w:type="gramEnd"/>
                    <w:r w:rsidR="00A02EE9">
                      <w:rPr>
                        <w:rFonts w:ascii="Arial" w:hAnsi="Arial" w:cs="Arial"/>
                        <w:color w:val="767171" w:themeColor="background2" w:themeShade="80"/>
                        <w:sz w:val="20"/>
                        <w:szCs w:val="36"/>
                      </w:rPr>
                      <w:t xml:space="preserve"> use</w:t>
                    </w:r>
                    <w:r>
                      <w:rPr>
                        <w:rFonts w:ascii="Arial" w:hAnsi="Arial" w:cs="Arial"/>
                        <w:color w:val="767171" w:themeColor="background2" w:themeShade="80"/>
                        <w:sz w:val="20"/>
                        <w:szCs w:val="36"/>
                      </w:rPr>
                      <w:t>.</w:t>
                    </w:r>
                  </w:p>
                  <w:p w14:paraId="581BF8DC" w14:textId="77777777" w:rsidR="007C4C9B" w:rsidRPr="005C1D70" w:rsidRDefault="007C4C9B" w:rsidP="007C4C9B">
                    <w:pPr>
                      <w:rPr>
                        <w:rFonts w:ascii="Arial" w:hAnsi="Arial" w:cs="Arial"/>
                        <w:color w:val="767171" w:themeColor="background2" w:themeShade="80"/>
                        <w:sz w:val="18"/>
                      </w:rPr>
                    </w:pPr>
                  </w:p>
                </w:txbxContent>
              </v:textbox>
            </v:shape>
          </w:pict>
        </mc:Fallback>
      </mc:AlternateContent>
    </w:r>
    <w:r w:rsidR="007C4C9B">
      <w:rPr>
        <w:noProof/>
      </w:rPr>
      <mc:AlternateContent>
        <mc:Choice Requires="wps">
          <w:drawing>
            <wp:anchor distT="0" distB="0" distL="114300" distR="114300" simplePos="0" relativeHeight="251668480" behindDoc="0" locked="0" layoutInCell="1" allowOverlap="1" wp14:anchorId="0387E4A2" wp14:editId="661C3BFE">
              <wp:simplePos x="0" y="0"/>
              <wp:positionH relativeFrom="column">
                <wp:posOffset>5386502</wp:posOffset>
              </wp:positionH>
              <wp:positionV relativeFrom="paragraph">
                <wp:posOffset>117475</wp:posOffset>
              </wp:positionV>
              <wp:extent cx="884826" cy="252730"/>
              <wp:effectExtent l="0" t="0" r="4445" b="0"/>
              <wp:wrapNone/>
              <wp:docPr id="7" name="Text Box 7"/>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232D97A9" w14:textId="77777777" w:rsidR="007C4C9B" w:rsidRPr="005C1D70" w:rsidRDefault="007C4C9B" w:rsidP="007C4C9B">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7E4A2" id="Text Box 7" o:spid="_x0000_s1032" type="#_x0000_t202" style="position:absolute;margin-left:424.15pt;margin-top:9.25pt;width:69.65pt;height:1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" filled="f" stroked="f" strokeweight=".5pt">
              <v:textbox inset="0,,0">
                <w:txbxContent>
                  <w:p w14:paraId="232D97A9" w14:textId="77777777" w:rsidR="007C4C9B" w:rsidRPr="005C1D70" w:rsidRDefault="007C4C9B" w:rsidP="007C4C9B">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v:textbox>
            </v:shape>
          </w:pict>
        </mc:Fallback>
      </mc:AlternateContent>
    </w:r>
    <w:r w:rsidR="007C4C9B">
      <w:rPr>
        <w:noProof/>
      </w:rPr>
      <mc:AlternateContent>
        <mc:Choice Requires="wps">
          <w:drawing>
            <wp:anchor distT="0" distB="0" distL="114300" distR="114300" simplePos="0" relativeHeight="251664384" behindDoc="0" locked="0" layoutInCell="1" allowOverlap="1" wp14:anchorId="4CF63696" wp14:editId="0209D354">
              <wp:simplePos x="0" y="0"/>
              <wp:positionH relativeFrom="margin">
                <wp:posOffset>-463550</wp:posOffset>
              </wp:positionH>
              <wp:positionV relativeFrom="paragraph">
                <wp:posOffset>-31750</wp:posOffset>
              </wp:positionV>
              <wp:extent cx="68580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78CA8D5D" id="Straight Connector 5" o:spid="_x0000_s1026" style="position:absolute;z-index:251664384;visibility:visible;mso-wrap-style:square;mso-wrap-distance-left:9pt;mso-wrap-distance-top:0;mso-wrap-distance-right:9pt;mso-wrap-distance-bottom:0;mso-position-horizontal:absolute;mso-position-horizontal-relative:margin;mso-position-vertical:absolute;mso-position-vertical-relative:text" from="-36.5pt,-2.5pt" to="5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" strokecolor="#a5a5a5 [2092]" strokeweight=".5pt">
              <v:stroke joinstyle="miter"/>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767171" w:themeColor="background2" w:themeShade="80"/>
        <w:sz w:val="20"/>
      </w:rPr>
      <w:id w:val="-1014764887"/>
      <w:docPartObj>
        <w:docPartGallery w:val="Page Numbers (Bottom of Page)"/>
        <w:docPartUnique/>
      </w:docPartObj>
    </w:sdtPr>
    <w:sdtEndPr>
      <w:rPr>
        <w:rStyle w:val="PageNumber"/>
      </w:rPr>
    </w:sdtEndPr>
    <w:sdtContent>
      <w:p w14:paraId="4C8522BA" w14:textId="77777777" w:rsidR="00996FBD" w:rsidRPr="007C4C9B" w:rsidRDefault="00996FBD" w:rsidP="00996FBD">
        <w:pPr>
          <w:pStyle w:val="Footer"/>
          <w:framePr w:wrap="none" w:vAnchor="text" w:hAnchor="page" w:x="11383" w:y="248"/>
          <w:rPr>
            <w:rStyle w:val="PageNumber"/>
            <w:rFonts w:ascii="Arial" w:hAnsi="Arial" w:cs="Arial"/>
            <w:color w:val="767171" w:themeColor="background2" w:themeShade="80"/>
            <w:sz w:val="20"/>
          </w:rPr>
        </w:pPr>
        <w:r w:rsidRPr="007C4C9B">
          <w:rPr>
            <w:rStyle w:val="PageNumber"/>
            <w:rFonts w:ascii="Arial" w:hAnsi="Arial" w:cs="Arial"/>
            <w:color w:val="767171" w:themeColor="background2" w:themeShade="80"/>
            <w:sz w:val="20"/>
          </w:rPr>
          <w:fldChar w:fldCharType="begin"/>
        </w:r>
        <w:r w:rsidRPr="007C4C9B">
          <w:rPr>
            <w:rStyle w:val="PageNumber"/>
            <w:rFonts w:ascii="Arial" w:hAnsi="Arial" w:cs="Arial"/>
            <w:color w:val="767171" w:themeColor="background2" w:themeShade="80"/>
            <w:sz w:val="20"/>
          </w:rPr>
          <w:instrText xml:space="preserve"> PAGE </w:instrText>
        </w:r>
        <w:r w:rsidRPr="007C4C9B">
          <w:rPr>
            <w:rStyle w:val="PageNumber"/>
            <w:rFonts w:ascii="Arial" w:hAnsi="Arial" w:cs="Arial"/>
            <w:color w:val="767171" w:themeColor="background2" w:themeShade="80"/>
            <w:sz w:val="20"/>
          </w:rPr>
          <w:fldChar w:fldCharType="separate"/>
        </w:r>
        <w:r w:rsidR="00992B9C">
          <w:rPr>
            <w:rStyle w:val="PageNumber"/>
            <w:rFonts w:ascii="Arial" w:hAnsi="Arial" w:cs="Arial"/>
            <w:noProof/>
            <w:color w:val="767171" w:themeColor="background2" w:themeShade="80"/>
            <w:sz w:val="20"/>
          </w:rPr>
          <w:t>1</w:t>
        </w:r>
        <w:r w:rsidRPr="007C4C9B">
          <w:rPr>
            <w:rStyle w:val="PageNumber"/>
            <w:rFonts w:ascii="Arial" w:hAnsi="Arial" w:cs="Arial"/>
            <w:color w:val="767171" w:themeColor="background2" w:themeShade="80"/>
            <w:sz w:val="20"/>
          </w:rPr>
          <w:fldChar w:fldCharType="end"/>
        </w:r>
      </w:p>
    </w:sdtContent>
  </w:sdt>
  <w:p w14:paraId="2A9219EE" w14:textId="13AA5183" w:rsidR="00996FBD" w:rsidRDefault="00FE3FBC" w:rsidP="00996FBD">
    <w:pPr>
      <w:pStyle w:val="Footer"/>
    </w:pPr>
    <w:r w:rsidRPr="00996FBD">
      <w:rPr>
        <w:noProof/>
      </w:rPr>
      <mc:AlternateContent>
        <mc:Choice Requires="wps">
          <w:drawing>
            <wp:anchor distT="0" distB="0" distL="114300" distR="114300" simplePos="0" relativeHeight="251676672" behindDoc="0" locked="0" layoutInCell="1" allowOverlap="1" wp14:anchorId="2EFAE302" wp14:editId="1E349912">
              <wp:simplePos x="0" y="0"/>
              <wp:positionH relativeFrom="column">
                <wp:posOffset>-447040</wp:posOffset>
              </wp:positionH>
              <wp:positionV relativeFrom="paragraph">
                <wp:posOffset>78740</wp:posOffset>
              </wp:positionV>
              <wp:extent cx="2743200" cy="25273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43200" cy="252730"/>
                      </a:xfrm>
                      <a:prstGeom prst="rect">
                        <a:avLst/>
                      </a:prstGeom>
                      <a:noFill/>
                      <a:ln w="6350">
                        <a:noFill/>
                      </a:ln>
                    </wps:spPr>
                    <wps:txbx>
                      <w:txbxContent>
                        <w:p w14:paraId="02AEC2E0" w14:textId="77777777" w:rsidR="00996FBD" w:rsidRPr="005C1D70" w:rsidRDefault="00996FBD" w:rsidP="00996FBD">
                          <w:pPr>
                            <w:rPr>
                              <w:rFonts w:ascii="Arial" w:hAnsi="Arial" w:cs="Arial"/>
                              <w:color w:val="767171" w:themeColor="background2" w:themeShade="80"/>
                              <w:sz w:val="18"/>
                            </w:rPr>
                          </w:pPr>
                          <w:r>
                            <w:rPr>
                              <w:rFonts w:ascii="Arial" w:hAnsi="Arial" w:cs="Arial"/>
                              <w:color w:val="767171" w:themeColor="background2" w:themeShade="80"/>
                              <w:sz w:val="20"/>
                              <w:szCs w:val="36"/>
                            </w:rPr>
                            <w:t xml:space="preserve">For </w:t>
                          </w:r>
                          <w:r w:rsidR="0069692B">
                            <w:rPr>
                              <w:rFonts w:ascii="Arial" w:hAnsi="Arial" w:cs="Arial"/>
                              <w:color w:val="767171" w:themeColor="background2" w:themeShade="80"/>
                              <w:sz w:val="20"/>
                              <w:szCs w:val="36"/>
                            </w:rPr>
                            <w:t>general public use</w:t>
                          </w:r>
                          <w:r w:rsidR="00FE3FBC">
                            <w:rPr>
                              <w:rFonts w:ascii="Arial" w:hAnsi="Arial" w:cs="Arial"/>
                              <w:color w:val="767171" w:themeColor="background2" w:themeShade="80"/>
                              <w:sz w:val="20"/>
                              <w:szCs w:val="36"/>
                            </w:rPr>
                            <w:t>.</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AE302" id="_x0000_t202" coordsize="21600,21600" o:spt="202" path="m,l,21600r21600,l21600,xe">
              <v:stroke joinstyle="miter"/>
              <v:path gradientshapeok="t" o:connecttype="rect"/>
            </v:shapetype>
            <v:shape id="Text Box 13" o:spid="_x0000_s1035" type="#_x0000_t202" style="position:absolute;margin-left:-35.2pt;margin-top:6.2pt;width:3in;height:1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" filled="f" stroked="f" strokeweight=".5pt">
              <v:textbox inset="0">
                <w:txbxContent>
                  <w:p w14:paraId="02AEC2E0" w14:textId="77777777" w:rsidR="00996FBD" w:rsidRPr="005C1D70" w:rsidRDefault="00996FBD" w:rsidP="00996FBD">
                    <w:pPr>
                      <w:rPr>
                        <w:rFonts w:ascii="Arial" w:hAnsi="Arial" w:cs="Arial"/>
                        <w:color w:val="767171" w:themeColor="background2" w:themeShade="80"/>
                        <w:sz w:val="18"/>
                      </w:rPr>
                    </w:pPr>
                    <w:r>
                      <w:rPr>
                        <w:rFonts w:ascii="Arial" w:hAnsi="Arial" w:cs="Arial"/>
                        <w:color w:val="767171" w:themeColor="background2" w:themeShade="80"/>
                        <w:sz w:val="20"/>
                        <w:szCs w:val="36"/>
                      </w:rPr>
                      <w:t xml:space="preserve">For </w:t>
                    </w:r>
                    <w:proofErr w:type="gramStart"/>
                    <w:r w:rsidR="0069692B">
                      <w:rPr>
                        <w:rFonts w:ascii="Arial" w:hAnsi="Arial" w:cs="Arial"/>
                        <w:color w:val="767171" w:themeColor="background2" w:themeShade="80"/>
                        <w:sz w:val="20"/>
                        <w:szCs w:val="36"/>
                      </w:rPr>
                      <w:t>general public</w:t>
                    </w:r>
                    <w:proofErr w:type="gramEnd"/>
                    <w:r w:rsidR="0069692B">
                      <w:rPr>
                        <w:rFonts w:ascii="Arial" w:hAnsi="Arial" w:cs="Arial"/>
                        <w:color w:val="767171" w:themeColor="background2" w:themeShade="80"/>
                        <w:sz w:val="20"/>
                        <w:szCs w:val="36"/>
                      </w:rPr>
                      <w:t xml:space="preserve"> use</w:t>
                    </w:r>
                    <w:r w:rsidR="00FE3FBC">
                      <w:rPr>
                        <w:rFonts w:ascii="Arial" w:hAnsi="Arial" w:cs="Arial"/>
                        <w:color w:val="767171" w:themeColor="background2" w:themeShade="80"/>
                        <w:sz w:val="20"/>
                        <w:szCs w:val="36"/>
                      </w:rPr>
                      <w:t>.</w:t>
                    </w:r>
                  </w:p>
                </w:txbxContent>
              </v:textbox>
            </v:shape>
          </w:pict>
        </mc:Fallback>
      </mc:AlternateContent>
    </w:r>
    <w:r w:rsidR="0094619F">
      <w:t>`</w:t>
    </w:r>
    <w:r w:rsidR="00996FBD" w:rsidRPr="00996FBD">
      <w:t xml:space="preserve"> </w:t>
    </w:r>
    <w:r w:rsidR="00996FBD" w:rsidRPr="00996FBD">
      <w:rPr>
        <w:noProof/>
      </w:rPr>
      <mc:AlternateContent>
        <mc:Choice Requires="wps">
          <w:drawing>
            <wp:anchor distT="0" distB="0" distL="114300" distR="114300" simplePos="0" relativeHeight="251675648" behindDoc="0" locked="0" layoutInCell="1" allowOverlap="1" wp14:anchorId="397A5959" wp14:editId="20A9D11E">
              <wp:simplePos x="0" y="0"/>
              <wp:positionH relativeFrom="margin">
                <wp:posOffset>-454660</wp:posOffset>
              </wp:positionH>
              <wp:positionV relativeFrom="paragraph">
                <wp:posOffset>-37465</wp:posOffset>
              </wp:positionV>
              <wp:extent cx="6858000" cy="0"/>
              <wp:effectExtent l="0" t="0" r="12700" b="12700"/>
              <wp:wrapNone/>
              <wp:docPr id="12" name="Straight Connector 12"/>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6A64843D" id="Straight Connector 12" o:spid="_x0000_s1026" style="position:absolute;z-index:251675648;visibility:visible;mso-wrap-style:square;mso-wrap-distance-left:9pt;mso-wrap-distance-top:0;mso-wrap-distance-right:9pt;mso-wrap-distance-bottom:0;mso-position-horizontal:absolute;mso-position-horizontal-relative:margin;mso-position-vertical:absolute;mso-position-vertical-relative:text" from="-35.8pt,-2.95pt" to="504.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" strokecolor="#a5a5a5 [2092]" strokeweight=".5pt">
              <v:stroke joinstyle="miter"/>
              <w10:wrap anchorx="margin"/>
            </v:line>
          </w:pict>
        </mc:Fallback>
      </mc:AlternateContent>
    </w:r>
    <w:r w:rsidR="00996FBD" w:rsidRPr="00996FBD">
      <w:rPr>
        <w:noProof/>
      </w:rPr>
      <mc:AlternateContent>
        <mc:Choice Requires="wps">
          <w:drawing>
            <wp:anchor distT="0" distB="0" distL="114300" distR="114300" simplePos="0" relativeHeight="251677696" behindDoc="0" locked="0" layoutInCell="1" allowOverlap="1" wp14:anchorId="59467632" wp14:editId="56C905B0">
              <wp:simplePos x="0" y="0"/>
              <wp:positionH relativeFrom="column">
                <wp:posOffset>5395162</wp:posOffset>
              </wp:positionH>
              <wp:positionV relativeFrom="paragraph">
                <wp:posOffset>112111</wp:posOffset>
              </wp:positionV>
              <wp:extent cx="884826" cy="252730"/>
              <wp:effectExtent l="0" t="0" r="4445" b="0"/>
              <wp:wrapNone/>
              <wp:docPr id="14" name="Text Box 14"/>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39E8C753" w14:textId="77777777" w:rsidR="00996FBD" w:rsidRPr="005C1D70" w:rsidRDefault="00996FBD" w:rsidP="00996FBD">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67632" id="Text Box 14" o:spid="_x0000_s1036" type="#_x0000_t202" style="position:absolute;margin-left:424.8pt;margin-top:8.85pt;width:69.65pt;height:1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" filled="f" stroked="f" strokeweight=".5pt">
              <v:textbox inset="0,,0">
                <w:txbxContent>
                  <w:p w14:paraId="39E8C753" w14:textId="77777777" w:rsidR="00996FBD" w:rsidRPr="005C1D70" w:rsidRDefault="00996FBD" w:rsidP="00996FBD">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D0564" w14:textId="77777777" w:rsidR="00D73A03" w:rsidRDefault="00D73A03" w:rsidP="005C1D70">
      <w:pPr>
        <w:spacing w:after="0" w:line="240" w:lineRule="auto"/>
      </w:pPr>
      <w:r>
        <w:separator/>
      </w:r>
    </w:p>
  </w:footnote>
  <w:footnote w:type="continuationSeparator" w:id="0">
    <w:p w14:paraId="4DB6B96A" w14:textId="77777777" w:rsidR="00D73A03" w:rsidRDefault="00D73A03" w:rsidP="005C1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81D54" w14:textId="77777777" w:rsidR="005C1D70" w:rsidRDefault="00996FBD" w:rsidP="00996FBD">
    <w:pPr>
      <w:pStyle w:val="Header"/>
      <w:ind w:left="-720"/>
    </w:pPr>
    <w:r>
      <w:rPr>
        <w:noProof/>
      </w:rPr>
      <mc:AlternateContent>
        <mc:Choice Requires="wps">
          <w:drawing>
            <wp:anchor distT="0" distB="0" distL="114300" distR="114300" simplePos="0" relativeHeight="251679744" behindDoc="0" locked="0" layoutInCell="1" allowOverlap="1" wp14:anchorId="6EE42EAB" wp14:editId="4B24C1D8">
              <wp:simplePos x="0" y="0"/>
              <wp:positionH relativeFrom="margin">
                <wp:posOffset>-460375</wp:posOffset>
              </wp:positionH>
              <wp:positionV relativeFrom="paragraph">
                <wp:posOffset>247839</wp:posOffset>
              </wp:positionV>
              <wp:extent cx="6858000" cy="0"/>
              <wp:effectExtent l="0" t="0" r="12700" b="12700"/>
              <wp:wrapNone/>
              <wp:docPr id="15" name="Straight Connector 1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4CF3B9F2" id="Straight Connector 15" o:spid="_x0000_s1026" style="position:absolute;z-index:251679744;visibility:visible;mso-wrap-style:square;mso-wrap-distance-left:9pt;mso-wrap-distance-top:0;mso-wrap-distance-right:9pt;mso-wrap-distance-bottom:0;mso-position-horizontal:absolute;mso-position-horizontal-relative:margin;mso-position-vertical:absolute;mso-position-vertical-relative:text" from="-36.25pt,19.5pt" to="503.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" strokecolor="#a5a5a5 [2092]" strokeweight=".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B85D0" w14:textId="77777777" w:rsidR="00996FBD" w:rsidRDefault="009C020D">
    <w:pPr>
      <w:pStyle w:val="Header"/>
    </w:pPr>
    <w:r w:rsidRPr="00996FBD">
      <w:rPr>
        <w:noProof/>
      </w:rPr>
      <mc:AlternateContent>
        <mc:Choice Requires="wps">
          <w:drawing>
            <wp:anchor distT="0" distB="0" distL="114300" distR="114300" simplePos="0" relativeHeight="251673600" behindDoc="0" locked="0" layoutInCell="1" allowOverlap="1" wp14:anchorId="315F954A" wp14:editId="74D19A43">
              <wp:simplePos x="0" y="0"/>
              <wp:positionH relativeFrom="column">
                <wp:posOffset>-457201</wp:posOffset>
              </wp:positionH>
              <wp:positionV relativeFrom="paragraph">
                <wp:posOffset>152400</wp:posOffset>
              </wp:positionV>
              <wp:extent cx="1299633" cy="2514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299633" cy="251460"/>
                      </a:xfrm>
                      <a:prstGeom prst="rect">
                        <a:avLst/>
                      </a:prstGeom>
                      <a:noFill/>
                      <a:ln w="6350">
                        <a:noFill/>
                      </a:ln>
                    </wps:spPr>
                    <wps:txbx>
                      <w:txbxContent>
                        <w:p w14:paraId="118167A3" w14:textId="6726BF3E" w:rsidR="00996FBD" w:rsidRPr="00331075" w:rsidRDefault="00E75C1B" w:rsidP="00996FBD">
                          <w:pPr>
                            <w:rPr>
                              <w:rFonts w:ascii="Arial" w:hAnsi="Arial" w:cs="Arial"/>
                              <w:color w:val="AEAAAA" w:themeColor="background2" w:themeShade="BF"/>
                              <w:sz w:val="18"/>
                            </w:rPr>
                          </w:pPr>
                          <w:r>
                            <w:rPr>
                              <w:rFonts w:ascii="Arial" w:hAnsi="Arial" w:cs="Arial"/>
                              <w:color w:val="AEAAAA" w:themeColor="background2" w:themeShade="BF"/>
                              <w:sz w:val="20"/>
                              <w:szCs w:val="36"/>
                            </w:rPr>
                            <w:t>September</w:t>
                          </w:r>
                          <w:r w:rsidR="00B42A03">
                            <w:rPr>
                              <w:rFonts w:ascii="Arial" w:hAnsi="Arial" w:cs="Arial"/>
                              <w:color w:val="AEAAAA" w:themeColor="background2" w:themeShade="BF"/>
                              <w:sz w:val="20"/>
                              <w:szCs w:val="36"/>
                            </w:rPr>
                            <w:t xml:space="preserve"> </w:t>
                          </w:r>
                          <w:r w:rsidR="006C4671">
                            <w:rPr>
                              <w:rFonts w:ascii="Arial" w:hAnsi="Arial" w:cs="Arial"/>
                              <w:color w:val="AEAAAA" w:themeColor="background2" w:themeShade="BF"/>
                              <w:sz w:val="20"/>
                              <w:szCs w:val="36"/>
                            </w:rPr>
                            <w:t>202</w:t>
                          </w:r>
                          <w:r w:rsidR="004F4FB0">
                            <w:rPr>
                              <w:rFonts w:ascii="Arial" w:hAnsi="Arial" w:cs="Arial"/>
                              <w:color w:val="AEAAAA" w:themeColor="background2" w:themeShade="BF"/>
                              <w:sz w:val="20"/>
                              <w:szCs w:val="36"/>
                            </w:rPr>
                            <w:t>2</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F954A" id="_x0000_t202" coordsize="21600,21600" o:spt="202" path="m,l,21600r21600,l21600,xe">
              <v:stroke joinstyle="miter"/>
              <v:path gradientshapeok="t" o:connecttype="rect"/>
            </v:shapetype>
            <v:shape id="Text Box 10" o:spid="_x0000_s1033" type="#_x0000_t202" style="position:absolute;margin-left:-36pt;margin-top:12pt;width:102.35pt;height:1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" filled="f" stroked="f" strokeweight=".5pt">
              <v:textbox inset="0">
                <w:txbxContent>
                  <w:p w14:paraId="118167A3" w14:textId="6726BF3E" w:rsidR="00996FBD" w:rsidRPr="00331075" w:rsidRDefault="00E75C1B" w:rsidP="00996FBD">
                    <w:pPr>
                      <w:rPr>
                        <w:rFonts w:ascii="Arial" w:hAnsi="Arial" w:cs="Arial"/>
                        <w:color w:val="AEAAAA" w:themeColor="background2" w:themeShade="BF"/>
                        <w:sz w:val="18"/>
                      </w:rPr>
                    </w:pPr>
                    <w:r>
                      <w:rPr>
                        <w:rFonts w:ascii="Arial" w:hAnsi="Arial" w:cs="Arial"/>
                        <w:color w:val="AEAAAA" w:themeColor="background2" w:themeShade="BF"/>
                        <w:sz w:val="20"/>
                        <w:szCs w:val="36"/>
                      </w:rPr>
                      <w:t>September</w:t>
                    </w:r>
                    <w:r w:rsidR="00B42A03">
                      <w:rPr>
                        <w:rFonts w:ascii="Arial" w:hAnsi="Arial" w:cs="Arial"/>
                        <w:color w:val="AEAAAA" w:themeColor="background2" w:themeShade="BF"/>
                        <w:sz w:val="20"/>
                        <w:szCs w:val="36"/>
                      </w:rPr>
                      <w:t xml:space="preserve"> </w:t>
                    </w:r>
                    <w:r w:rsidR="006C4671">
                      <w:rPr>
                        <w:rFonts w:ascii="Arial" w:hAnsi="Arial" w:cs="Arial"/>
                        <w:color w:val="AEAAAA" w:themeColor="background2" w:themeShade="BF"/>
                        <w:sz w:val="20"/>
                        <w:szCs w:val="36"/>
                      </w:rPr>
                      <w:t>202</w:t>
                    </w:r>
                    <w:r w:rsidR="004F4FB0">
                      <w:rPr>
                        <w:rFonts w:ascii="Arial" w:hAnsi="Arial" w:cs="Arial"/>
                        <w:color w:val="AEAAAA" w:themeColor="background2" w:themeShade="BF"/>
                        <w:sz w:val="20"/>
                        <w:szCs w:val="36"/>
                      </w:rPr>
                      <w:t>2</w:t>
                    </w:r>
                  </w:p>
                </w:txbxContent>
              </v:textbox>
            </v:shape>
          </w:pict>
        </mc:Fallback>
      </mc:AlternateContent>
    </w:r>
    <w:r w:rsidR="00331075" w:rsidRPr="00996FBD">
      <w:rPr>
        <w:noProof/>
      </w:rPr>
      <mc:AlternateContent>
        <mc:Choice Requires="wps">
          <w:drawing>
            <wp:anchor distT="0" distB="0" distL="114300" distR="114300" simplePos="0" relativeHeight="251672576" behindDoc="0" locked="0" layoutInCell="1" allowOverlap="1" wp14:anchorId="3B8485CB" wp14:editId="5B83F65F">
              <wp:simplePos x="0" y="0"/>
              <wp:positionH relativeFrom="column">
                <wp:posOffset>-451413</wp:posOffset>
              </wp:positionH>
              <wp:positionV relativeFrom="paragraph">
                <wp:posOffset>457200</wp:posOffset>
              </wp:positionV>
              <wp:extent cx="4805045" cy="755819"/>
              <wp:effectExtent l="0" t="0" r="0" b="0"/>
              <wp:wrapNone/>
              <wp:docPr id="9" name="Text Box 9"/>
              <wp:cNvGraphicFramePr/>
              <a:graphic xmlns:a="http://schemas.openxmlformats.org/drawingml/2006/main">
                <a:graphicData uri="http://schemas.microsoft.com/office/word/2010/wordprocessingShape">
                  <wps:wsp>
                    <wps:cNvSpPr txBox="1"/>
                    <wps:spPr>
                      <a:xfrm>
                        <a:off x="0" y="0"/>
                        <a:ext cx="4805045" cy="755819"/>
                      </a:xfrm>
                      <a:prstGeom prst="rect">
                        <a:avLst/>
                      </a:prstGeom>
                      <a:noFill/>
                      <a:ln w="6350">
                        <a:noFill/>
                      </a:ln>
                    </wps:spPr>
                    <wps:txbx>
                      <w:txbxContent>
                        <w:p w14:paraId="1D6D1B6E" w14:textId="77777777" w:rsidR="00331075" w:rsidRPr="00B5385F" w:rsidRDefault="00F21B59" w:rsidP="00331075">
                          <w:pPr>
                            <w:pStyle w:val="Style1"/>
                            <w:rPr>
                              <w:color w:val="007EBB"/>
                              <w:sz w:val="48"/>
                            </w:rPr>
                          </w:pPr>
                          <w:r w:rsidRPr="00F21B59">
                            <w:rPr>
                              <w:color w:val="BFBFBF" w:themeColor="background1" w:themeShade="BF"/>
                              <w:sz w:val="28"/>
                            </w:rPr>
                            <w:t>QUARTERL</w:t>
                          </w:r>
                          <w:r w:rsidR="00331075" w:rsidRPr="00F21B59">
                            <w:rPr>
                              <w:color w:val="BFBFBF" w:themeColor="background1" w:themeShade="BF"/>
                              <w:sz w:val="28"/>
                            </w:rPr>
                            <w:t>Y</w:t>
                          </w:r>
                          <w:r w:rsidR="00331075" w:rsidRPr="00B5385F">
                            <w:rPr>
                              <w:color w:val="007EBB"/>
                              <w:sz w:val="36"/>
                            </w:rPr>
                            <w:t xml:space="preserve"> </w:t>
                          </w:r>
                        </w:p>
                        <w:p w14:paraId="7DC2028E" w14:textId="77777777" w:rsidR="00996FBD" w:rsidRPr="00C91248" w:rsidRDefault="00331075" w:rsidP="00331075">
                          <w:pPr>
                            <w:pStyle w:val="Heading1"/>
                            <w:rPr>
                              <w:sz w:val="64"/>
                              <w:szCs w:val="64"/>
                            </w:rPr>
                          </w:pPr>
                          <w:r w:rsidRPr="00C91248">
                            <w:rPr>
                              <w:sz w:val="64"/>
                              <w:szCs w:val="64"/>
                            </w:rPr>
                            <w:t>Market Review</w:t>
                          </w:r>
                          <w:r w:rsidR="00996FBD" w:rsidRPr="00C91248">
                            <w:rPr>
                              <w:sz w:val="64"/>
                              <w:szCs w:val="64"/>
                            </w:rPr>
                            <w:t xml:space="preserve">     </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485CB" id="Text Box 9" o:spid="_x0000_s1034" type="#_x0000_t202" style="position:absolute;margin-left:-35.55pt;margin-top:36pt;width:378.35pt;height: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" filled="f" stroked="f" strokeweight=".5pt">
              <v:textbox inset="0">
                <w:txbxContent>
                  <w:p w14:paraId="1D6D1B6E" w14:textId="77777777" w:rsidR="00331075" w:rsidRPr="00B5385F" w:rsidRDefault="00F21B59" w:rsidP="00331075">
                    <w:pPr>
                      <w:pStyle w:val="Style1"/>
                      <w:rPr>
                        <w:color w:val="007EBB"/>
                        <w:sz w:val="48"/>
                      </w:rPr>
                    </w:pPr>
                    <w:r w:rsidRPr="00F21B59">
                      <w:rPr>
                        <w:color w:val="BFBFBF" w:themeColor="background1" w:themeShade="BF"/>
                        <w:sz w:val="28"/>
                      </w:rPr>
                      <w:t>QUARTERL</w:t>
                    </w:r>
                    <w:r w:rsidR="00331075" w:rsidRPr="00F21B59">
                      <w:rPr>
                        <w:color w:val="BFBFBF" w:themeColor="background1" w:themeShade="BF"/>
                        <w:sz w:val="28"/>
                      </w:rPr>
                      <w:t>Y</w:t>
                    </w:r>
                    <w:r w:rsidR="00331075" w:rsidRPr="00B5385F">
                      <w:rPr>
                        <w:color w:val="007EBB"/>
                        <w:sz w:val="36"/>
                      </w:rPr>
                      <w:t xml:space="preserve"> </w:t>
                    </w:r>
                  </w:p>
                  <w:p w14:paraId="7DC2028E" w14:textId="77777777" w:rsidR="00996FBD" w:rsidRPr="00C91248" w:rsidRDefault="00331075" w:rsidP="00331075">
                    <w:pPr>
                      <w:pStyle w:val="Heading1"/>
                      <w:rPr>
                        <w:sz w:val="64"/>
                        <w:szCs w:val="64"/>
                      </w:rPr>
                    </w:pPr>
                    <w:r w:rsidRPr="00C91248">
                      <w:rPr>
                        <w:sz w:val="64"/>
                        <w:szCs w:val="64"/>
                      </w:rPr>
                      <w:t>Market Review</w:t>
                    </w:r>
                    <w:r w:rsidR="00996FBD" w:rsidRPr="00C91248">
                      <w:rPr>
                        <w:sz w:val="64"/>
                        <w:szCs w:val="64"/>
                      </w:rPr>
                      <w:t xml:space="preserve">     </w:t>
                    </w:r>
                  </w:p>
                </w:txbxContent>
              </v:textbox>
            </v:shape>
          </w:pict>
        </mc:Fallback>
      </mc:AlternateContent>
    </w:r>
    <w:r w:rsidR="00777E17" w:rsidRPr="00996FBD">
      <w:rPr>
        <w:noProof/>
      </w:rPr>
      <mc:AlternateContent>
        <mc:Choice Requires="wps">
          <w:drawing>
            <wp:anchor distT="0" distB="0" distL="114300" distR="114300" simplePos="0" relativeHeight="251670528" behindDoc="0" locked="0" layoutInCell="1" allowOverlap="1" wp14:anchorId="103FBA55" wp14:editId="72F0F13E">
              <wp:simplePos x="0" y="0"/>
              <wp:positionH relativeFrom="margin">
                <wp:posOffset>-904240</wp:posOffset>
              </wp:positionH>
              <wp:positionV relativeFrom="paragraph">
                <wp:posOffset>1250315</wp:posOffset>
              </wp:positionV>
              <wp:extent cx="7772400" cy="36195"/>
              <wp:effectExtent l="0" t="0" r="0" b="1905"/>
              <wp:wrapNone/>
              <wp:docPr id="8" name="Rectangle 8"/>
              <wp:cNvGraphicFramePr/>
              <a:graphic xmlns:a="http://schemas.openxmlformats.org/drawingml/2006/main">
                <a:graphicData uri="http://schemas.microsoft.com/office/word/2010/wordprocessingShape">
                  <wps:wsp>
                    <wps:cNvSpPr/>
                    <wps:spPr>
                      <a:xfrm flipV="1">
                        <a:off x="0" y="0"/>
                        <a:ext cx="7772400" cy="36195"/>
                      </a:xfrm>
                      <a:prstGeom prst="rect">
                        <a:avLst/>
                      </a:prstGeom>
                      <a:solidFill>
                        <a:srgbClr val="004C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7B40A5D0" id="Rectangle 8" o:spid="_x0000_s1026" style="position:absolute;margin-left:-71.2pt;margin-top:98.45pt;width:612pt;height:2.85pt;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" fillcolor="#004c7e"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1472"/>
    <w:multiLevelType w:val="multilevel"/>
    <w:tmpl w:val="F66E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D0C77"/>
    <w:multiLevelType w:val="hybridMultilevel"/>
    <w:tmpl w:val="BC28E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1078A2"/>
    <w:multiLevelType w:val="hybridMultilevel"/>
    <w:tmpl w:val="60F4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57C22"/>
    <w:multiLevelType w:val="multilevel"/>
    <w:tmpl w:val="DF321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A46A22"/>
    <w:multiLevelType w:val="hybridMultilevel"/>
    <w:tmpl w:val="C5C4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3731C4"/>
    <w:multiLevelType w:val="multilevel"/>
    <w:tmpl w:val="C44E6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1MzE3NDeyMLMwNDdU0lEKTi0uzszPAykwNKwFAMV4rfktAAAA"/>
  </w:docVars>
  <w:rsids>
    <w:rsidRoot w:val="005C1D70"/>
    <w:rsid w:val="00001A1B"/>
    <w:rsid w:val="000038AF"/>
    <w:rsid w:val="00007A7E"/>
    <w:rsid w:val="00016B9E"/>
    <w:rsid w:val="00016C1C"/>
    <w:rsid w:val="0002108F"/>
    <w:rsid w:val="00023357"/>
    <w:rsid w:val="00024E19"/>
    <w:rsid w:val="000251BF"/>
    <w:rsid w:val="00027F34"/>
    <w:rsid w:val="0003123B"/>
    <w:rsid w:val="00032AC6"/>
    <w:rsid w:val="00036F62"/>
    <w:rsid w:val="00042261"/>
    <w:rsid w:val="00042F07"/>
    <w:rsid w:val="00043616"/>
    <w:rsid w:val="000469F1"/>
    <w:rsid w:val="00051972"/>
    <w:rsid w:val="00062EA0"/>
    <w:rsid w:val="000632EA"/>
    <w:rsid w:val="000656D7"/>
    <w:rsid w:val="0007231D"/>
    <w:rsid w:val="00075C34"/>
    <w:rsid w:val="00076B71"/>
    <w:rsid w:val="000800E3"/>
    <w:rsid w:val="00080D15"/>
    <w:rsid w:val="00082B70"/>
    <w:rsid w:val="00085ABF"/>
    <w:rsid w:val="00086CF0"/>
    <w:rsid w:val="00090420"/>
    <w:rsid w:val="000A7E8D"/>
    <w:rsid w:val="000B2407"/>
    <w:rsid w:val="000C0521"/>
    <w:rsid w:val="000C6F98"/>
    <w:rsid w:val="000D0ED5"/>
    <w:rsid w:val="000D435A"/>
    <w:rsid w:val="000D4FD7"/>
    <w:rsid w:val="000E4CDF"/>
    <w:rsid w:val="000E638D"/>
    <w:rsid w:val="000E6BC0"/>
    <w:rsid w:val="000E6EEC"/>
    <w:rsid w:val="000F263F"/>
    <w:rsid w:val="000F6A69"/>
    <w:rsid w:val="000F6F26"/>
    <w:rsid w:val="00102089"/>
    <w:rsid w:val="0010409D"/>
    <w:rsid w:val="00112B2B"/>
    <w:rsid w:val="00112B7D"/>
    <w:rsid w:val="00113623"/>
    <w:rsid w:val="001145DB"/>
    <w:rsid w:val="001235D7"/>
    <w:rsid w:val="00127730"/>
    <w:rsid w:val="00130A7C"/>
    <w:rsid w:val="00140F12"/>
    <w:rsid w:val="00152CB7"/>
    <w:rsid w:val="00154966"/>
    <w:rsid w:val="00156C65"/>
    <w:rsid w:val="00156E9F"/>
    <w:rsid w:val="00165B25"/>
    <w:rsid w:val="00165DF6"/>
    <w:rsid w:val="001672AE"/>
    <w:rsid w:val="00173730"/>
    <w:rsid w:val="00174AD5"/>
    <w:rsid w:val="00182D23"/>
    <w:rsid w:val="0018529C"/>
    <w:rsid w:val="00186595"/>
    <w:rsid w:val="00190DA5"/>
    <w:rsid w:val="00191601"/>
    <w:rsid w:val="00191B06"/>
    <w:rsid w:val="0019254E"/>
    <w:rsid w:val="00193843"/>
    <w:rsid w:val="001A3F7E"/>
    <w:rsid w:val="001A6B17"/>
    <w:rsid w:val="001A7EE6"/>
    <w:rsid w:val="001B4F72"/>
    <w:rsid w:val="001B5E8D"/>
    <w:rsid w:val="001B6F30"/>
    <w:rsid w:val="001C1491"/>
    <w:rsid w:val="001C2475"/>
    <w:rsid w:val="001C418E"/>
    <w:rsid w:val="001D39CF"/>
    <w:rsid w:val="001D3BE8"/>
    <w:rsid w:val="001D6282"/>
    <w:rsid w:val="001D64BA"/>
    <w:rsid w:val="001E2992"/>
    <w:rsid w:val="001F0069"/>
    <w:rsid w:val="001F0C54"/>
    <w:rsid w:val="001F3C33"/>
    <w:rsid w:val="00203FA8"/>
    <w:rsid w:val="00211863"/>
    <w:rsid w:val="002226E5"/>
    <w:rsid w:val="002243CA"/>
    <w:rsid w:val="002266CE"/>
    <w:rsid w:val="0023363B"/>
    <w:rsid w:val="002367F8"/>
    <w:rsid w:val="00243327"/>
    <w:rsid w:val="00252E6F"/>
    <w:rsid w:val="00255EB5"/>
    <w:rsid w:val="00257CA6"/>
    <w:rsid w:val="00266348"/>
    <w:rsid w:val="00271CE3"/>
    <w:rsid w:val="002812BF"/>
    <w:rsid w:val="002824DF"/>
    <w:rsid w:val="002943BB"/>
    <w:rsid w:val="002968FA"/>
    <w:rsid w:val="002A13F1"/>
    <w:rsid w:val="002A5331"/>
    <w:rsid w:val="002A5768"/>
    <w:rsid w:val="002A785E"/>
    <w:rsid w:val="002B19B9"/>
    <w:rsid w:val="002B2B45"/>
    <w:rsid w:val="002B3AF0"/>
    <w:rsid w:val="002C2B2D"/>
    <w:rsid w:val="002C3172"/>
    <w:rsid w:val="002C384C"/>
    <w:rsid w:val="002D2F4C"/>
    <w:rsid w:val="002D3936"/>
    <w:rsid w:val="002D3AD1"/>
    <w:rsid w:val="002D47CD"/>
    <w:rsid w:val="002D792A"/>
    <w:rsid w:val="002D7BC0"/>
    <w:rsid w:val="002E1DE1"/>
    <w:rsid w:val="002E5339"/>
    <w:rsid w:val="002F0D59"/>
    <w:rsid w:val="0030590B"/>
    <w:rsid w:val="003110DE"/>
    <w:rsid w:val="003111A1"/>
    <w:rsid w:val="0031343F"/>
    <w:rsid w:val="00313B78"/>
    <w:rsid w:val="0031483A"/>
    <w:rsid w:val="00324B21"/>
    <w:rsid w:val="003271BF"/>
    <w:rsid w:val="0033033B"/>
    <w:rsid w:val="00331075"/>
    <w:rsid w:val="003321F1"/>
    <w:rsid w:val="003348C1"/>
    <w:rsid w:val="00334AF7"/>
    <w:rsid w:val="003368F3"/>
    <w:rsid w:val="003433B1"/>
    <w:rsid w:val="00345783"/>
    <w:rsid w:val="00350C5E"/>
    <w:rsid w:val="00355C35"/>
    <w:rsid w:val="00362ADF"/>
    <w:rsid w:val="00363339"/>
    <w:rsid w:val="00363C9F"/>
    <w:rsid w:val="00367858"/>
    <w:rsid w:val="00373226"/>
    <w:rsid w:val="0038286B"/>
    <w:rsid w:val="00382DA1"/>
    <w:rsid w:val="00383327"/>
    <w:rsid w:val="00390879"/>
    <w:rsid w:val="00392FF8"/>
    <w:rsid w:val="00397AF7"/>
    <w:rsid w:val="003A6020"/>
    <w:rsid w:val="003B01AC"/>
    <w:rsid w:val="003B11D4"/>
    <w:rsid w:val="003B12C1"/>
    <w:rsid w:val="003B1AE9"/>
    <w:rsid w:val="003C0A03"/>
    <w:rsid w:val="003D217E"/>
    <w:rsid w:val="003D2327"/>
    <w:rsid w:val="003F2CFB"/>
    <w:rsid w:val="003F76DF"/>
    <w:rsid w:val="003F7A98"/>
    <w:rsid w:val="004033F0"/>
    <w:rsid w:val="00405462"/>
    <w:rsid w:val="00405610"/>
    <w:rsid w:val="00411AAA"/>
    <w:rsid w:val="00413355"/>
    <w:rsid w:val="004169FC"/>
    <w:rsid w:val="00416E91"/>
    <w:rsid w:val="00417473"/>
    <w:rsid w:val="004203CC"/>
    <w:rsid w:val="00420FAA"/>
    <w:rsid w:val="00422ED2"/>
    <w:rsid w:val="00427C80"/>
    <w:rsid w:val="00431ABC"/>
    <w:rsid w:val="00444BDF"/>
    <w:rsid w:val="00445A4C"/>
    <w:rsid w:val="004464DA"/>
    <w:rsid w:val="00450995"/>
    <w:rsid w:val="00451267"/>
    <w:rsid w:val="00460169"/>
    <w:rsid w:val="004702F1"/>
    <w:rsid w:val="004767CA"/>
    <w:rsid w:val="00482C76"/>
    <w:rsid w:val="00482D02"/>
    <w:rsid w:val="004839D8"/>
    <w:rsid w:val="00483E53"/>
    <w:rsid w:val="004915F5"/>
    <w:rsid w:val="00497314"/>
    <w:rsid w:val="00497819"/>
    <w:rsid w:val="004A70CE"/>
    <w:rsid w:val="004B1C5E"/>
    <w:rsid w:val="004B3059"/>
    <w:rsid w:val="004B30E3"/>
    <w:rsid w:val="004B6451"/>
    <w:rsid w:val="004C0A78"/>
    <w:rsid w:val="004C0D0C"/>
    <w:rsid w:val="004C16D2"/>
    <w:rsid w:val="004C4325"/>
    <w:rsid w:val="004C45B2"/>
    <w:rsid w:val="004C4F52"/>
    <w:rsid w:val="004C52F8"/>
    <w:rsid w:val="004C74CC"/>
    <w:rsid w:val="004D2F5A"/>
    <w:rsid w:val="004D7D95"/>
    <w:rsid w:val="004E0975"/>
    <w:rsid w:val="004E24A0"/>
    <w:rsid w:val="004E2AC7"/>
    <w:rsid w:val="004E31E5"/>
    <w:rsid w:val="004F2623"/>
    <w:rsid w:val="004F4FB0"/>
    <w:rsid w:val="004F532A"/>
    <w:rsid w:val="004F6ABF"/>
    <w:rsid w:val="0050199E"/>
    <w:rsid w:val="00505A79"/>
    <w:rsid w:val="00505C31"/>
    <w:rsid w:val="005123A9"/>
    <w:rsid w:val="00517C22"/>
    <w:rsid w:val="00521AD6"/>
    <w:rsid w:val="00521E72"/>
    <w:rsid w:val="0052221A"/>
    <w:rsid w:val="0052558D"/>
    <w:rsid w:val="00525FA1"/>
    <w:rsid w:val="005314A5"/>
    <w:rsid w:val="005333FB"/>
    <w:rsid w:val="005359F5"/>
    <w:rsid w:val="005371DC"/>
    <w:rsid w:val="00550B80"/>
    <w:rsid w:val="00552D96"/>
    <w:rsid w:val="005615BF"/>
    <w:rsid w:val="00564DCE"/>
    <w:rsid w:val="00570FFA"/>
    <w:rsid w:val="0057379A"/>
    <w:rsid w:val="0057733A"/>
    <w:rsid w:val="005817B5"/>
    <w:rsid w:val="00584389"/>
    <w:rsid w:val="005851A4"/>
    <w:rsid w:val="00585578"/>
    <w:rsid w:val="0059459B"/>
    <w:rsid w:val="00597164"/>
    <w:rsid w:val="00597B1A"/>
    <w:rsid w:val="005A1ECC"/>
    <w:rsid w:val="005A26B5"/>
    <w:rsid w:val="005A3BEF"/>
    <w:rsid w:val="005A6987"/>
    <w:rsid w:val="005B192D"/>
    <w:rsid w:val="005B40BF"/>
    <w:rsid w:val="005B43A6"/>
    <w:rsid w:val="005C0619"/>
    <w:rsid w:val="005C0FFC"/>
    <w:rsid w:val="005C1D70"/>
    <w:rsid w:val="005C3098"/>
    <w:rsid w:val="005C3E87"/>
    <w:rsid w:val="005C4E73"/>
    <w:rsid w:val="005C53B9"/>
    <w:rsid w:val="005D098B"/>
    <w:rsid w:val="005D1CCE"/>
    <w:rsid w:val="005D65A6"/>
    <w:rsid w:val="005E7352"/>
    <w:rsid w:val="005F1E92"/>
    <w:rsid w:val="005F2019"/>
    <w:rsid w:val="005F702C"/>
    <w:rsid w:val="005F73BE"/>
    <w:rsid w:val="006017F2"/>
    <w:rsid w:val="00605D2B"/>
    <w:rsid w:val="00610734"/>
    <w:rsid w:val="00611139"/>
    <w:rsid w:val="006122CB"/>
    <w:rsid w:val="00612902"/>
    <w:rsid w:val="00623175"/>
    <w:rsid w:val="0062573E"/>
    <w:rsid w:val="00632101"/>
    <w:rsid w:val="00632FC2"/>
    <w:rsid w:val="006334C0"/>
    <w:rsid w:val="0063435D"/>
    <w:rsid w:val="00642CE5"/>
    <w:rsid w:val="0065139C"/>
    <w:rsid w:val="0066107C"/>
    <w:rsid w:val="006644EA"/>
    <w:rsid w:val="0067047A"/>
    <w:rsid w:val="00671395"/>
    <w:rsid w:val="006714C7"/>
    <w:rsid w:val="00684D6F"/>
    <w:rsid w:val="0068795F"/>
    <w:rsid w:val="00687F87"/>
    <w:rsid w:val="00691113"/>
    <w:rsid w:val="0069148C"/>
    <w:rsid w:val="00693B66"/>
    <w:rsid w:val="0069473F"/>
    <w:rsid w:val="0069692B"/>
    <w:rsid w:val="006A33FA"/>
    <w:rsid w:val="006A6909"/>
    <w:rsid w:val="006A6FEF"/>
    <w:rsid w:val="006A733A"/>
    <w:rsid w:val="006A7692"/>
    <w:rsid w:val="006C41A4"/>
    <w:rsid w:val="006C4671"/>
    <w:rsid w:val="006C72D3"/>
    <w:rsid w:val="006D25C2"/>
    <w:rsid w:val="006E0FD7"/>
    <w:rsid w:val="006E1B58"/>
    <w:rsid w:val="006E4153"/>
    <w:rsid w:val="006E6DB4"/>
    <w:rsid w:val="006E7715"/>
    <w:rsid w:val="006F17A7"/>
    <w:rsid w:val="006F2EB0"/>
    <w:rsid w:val="00701F56"/>
    <w:rsid w:val="00702373"/>
    <w:rsid w:val="00704848"/>
    <w:rsid w:val="00707AB4"/>
    <w:rsid w:val="007241B1"/>
    <w:rsid w:val="0073256E"/>
    <w:rsid w:val="00732B11"/>
    <w:rsid w:val="00741A0D"/>
    <w:rsid w:val="00742606"/>
    <w:rsid w:val="00750B4D"/>
    <w:rsid w:val="00751874"/>
    <w:rsid w:val="00753722"/>
    <w:rsid w:val="00755B2E"/>
    <w:rsid w:val="00762B2D"/>
    <w:rsid w:val="00765291"/>
    <w:rsid w:val="00766644"/>
    <w:rsid w:val="00767F19"/>
    <w:rsid w:val="00777E17"/>
    <w:rsid w:val="007A1E85"/>
    <w:rsid w:val="007A213A"/>
    <w:rsid w:val="007A2EBD"/>
    <w:rsid w:val="007A3C54"/>
    <w:rsid w:val="007A4A74"/>
    <w:rsid w:val="007A6091"/>
    <w:rsid w:val="007B5507"/>
    <w:rsid w:val="007B5745"/>
    <w:rsid w:val="007C0A81"/>
    <w:rsid w:val="007C3288"/>
    <w:rsid w:val="007C4C9B"/>
    <w:rsid w:val="007D272C"/>
    <w:rsid w:val="007D3263"/>
    <w:rsid w:val="007D6914"/>
    <w:rsid w:val="007D74B2"/>
    <w:rsid w:val="007D74EA"/>
    <w:rsid w:val="007D77DD"/>
    <w:rsid w:val="007E3C8B"/>
    <w:rsid w:val="007E6121"/>
    <w:rsid w:val="007F020C"/>
    <w:rsid w:val="007F5759"/>
    <w:rsid w:val="008003B4"/>
    <w:rsid w:val="00805B99"/>
    <w:rsid w:val="00806E04"/>
    <w:rsid w:val="008106A5"/>
    <w:rsid w:val="00810B5B"/>
    <w:rsid w:val="008125A5"/>
    <w:rsid w:val="0082064B"/>
    <w:rsid w:val="00824465"/>
    <w:rsid w:val="00841CF9"/>
    <w:rsid w:val="00843DEF"/>
    <w:rsid w:val="008504DC"/>
    <w:rsid w:val="00851EA8"/>
    <w:rsid w:val="008611A4"/>
    <w:rsid w:val="0086319B"/>
    <w:rsid w:val="00870B75"/>
    <w:rsid w:val="00876998"/>
    <w:rsid w:val="00877654"/>
    <w:rsid w:val="00877757"/>
    <w:rsid w:val="00877CF2"/>
    <w:rsid w:val="0088148B"/>
    <w:rsid w:val="008844FC"/>
    <w:rsid w:val="0088496E"/>
    <w:rsid w:val="00890AD2"/>
    <w:rsid w:val="008971DD"/>
    <w:rsid w:val="008A3AA6"/>
    <w:rsid w:val="008B0AF7"/>
    <w:rsid w:val="008B3A8C"/>
    <w:rsid w:val="008B4943"/>
    <w:rsid w:val="008B55C9"/>
    <w:rsid w:val="008B6A1B"/>
    <w:rsid w:val="008C3837"/>
    <w:rsid w:val="008D79E6"/>
    <w:rsid w:val="008D7EC8"/>
    <w:rsid w:val="008E24AD"/>
    <w:rsid w:val="008E55AC"/>
    <w:rsid w:val="008E5DB5"/>
    <w:rsid w:val="008E63A3"/>
    <w:rsid w:val="008F1C4A"/>
    <w:rsid w:val="008F63B8"/>
    <w:rsid w:val="008F6E96"/>
    <w:rsid w:val="008F7FA8"/>
    <w:rsid w:val="00906205"/>
    <w:rsid w:val="009077B4"/>
    <w:rsid w:val="00907CE8"/>
    <w:rsid w:val="009263EC"/>
    <w:rsid w:val="00934AC9"/>
    <w:rsid w:val="00934B0C"/>
    <w:rsid w:val="00940214"/>
    <w:rsid w:val="00940C5A"/>
    <w:rsid w:val="00940FAD"/>
    <w:rsid w:val="009443D8"/>
    <w:rsid w:val="0094553F"/>
    <w:rsid w:val="0094619F"/>
    <w:rsid w:val="0096229D"/>
    <w:rsid w:val="00965F92"/>
    <w:rsid w:val="00970EC4"/>
    <w:rsid w:val="00972C34"/>
    <w:rsid w:val="0097540F"/>
    <w:rsid w:val="009759E1"/>
    <w:rsid w:val="0097743B"/>
    <w:rsid w:val="00977850"/>
    <w:rsid w:val="0098285B"/>
    <w:rsid w:val="00982ED3"/>
    <w:rsid w:val="00983896"/>
    <w:rsid w:val="00984A6A"/>
    <w:rsid w:val="00984D0E"/>
    <w:rsid w:val="009867A6"/>
    <w:rsid w:val="00992B9C"/>
    <w:rsid w:val="00992E7E"/>
    <w:rsid w:val="00996FBD"/>
    <w:rsid w:val="009A3768"/>
    <w:rsid w:val="009A7096"/>
    <w:rsid w:val="009B0789"/>
    <w:rsid w:val="009B6440"/>
    <w:rsid w:val="009B73D0"/>
    <w:rsid w:val="009C020D"/>
    <w:rsid w:val="009D370D"/>
    <w:rsid w:val="009D580D"/>
    <w:rsid w:val="009D5C86"/>
    <w:rsid w:val="009D6CF3"/>
    <w:rsid w:val="009D7C0F"/>
    <w:rsid w:val="009E120F"/>
    <w:rsid w:val="009E4E50"/>
    <w:rsid w:val="009F2B80"/>
    <w:rsid w:val="009F32DA"/>
    <w:rsid w:val="009F65E5"/>
    <w:rsid w:val="00A02EE9"/>
    <w:rsid w:val="00A06210"/>
    <w:rsid w:val="00A0758A"/>
    <w:rsid w:val="00A07E2D"/>
    <w:rsid w:val="00A10AFA"/>
    <w:rsid w:val="00A14920"/>
    <w:rsid w:val="00A15B59"/>
    <w:rsid w:val="00A21D04"/>
    <w:rsid w:val="00A26FC7"/>
    <w:rsid w:val="00A27DE3"/>
    <w:rsid w:val="00A30E04"/>
    <w:rsid w:val="00A31101"/>
    <w:rsid w:val="00A32704"/>
    <w:rsid w:val="00A35F97"/>
    <w:rsid w:val="00A5160F"/>
    <w:rsid w:val="00A57DA9"/>
    <w:rsid w:val="00A63433"/>
    <w:rsid w:val="00A70518"/>
    <w:rsid w:val="00A71C0F"/>
    <w:rsid w:val="00A720C3"/>
    <w:rsid w:val="00A73A76"/>
    <w:rsid w:val="00A81664"/>
    <w:rsid w:val="00A930E4"/>
    <w:rsid w:val="00A933B5"/>
    <w:rsid w:val="00A93FE9"/>
    <w:rsid w:val="00AA2BDE"/>
    <w:rsid w:val="00AA54FF"/>
    <w:rsid w:val="00AB49F3"/>
    <w:rsid w:val="00AB70CC"/>
    <w:rsid w:val="00AC0D63"/>
    <w:rsid w:val="00AC6A69"/>
    <w:rsid w:val="00AD0C21"/>
    <w:rsid w:val="00AD2DFD"/>
    <w:rsid w:val="00AD48F0"/>
    <w:rsid w:val="00AD5F1A"/>
    <w:rsid w:val="00AE05E9"/>
    <w:rsid w:val="00AE3FA2"/>
    <w:rsid w:val="00AE3FA3"/>
    <w:rsid w:val="00AF6065"/>
    <w:rsid w:val="00B07DBA"/>
    <w:rsid w:val="00B14156"/>
    <w:rsid w:val="00B16564"/>
    <w:rsid w:val="00B2167E"/>
    <w:rsid w:val="00B2619E"/>
    <w:rsid w:val="00B35887"/>
    <w:rsid w:val="00B42A03"/>
    <w:rsid w:val="00B42E2A"/>
    <w:rsid w:val="00B45DC5"/>
    <w:rsid w:val="00B50986"/>
    <w:rsid w:val="00B5385F"/>
    <w:rsid w:val="00B55385"/>
    <w:rsid w:val="00B5675C"/>
    <w:rsid w:val="00B56C04"/>
    <w:rsid w:val="00B61730"/>
    <w:rsid w:val="00B62001"/>
    <w:rsid w:val="00B63131"/>
    <w:rsid w:val="00B632FA"/>
    <w:rsid w:val="00B7710C"/>
    <w:rsid w:val="00B81FB1"/>
    <w:rsid w:val="00B9438E"/>
    <w:rsid w:val="00BA0BB5"/>
    <w:rsid w:val="00BA379B"/>
    <w:rsid w:val="00BA731C"/>
    <w:rsid w:val="00BB3771"/>
    <w:rsid w:val="00BB6E7F"/>
    <w:rsid w:val="00BB7ED5"/>
    <w:rsid w:val="00BC0660"/>
    <w:rsid w:val="00BC5122"/>
    <w:rsid w:val="00BC6028"/>
    <w:rsid w:val="00BD08E0"/>
    <w:rsid w:val="00BD203B"/>
    <w:rsid w:val="00BD4A88"/>
    <w:rsid w:val="00BD5136"/>
    <w:rsid w:val="00BD5DF5"/>
    <w:rsid w:val="00BD5E4A"/>
    <w:rsid w:val="00BD764A"/>
    <w:rsid w:val="00BE5212"/>
    <w:rsid w:val="00BE5864"/>
    <w:rsid w:val="00BF6B73"/>
    <w:rsid w:val="00C01F81"/>
    <w:rsid w:val="00C0293D"/>
    <w:rsid w:val="00C03C9F"/>
    <w:rsid w:val="00C10389"/>
    <w:rsid w:val="00C12D1C"/>
    <w:rsid w:val="00C146FF"/>
    <w:rsid w:val="00C14AC3"/>
    <w:rsid w:val="00C1725B"/>
    <w:rsid w:val="00C17892"/>
    <w:rsid w:val="00C17C8D"/>
    <w:rsid w:val="00C17D03"/>
    <w:rsid w:val="00C21186"/>
    <w:rsid w:val="00C21ED4"/>
    <w:rsid w:val="00C22AB5"/>
    <w:rsid w:val="00C27425"/>
    <w:rsid w:val="00C324AD"/>
    <w:rsid w:val="00C33864"/>
    <w:rsid w:val="00C3563C"/>
    <w:rsid w:val="00C37A8A"/>
    <w:rsid w:val="00C42F61"/>
    <w:rsid w:val="00C533BE"/>
    <w:rsid w:val="00C60EE6"/>
    <w:rsid w:val="00C62E1A"/>
    <w:rsid w:val="00C665E2"/>
    <w:rsid w:val="00C66930"/>
    <w:rsid w:val="00C67F5F"/>
    <w:rsid w:val="00C71D62"/>
    <w:rsid w:val="00C734A3"/>
    <w:rsid w:val="00C7470C"/>
    <w:rsid w:val="00C74A3D"/>
    <w:rsid w:val="00C86D58"/>
    <w:rsid w:val="00C876D4"/>
    <w:rsid w:val="00C87FA0"/>
    <w:rsid w:val="00C91248"/>
    <w:rsid w:val="00C96DCA"/>
    <w:rsid w:val="00C9777E"/>
    <w:rsid w:val="00CA0E31"/>
    <w:rsid w:val="00CA1D4E"/>
    <w:rsid w:val="00CA260E"/>
    <w:rsid w:val="00CA2A62"/>
    <w:rsid w:val="00CA347D"/>
    <w:rsid w:val="00CC3FB2"/>
    <w:rsid w:val="00CD14D2"/>
    <w:rsid w:val="00CD2CA5"/>
    <w:rsid w:val="00CD3321"/>
    <w:rsid w:val="00CD5413"/>
    <w:rsid w:val="00CF29CB"/>
    <w:rsid w:val="00CF7C1E"/>
    <w:rsid w:val="00D00FC8"/>
    <w:rsid w:val="00D027B1"/>
    <w:rsid w:val="00D03449"/>
    <w:rsid w:val="00D170DD"/>
    <w:rsid w:val="00D17BCA"/>
    <w:rsid w:val="00D46035"/>
    <w:rsid w:val="00D5075A"/>
    <w:rsid w:val="00D61DB9"/>
    <w:rsid w:val="00D61E40"/>
    <w:rsid w:val="00D67B86"/>
    <w:rsid w:val="00D725BE"/>
    <w:rsid w:val="00D73A03"/>
    <w:rsid w:val="00D760C5"/>
    <w:rsid w:val="00D81EC3"/>
    <w:rsid w:val="00D854B6"/>
    <w:rsid w:val="00D92610"/>
    <w:rsid w:val="00DA3508"/>
    <w:rsid w:val="00DA443A"/>
    <w:rsid w:val="00DA45EF"/>
    <w:rsid w:val="00DA7D5E"/>
    <w:rsid w:val="00DB50E5"/>
    <w:rsid w:val="00DB600E"/>
    <w:rsid w:val="00DC2650"/>
    <w:rsid w:val="00DC475D"/>
    <w:rsid w:val="00DC5C72"/>
    <w:rsid w:val="00DD1D99"/>
    <w:rsid w:val="00DD61D1"/>
    <w:rsid w:val="00DD6A5B"/>
    <w:rsid w:val="00DE10C6"/>
    <w:rsid w:val="00DE2A0C"/>
    <w:rsid w:val="00DF0BFE"/>
    <w:rsid w:val="00DF486B"/>
    <w:rsid w:val="00DF67BB"/>
    <w:rsid w:val="00E0678B"/>
    <w:rsid w:val="00E06DEC"/>
    <w:rsid w:val="00E10E63"/>
    <w:rsid w:val="00E22F8C"/>
    <w:rsid w:val="00E23CC8"/>
    <w:rsid w:val="00E24606"/>
    <w:rsid w:val="00E35620"/>
    <w:rsid w:val="00E35710"/>
    <w:rsid w:val="00E37122"/>
    <w:rsid w:val="00E375AF"/>
    <w:rsid w:val="00E44571"/>
    <w:rsid w:val="00E44BEC"/>
    <w:rsid w:val="00E45713"/>
    <w:rsid w:val="00E50814"/>
    <w:rsid w:val="00E56C4C"/>
    <w:rsid w:val="00E6017C"/>
    <w:rsid w:val="00E70BFB"/>
    <w:rsid w:val="00E71242"/>
    <w:rsid w:val="00E74D75"/>
    <w:rsid w:val="00E75C1B"/>
    <w:rsid w:val="00E80AAA"/>
    <w:rsid w:val="00E826D9"/>
    <w:rsid w:val="00E844C6"/>
    <w:rsid w:val="00E84DE0"/>
    <w:rsid w:val="00E866E1"/>
    <w:rsid w:val="00E8703A"/>
    <w:rsid w:val="00E901D5"/>
    <w:rsid w:val="00E93AD4"/>
    <w:rsid w:val="00EA117B"/>
    <w:rsid w:val="00EA336A"/>
    <w:rsid w:val="00EA4649"/>
    <w:rsid w:val="00EA5C29"/>
    <w:rsid w:val="00EA69BC"/>
    <w:rsid w:val="00EA74A5"/>
    <w:rsid w:val="00EA7AEB"/>
    <w:rsid w:val="00EB0B34"/>
    <w:rsid w:val="00EC0FE8"/>
    <w:rsid w:val="00EC2A2E"/>
    <w:rsid w:val="00EC47E9"/>
    <w:rsid w:val="00EC6AD3"/>
    <w:rsid w:val="00ED0D09"/>
    <w:rsid w:val="00ED0EB3"/>
    <w:rsid w:val="00ED629A"/>
    <w:rsid w:val="00EE05A2"/>
    <w:rsid w:val="00EE0CBE"/>
    <w:rsid w:val="00EE303D"/>
    <w:rsid w:val="00EE7C3F"/>
    <w:rsid w:val="00EF0E10"/>
    <w:rsid w:val="00EF0EA5"/>
    <w:rsid w:val="00F03AE6"/>
    <w:rsid w:val="00F077B9"/>
    <w:rsid w:val="00F12383"/>
    <w:rsid w:val="00F13E1C"/>
    <w:rsid w:val="00F14738"/>
    <w:rsid w:val="00F16212"/>
    <w:rsid w:val="00F165CF"/>
    <w:rsid w:val="00F2102C"/>
    <w:rsid w:val="00F21B59"/>
    <w:rsid w:val="00F27DFC"/>
    <w:rsid w:val="00F30B7F"/>
    <w:rsid w:val="00F344D2"/>
    <w:rsid w:val="00F3503A"/>
    <w:rsid w:val="00F35256"/>
    <w:rsid w:val="00F4423A"/>
    <w:rsid w:val="00F52925"/>
    <w:rsid w:val="00F62D08"/>
    <w:rsid w:val="00F635B2"/>
    <w:rsid w:val="00F710F4"/>
    <w:rsid w:val="00F74B4B"/>
    <w:rsid w:val="00F7794F"/>
    <w:rsid w:val="00F805BF"/>
    <w:rsid w:val="00F8695B"/>
    <w:rsid w:val="00F9014D"/>
    <w:rsid w:val="00F9055C"/>
    <w:rsid w:val="00F91628"/>
    <w:rsid w:val="00F93B24"/>
    <w:rsid w:val="00F961B8"/>
    <w:rsid w:val="00F97115"/>
    <w:rsid w:val="00FA3F6B"/>
    <w:rsid w:val="00FA52A1"/>
    <w:rsid w:val="00FA530C"/>
    <w:rsid w:val="00FA6429"/>
    <w:rsid w:val="00FA6F2C"/>
    <w:rsid w:val="00FA7B4D"/>
    <w:rsid w:val="00FB1955"/>
    <w:rsid w:val="00FB2425"/>
    <w:rsid w:val="00FB3AA2"/>
    <w:rsid w:val="00FB549A"/>
    <w:rsid w:val="00FB7479"/>
    <w:rsid w:val="00FC2692"/>
    <w:rsid w:val="00FC74B7"/>
    <w:rsid w:val="00FD22B2"/>
    <w:rsid w:val="00FD495F"/>
    <w:rsid w:val="00FE164E"/>
    <w:rsid w:val="00FE3132"/>
    <w:rsid w:val="00FE3FBC"/>
    <w:rsid w:val="00FF1C22"/>
    <w:rsid w:val="00FF3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7E1648"/>
  <w15:chartTrackingRefBased/>
  <w15:docId w15:val="{C2A8F3A1-DD10-C348-BE46-CCF0AAE25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FBD"/>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uiPriority w:val="9"/>
    <w:qFormat/>
    <w:rsid w:val="00331075"/>
    <w:pPr>
      <w:keepNext/>
      <w:keepLines/>
      <w:spacing w:after="0"/>
      <w:outlineLvl w:val="0"/>
    </w:pPr>
    <w:rPr>
      <w:rFonts w:ascii="Arial" w:eastAsiaTheme="majorEastAsia" w:hAnsi="Arial" w:cstheme="majorBidi"/>
      <w:color w:val="767171" w:themeColor="background2" w:themeShade="80"/>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5C1D70"/>
  </w:style>
  <w:style w:type="paragraph" w:styleId="Footer">
    <w:name w:val="footer"/>
    <w:basedOn w:val="Normal"/>
    <w:link w:val="Foot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5C1D70"/>
  </w:style>
  <w:style w:type="character" w:styleId="PageNumber">
    <w:name w:val="page number"/>
    <w:basedOn w:val="DefaultParagraphFont"/>
    <w:uiPriority w:val="99"/>
    <w:semiHidden/>
    <w:unhideWhenUsed/>
    <w:rsid w:val="007C4C9B"/>
  </w:style>
  <w:style w:type="paragraph" w:styleId="BalloonText">
    <w:name w:val="Balloon Text"/>
    <w:basedOn w:val="Normal"/>
    <w:link w:val="BalloonTextChar"/>
    <w:uiPriority w:val="99"/>
    <w:semiHidden/>
    <w:unhideWhenUsed/>
    <w:rsid w:val="004E2AC7"/>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E2AC7"/>
    <w:rPr>
      <w:rFonts w:ascii="Times New Roman" w:eastAsia="Times New Roman" w:hAnsi="Times New Roman" w:cs="Times New Roman"/>
      <w:sz w:val="18"/>
      <w:szCs w:val="18"/>
    </w:rPr>
  </w:style>
  <w:style w:type="paragraph" w:customStyle="1" w:styleId="Style1">
    <w:name w:val="Style1"/>
    <w:basedOn w:val="Normal"/>
    <w:qFormat/>
    <w:rsid w:val="00331075"/>
    <w:pPr>
      <w:spacing w:after="0" w:line="240" w:lineRule="auto"/>
    </w:pPr>
    <w:rPr>
      <w:rFonts w:ascii="Arial" w:hAnsi="Arial" w:cs="Arial"/>
      <w:color w:val="767171" w:themeColor="background2" w:themeShade="80"/>
      <w:spacing w:val="60"/>
      <w:sz w:val="40"/>
      <w:szCs w:val="36"/>
    </w:rPr>
  </w:style>
  <w:style w:type="character" w:customStyle="1" w:styleId="Heading1Char">
    <w:name w:val="Heading 1 Char"/>
    <w:basedOn w:val="DefaultParagraphFont"/>
    <w:link w:val="Heading1"/>
    <w:uiPriority w:val="9"/>
    <w:rsid w:val="00331075"/>
    <w:rPr>
      <w:rFonts w:ascii="Arial" w:eastAsiaTheme="majorEastAsia" w:hAnsi="Arial" w:cstheme="majorBidi"/>
      <w:color w:val="767171" w:themeColor="background2" w:themeShade="80"/>
      <w:sz w:val="48"/>
      <w:szCs w:val="32"/>
    </w:rPr>
  </w:style>
  <w:style w:type="paragraph" w:styleId="Caption">
    <w:name w:val="caption"/>
    <w:basedOn w:val="Normal"/>
    <w:next w:val="Normal"/>
    <w:uiPriority w:val="35"/>
    <w:unhideWhenUsed/>
    <w:qFormat/>
    <w:rsid w:val="00741A0D"/>
    <w:pPr>
      <w:spacing w:line="240" w:lineRule="auto"/>
    </w:pPr>
    <w:rPr>
      <w:i/>
      <w:iCs/>
      <w:color w:val="44546A" w:themeColor="text2"/>
      <w:sz w:val="18"/>
      <w:szCs w:val="18"/>
    </w:rPr>
  </w:style>
  <w:style w:type="character" w:styleId="PlaceholderText">
    <w:name w:val="Placeholder Text"/>
    <w:basedOn w:val="DefaultParagraphFont"/>
    <w:uiPriority w:val="99"/>
    <w:semiHidden/>
    <w:rsid w:val="00A26FC7"/>
    <w:rPr>
      <w:color w:val="808080"/>
    </w:rPr>
  </w:style>
  <w:style w:type="character" w:styleId="CommentReference">
    <w:name w:val="annotation reference"/>
    <w:basedOn w:val="DefaultParagraphFont"/>
    <w:uiPriority w:val="99"/>
    <w:semiHidden/>
    <w:unhideWhenUsed/>
    <w:rsid w:val="00C324AD"/>
    <w:rPr>
      <w:sz w:val="16"/>
      <w:szCs w:val="16"/>
    </w:rPr>
  </w:style>
  <w:style w:type="paragraph" w:styleId="CommentText">
    <w:name w:val="annotation text"/>
    <w:basedOn w:val="Normal"/>
    <w:link w:val="CommentTextChar"/>
    <w:uiPriority w:val="99"/>
    <w:semiHidden/>
    <w:unhideWhenUsed/>
    <w:rsid w:val="00C324AD"/>
    <w:pPr>
      <w:spacing w:line="240" w:lineRule="auto"/>
    </w:pPr>
    <w:rPr>
      <w:sz w:val="20"/>
      <w:szCs w:val="20"/>
    </w:rPr>
  </w:style>
  <w:style w:type="character" w:customStyle="1" w:styleId="CommentTextChar">
    <w:name w:val="Comment Text Char"/>
    <w:basedOn w:val="DefaultParagraphFont"/>
    <w:link w:val="CommentText"/>
    <w:uiPriority w:val="99"/>
    <w:semiHidden/>
    <w:rsid w:val="00C324A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24AD"/>
    <w:rPr>
      <w:b/>
      <w:bCs/>
    </w:rPr>
  </w:style>
  <w:style w:type="character" w:customStyle="1" w:styleId="CommentSubjectChar">
    <w:name w:val="Comment Subject Char"/>
    <w:basedOn w:val="CommentTextChar"/>
    <w:link w:val="CommentSubject"/>
    <w:uiPriority w:val="99"/>
    <w:semiHidden/>
    <w:rsid w:val="00C324AD"/>
    <w:rPr>
      <w:rFonts w:ascii="Calibri" w:eastAsia="Times New Roman" w:hAnsi="Calibri" w:cs="Times New Roman"/>
      <w:b/>
      <w:bCs/>
      <w:sz w:val="20"/>
      <w:szCs w:val="20"/>
    </w:rPr>
  </w:style>
  <w:style w:type="table" w:styleId="TableGrid">
    <w:name w:val="Table Grid"/>
    <w:basedOn w:val="TableNormal"/>
    <w:uiPriority w:val="39"/>
    <w:rsid w:val="00C27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020D"/>
    <w:pPr>
      <w:spacing w:after="160" w:line="259" w:lineRule="auto"/>
      <w:ind w:left="720"/>
      <w:contextualSpacing/>
    </w:pPr>
    <w:rPr>
      <w:rFonts w:asciiTheme="minorHAnsi" w:eastAsiaTheme="minorHAnsi" w:hAnsiTheme="minorHAnsi" w:cstheme="minorBidi"/>
    </w:rPr>
  </w:style>
  <w:style w:type="paragraph" w:styleId="EndnoteText">
    <w:name w:val="endnote text"/>
    <w:basedOn w:val="Normal"/>
    <w:link w:val="EndnoteTextChar"/>
    <w:uiPriority w:val="99"/>
    <w:semiHidden/>
    <w:unhideWhenUsed/>
    <w:rsid w:val="00AC6A69"/>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AC6A69"/>
    <w:rPr>
      <w:sz w:val="20"/>
      <w:szCs w:val="20"/>
    </w:rPr>
  </w:style>
  <w:style w:type="character" w:styleId="EndnoteReference">
    <w:name w:val="endnote reference"/>
    <w:basedOn w:val="DefaultParagraphFont"/>
    <w:uiPriority w:val="99"/>
    <w:semiHidden/>
    <w:unhideWhenUsed/>
    <w:rsid w:val="00AC6A69"/>
    <w:rPr>
      <w:vertAlign w:val="superscript"/>
    </w:rPr>
  </w:style>
  <w:style w:type="character" w:styleId="Emphasis">
    <w:name w:val="Emphasis"/>
    <w:basedOn w:val="DefaultParagraphFont"/>
    <w:uiPriority w:val="20"/>
    <w:qFormat/>
    <w:rsid w:val="00940C5A"/>
    <w:rPr>
      <w:i/>
      <w:iCs/>
    </w:rPr>
  </w:style>
  <w:style w:type="paragraph" w:styleId="NormalWeb">
    <w:name w:val="Normal (Web)"/>
    <w:basedOn w:val="Normal"/>
    <w:uiPriority w:val="99"/>
    <w:semiHidden/>
    <w:unhideWhenUsed/>
    <w:rsid w:val="00DF486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8311">
      <w:bodyDiv w:val="1"/>
      <w:marLeft w:val="0"/>
      <w:marRight w:val="0"/>
      <w:marTop w:val="0"/>
      <w:marBottom w:val="0"/>
      <w:divBdr>
        <w:top w:val="none" w:sz="0" w:space="0" w:color="auto"/>
        <w:left w:val="none" w:sz="0" w:space="0" w:color="auto"/>
        <w:bottom w:val="none" w:sz="0" w:space="0" w:color="auto"/>
        <w:right w:val="none" w:sz="0" w:space="0" w:color="auto"/>
      </w:divBdr>
    </w:div>
    <w:div w:id="91248314">
      <w:bodyDiv w:val="1"/>
      <w:marLeft w:val="0"/>
      <w:marRight w:val="0"/>
      <w:marTop w:val="0"/>
      <w:marBottom w:val="0"/>
      <w:divBdr>
        <w:top w:val="none" w:sz="0" w:space="0" w:color="auto"/>
        <w:left w:val="none" w:sz="0" w:space="0" w:color="auto"/>
        <w:bottom w:val="none" w:sz="0" w:space="0" w:color="auto"/>
        <w:right w:val="none" w:sz="0" w:space="0" w:color="auto"/>
      </w:divBdr>
    </w:div>
    <w:div w:id="268313710">
      <w:bodyDiv w:val="1"/>
      <w:marLeft w:val="0"/>
      <w:marRight w:val="0"/>
      <w:marTop w:val="0"/>
      <w:marBottom w:val="0"/>
      <w:divBdr>
        <w:top w:val="none" w:sz="0" w:space="0" w:color="auto"/>
        <w:left w:val="none" w:sz="0" w:space="0" w:color="auto"/>
        <w:bottom w:val="none" w:sz="0" w:space="0" w:color="auto"/>
        <w:right w:val="none" w:sz="0" w:space="0" w:color="auto"/>
      </w:divBdr>
    </w:div>
    <w:div w:id="299653796">
      <w:bodyDiv w:val="1"/>
      <w:marLeft w:val="0"/>
      <w:marRight w:val="0"/>
      <w:marTop w:val="0"/>
      <w:marBottom w:val="0"/>
      <w:divBdr>
        <w:top w:val="none" w:sz="0" w:space="0" w:color="auto"/>
        <w:left w:val="none" w:sz="0" w:space="0" w:color="auto"/>
        <w:bottom w:val="none" w:sz="0" w:space="0" w:color="auto"/>
        <w:right w:val="none" w:sz="0" w:space="0" w:color="auto"/>
      </w:divBdr>
    </w:div>
    <w:div w:id="337932078">
      <w:bodyDiv w:val="1"/>
      <w:marLeft w:val="0"/>
      <w:marRight w:val="0"/>
      <w:marTop w:val="0"/>
      <w:marBottom w:val="0"/>
      <w:divBdr>
        <w:top w:val="none" w:sz="0" w:space="0" w:color="auto"/>
        <w:left w:val="none" w:sz="0" w:space="0" w:color="auto"/>
        <w:bottom w:val="none" w:sz="0" w:space="0" w:color="auto"/>
        <w:right w:val="none" w:sz="0" w:space="0" w:color="auto"/>
      </w:divBdr>
    </w:div>
    <w:div w:id="356660077">
      <w:bodyDiv w:val="1"/>
      <w:marLeft w:val="0"/>
      <w:marRight w:val="0"/>
      <w:marTop w:val="0"/>
      <w:marBottom w:val="0"/>
      <w:divBdr>
        <w:top w:val="none" w:sz="0" w:space="0" w:color="auto"/>
        <w:left w:val="none" w:sz="0" w:space="0" w:color="auto"/>
        <w:bottom w:val="none" w:sz="0" w:space="0" w:color="auto"/>
        <w:right w:val="none" w:sz="0" w:space="0" w:color="auto"/>
      </w:divBdr>
    </w:div>
    <w:div w:id="493033303">
      <w:bodyDiv w:val="1"/>
      <w:marLeft w:val="0"/>
      <w:marRight w:val="0"/>
      <w:marTop w:val="0"/>
      <w:marBottom w:val="0"/>
      <w:divBdr>
        <w:top w:val="none" w:sz="0" w:space="0" w:color="auto"/>
        <w:left w:val="none" w:sz="0" w:space="0" w:color="auto"/>
        <w:bottom w:val="none" w:sz="0" w:space="0" w:color="auto"/>
        <w:right w:val="none" w:sz="0" w:space="0" w:color="auto"/>
      </w:divBdr>
    </w:div>
    <w:div w:id="580452723">
      <w:bodyDiv w:val="1"/>
      <w:marLeft w:val="0"/>
      <w:marRight w:val="0"/>
      <w:marTop w:val="0"/>
      <w:marBottom w:val="0"/>
      <w:divBdr>
        <w:top w:val="none" w:sz="0" w:space="0" w:color="auto"/>
        <w:left w:val="none" w:sz="0" w:space="0" w:color="auto"/>
        <w:bottom w:val="none" w:sz="0" w:space="0" w:color="auto"/>
        <w:right w:val="none" w:sz="0" w:space="0" w:color="auto"/>
      </w:divBdr>
    </w:div>
    <w:div w:id="643854818">
      <w:bodyDiv w:val="1"/>
      <w:marLeft w:val="0"/>
      <w:marRight w:val="0"/>
      <w:marTop w:val="0"/>
      <w:marBottom w:val="0"/>
      <w:divBdr>
        <w:top w:val="none" w:sz="0" w:space="0" w:color="auto"/>
        <w:left w:val="none" w:sz="0" w:space="0" w:color="auto"/>
        <w:bottom w:val="none" w:sz="0" w:space="0" w:color="auto"/>
        <w:right w:val="none" w:sz="0" w:space="0" w:color="auto"/>
      </w:divBdr>
    </w:div>
    <w:div w:id="649408801">
      <w:bodyDiv w:val="1"/>
      <w:marLeft w:val="0"/>
      <w:marRight w:val="0"/>
      <w:marTop w:val="0"/>
      <w:marBottom w:val="0"/>
      <w:divBdr>
        <w:top w:val="none" w:sz="0" w:space="0" w:color="auto"/>
        <w:left w:val="none" w:sz="0" w:space="0" w:color="auto"/>
        <w:bottom w:val="none" w:sz="0" w:space="0" w:color="auto"/>
        <w:right w:val="none" w:sz="0" w:space="0" w:color="auto"/>
      </w:divBdr>
    </w:div>
    <w:div w:id="662970860">
      <w:bodyDiv w:val="1"/>
      <w:marLeft w:val="0"/>
      <w:marRight w:val="0"/>
      <w:marTop w:val="0"/>
      <w:marBottom w:val="0"/>
      <w:divBdr>
        <w:top w:val="none" w:sz="0" w:space="0" w:color="auto"/>
        <w:left w:val="none" w:sz="0" w:space="0" w:color="auto"/>
        <w:bottom w:val="none" w:sz="0" w:space="0" w:color="auto"/>
        <w:right w:val="none" w:sz="0" w:space="0" w:color="auto"/>
      </w:divBdr>
    </w:div>
    <w:div w:id="696930849">
      <w:bodyDiv w:val="1"/>
      <w:marLeft w:val="0"/>
      <w:marRight w:val="0"/>
      <w:marTop w:val="0"/>
      <w:marBottom w:val="0"/>
      <w:divBdr>
        <w:top w:val="none" w:sz="0" w:space="0" w:color="auto"/>
        <w:left w:val="none" w:sz="0" w:space="0" w:color="auto"/>
        <w:bottom w:val="none" w:sz="0" w:space="0" w:color="auto"/>
        <w:right w:val="none" w:sz="0" w:space="0" w:color="auto"/>
      </w:divBdr>
    </w:div>
    <w:div w:id="698167021">
      <w:bodyDiv w:val="1"/>
      <w:marLeft w:val="0"/>
      <w:marRight w:val="0"/>
      <w:marTop w:val="0"/>
      <w:marBottom w:val="0"/>
      <w:divBdr>
        <w:top w:val="none" w:sz="0" w:space="0" w:color="auto"/>
        <w:left w:val="none" w:sz="0" w:space="0" w:color="auto"/>
        <w:bottom w:val="none" w:sz="0" w:space="0" w:color="auto"/>
        <w:right w:val="none" w:sz="0" w:space="0" w:color="auto"/>
      </w:divBdr>
    </w:div>
    <w:div w:id="720711095">
      <w:bodyDiv w:val="1"/>
      <w:marLeft w:val="0"/>
      <w:marRight w:val="0"/>
      <w:marTop w:val="0"/>
      <w:marBottom w:val="0"/>
      <w:divBdr>
        <w:top w:val="none" w:sz="0" w:space="0" w:color="auto"/>
        <w:left w:val="none" w:sz="0" w:space="0" w:color="auto"/>
        <w:bottom w:val="none" w:sz="0" w:space="0" w:color="auto"/>
        <w:right w:val="none" w:sz="0" w:space="0" w:color="auto"/>
      </w:divBdr>
    </w:div>
    <w:div w:id="740447421">
      <w:bodyDiv w:val="1"/>
      <w:marLeft w:val="0"/>
      <w:marRight w:val="0"/>
      <w:marTop w:val="0"/>
      <w:marBottom w:val="0"/>
      <w:divBdr>
        <w:top w:val="none" w:sz="0" w:space="0" w:color="auto"/>
        <w:left w:val="none" w:sz="0" w:space="0" w:color="auto"/>
        <w:bottom w:val="none" w:sz="0" w:space="0" w:color="auto"/>
        <w:right w:val="none" w:sz="0" w:space="0" w:color="auto"/>
      </w:divBdr>
    </w:div>
    <w:div w:id="783235595">
      <w:bodyDiv w:val="1"/>
      <w:marLeft w:val="0"/>
      <w:marRight w:val="0"/>
      <w:marTop w:val="0"/>
      <w:marBottom w:val="0"/>
      <w:divBdr>
        <w:top w:val="none" w:sz="0" w:space="0" w:color="auto"/>
        <w:left w:val="none" w:sz="0" w:space="0" w:color="auto"/>
        <w:bottom w:val="none" w:sz="0" w:space="0" w:color="auto"/>
        <w:right w:val="none" w:sz="0" w:space="0" w:color="auto"/>
      </w:divBdr>
    </w:div>
    <w:div w:id="803891492">
      <w:bodyDiv w:val="1"/>
      <w:marLeft w:val="0"/>
      <w:marRight w:val="0"/>
      <w:marTop w:val="0"/>
      <w:marBottom w:val="0"/>
      <w:divBdr>
        <w:top w:val="none" w:sz="0" w:space="0" w:color="auto"/>
        <w:left w:val="none" w:sz="0" w:space="0" w:color="auto"/>
        <w:bottom w:val="none" w:sz="0" w:space="0" w:color="auto"/>
        <w:right w:val="none" w:sz="0" w:space="0" w:color="auto"/>
      </w:divBdr>
    </w:div>
    <w:div w:id="968583458">
      <w:bodyDiv w:val="1"/>
      <w:marLeft w:val="0"/>
      <w:marRight w:val="0"/>
      <w:marTop w:val="0"/>
      <w:marBottom w:val="0"/>
      <w:divBdr>
        <w:top w:val="none" w:sz="0" w:space="0" w:color="auto"/>
        <w:left w:val="none" w:sz="0" w:space="0" w:color="auto"/>
        <w:bottom w:val="none" w:sz="0" w:space="0" w:color="auto"/>
        <w:right w:val="none" w:sz="0" w:space="0" w:color="auto"/>
      </w:divBdr>
    </w:div>
    <w:div w:id="1013072291">
      <w:bodyDiv w:val="1"/>
      <w:marLeft w:val="0"/>
      <w:marRight w:val="0"/>
      <w:marTop w:val="0"/>
      <w:marBottom w:val="0"/>
      <w:divBdr>
        <w:top w:val="none" w:sz="0" w:space="0" w:color="auto"/>
        <w:left w:val="none" w:sz="0" w:space="0" w:color="auto"/>
        <w:bottom w:val="none" w:sz="0" w:space="0" w:color="auto"/>
        <w:right w:val="none" w:sz="0" w:space="0" w:color="auto"/>
      </w:divBdr>
    </w:div>
    <w:div w:id="1030187785">
      <w:bodyDiv w:val="1"/>
      <w:marLeft w:val="0"/>
      <w:marRight w:val="0"/>
      <w:marTop w:val="0"/>
      <w:marBottom w:val="0"/>
      <w:divBdr>
        <w:top w:val="none" w:sz="0" w:space="0" w:color="auto"/>
        <w:left w:val="none" w:sz="0" w:space="0" w:color="auto"/>
        <w:bottom w:val="none" w:sz="0" w:space="0" w:color="auto"/>
        <w:right w:val="none" w:sz="0" w:space="0" w:color="auto"/>
      </w:divBdr>
    </w:div>
    <w:div w:id="1088233270">
      <w:bodyDiv w:val="1"/>
      <w:marLeft w:val="0"/>
      <w:marRight w:val="0"/>
      <w:marTop w:val="0"/>
      <w:marBottom w:val="0"/>
      <w:divBdr>
        <w:top w:val="none" w:sz="0" w:space="0" w:color="auto"/>
        <w:left w:val="none" w:sz="0" w:space="0" w:color="auto"/>
        <w:bottom w:val="none" w:sz="0" w:space="0" w:color="auto"/>
        <w:right w:val="none" w:sz="0" w:space="0" w:color="auto"/>
      </w:divBdr>
    </w:div>
    <w:div w:id="1113280125">
      <w:bodyDiv w:val="1"/>
      <w:marLeft w:val="0"/>
      <w:marRight w:val="0"/>
      <w:marTop w:val="0"/>
      <w:marBottom w:val="0"/>
      <w:divBdr>
        <w:top w:val="none" w:sz="0" w:space="0" w:color="auto"/>
        <w:left w:val="none" w:sz="0" w:space="0" w:color="auto"/>
        <w:bottom w:val="none" w:sz="0" w:space="0" w:color="auto"/>
        <w:right w:val="none" w:sz="0" w:space="0" w:color="auto"/>
      </w:divBdr>
    </w:div>
    <w:div w:id="1114791340">
      <w:bodyDiv w:val="1"/>
      <w:marLeft w:val="0"/>
      <w:marRight w:val="0"/>
      <w:marTop w:val="0"/>
      <w:marBottom w:val="0"/>
      <w:divBdr>
        <w:top w:val="none" w:sz="0" w:space="0" w:color="auto"/>
        <w:left w:val="none" w:sz="0" w:space="0" w:color="auto"/>
        <w:bottom w:val="none" w:sz="0" w:space="0" w:color="auto"/>
        <w:right w:val="none" w:sz="0" w:space="0" w:color="auto"/>
      </w:divBdr>
    </w:div>
    <w:div w:id="1204563134">
      <w:bodyDiv w:val="1"/>
      <w:marLeft w:val="0"/>
      <w:marRight w:val="0"/>
      <w:marTop w:val="0"/>
      <w:marBottom w:val="0"/>
      <w:divBdr>
        <w:top w:val="none" w:sz="0" w:space="0" w:color="auto"/>
        <w:left w:val="none" w:sz="0" w:space="0" w:color="auto"/>
        <w:bottom w:val="none" w:sz="0" w:space="0" w:color="auto"/>
        <w:right w:val="none" w:sz="0" w:space="0" w:color="auto"/>
      </w:divBdr>
    </w:div>
    <w:div w:id="1249118033">
      <w:bodyDiv w:val="1"/>
      <w:marLeft w:val="0"/>
      <w:marRight w:val="0"/>
      <w:marTop w:val="0"/>
      <w:marBottom w:val="0"/>
      <w:divBdr>
        <w:top w:val="none" w:sz="0" w:space="0" w:color="auto"/>
        <w:left w:val="none" w:sz="0" w:space="0" w:color="auto"/>
        <w:bottom w:val="none" w:sz="0" w:space="0" w:color="auto"/>
        <w:right w:val="none" w:sz="0" w:space="0" w:color="auto"/>
      </w:divBdr>
    </w:div>
    <w:div w:id="1403021539">
      <w:bodyDiv w:val="1"/>
      <w:marLeft w:val="0"/>
      <w:marRight w:val="0"/>
      <w:marTop w:val="0"/>
      <w:marBottom w:val="0"/>
      <w:divBdr>
        <w:top w:val="none" w:sz="0" w:space="0" w:color="auto"/>
        <w:left w:val="none" w:sz="0" w:space="0" w:color="auto"/>
        <w:bottom w:val="none" w:sz="0" w:space="0" w:color="auto"/>
        <w:right w:val="none" w:sz="0" w:space="0" w:color="auto"/>
      </w:divBdr>
    </w:div>
    <w:div w:id="1417747175">
      <w:bodyDiv w:val="1"/>
      <w:marLeft w:val="0"/>
      <w:marRight w:val="0"/>
      <w:marTop w:val="0"/>
      <w:marBottom w:val="0"/>
      <w:divBdr>
        <w:top w:val="none" w:sz="0" w:space="0" w:color="auto"/>
        <w:left w:val="none" w:sz="0" w:space="0" w:color="auto"/>
        <w:bottom w:val="none" w:sz="0" w:space="0" w:color="auto"/>
        <w:right w:val="none" w:sz="0" w:space="0" w:color="auto"/>
      </w:divBdr>
    </w:div>
    <w:div w:id="1441874967">
      <w:bodyDiv w:val="1"/>
      <w:marLeft w:val="0"/>
      <w:marRight w:val="0"/>
      <w:marTop w:val="0"/>
      <w:marBottom w:val="0"/>
      <w:divBdr>
        <w:top w:val="none" w:sz="0" w:space="0" w:color="auto"/>
        <w:left w:val="none" w:sz="0" w:space="0" w:color="auto"/>
        <w:bottom w:val="none" w:sz="0" w:space="0" w:color="auto"/>
        <w:right w:val="none" w:sz="0" w:space="0" w:color="auto"/>
      </w:divBdr>
    </w:div>
    <w:div w:id="1461460046">
      <w:bodyDiv w:val="1"/>
      <w:marLeft w:val="0"/>
      <w:marRight w:val="0"/>
      <w:marTop w:val="0"/>
      <w:marBottom w:val="0"/>
      <w:divBdr>
        <w:top w:val="none" w:sz="0" w:space="0" w:color="auto"/>
        <w:left w:val="none" w:sz="0" w:space="0" w:color="auto"/>
        <w:bottom w:val="none" w:sz="0" w:space="0" w:color="auto"/>
        <w:right w:val="none" w:sz="0" w:space="0" w:color="auto"/>
      </w:divBdr>
    </w:div>
    <w:div w:id="1463958888">
      <w:bodyDiv w:val="1"/>
      <w:marLeft w:val="0"/>
      <w:marRight w:val="0"/>
      <w:marTop w:val="0"/>
      <w:marBottom w:val="0"/>
      <w:divBdr>
        <w:top w:val="none" w:sz="0" w:space="0" w:color="auto"/>
        <w:left w:val="none" w:sz="0" w:space="0" w:color="auto"/>
        <w:bottom w:val="none" w:sz="0" w:space="0" w:color="auto"/>
        <w:right w:val="none" w:sz="0" w:space="0" w:color="auto"/>
      </w:divBdr>
    </w:div>
    <w:div w:id="1529374129">
      <w:bodyDiv w:val="1"/>
      <w:marLeft w:val="0"/>
      <w:marRight w:val="0"/>
      <w:marTop w:val="0"/>
      <w:marBottom w:val="0"/>
      <w:divBdr>
        <w:top w:val="none" w:sz="0" w:space="0" w:color="auto"/>
        <w:left w:val="none" w:sz="0" w:space="0" w:color="auto"/>
        <w:bottom w:val="none" w:sz="0" w:space="0" w:color="auto"/>
        <w:right w:val="none" w:sz="0" w:space="0" w:color="auto"/>
      </w:divBdr>
    </w:div>
    <w:div w:id="1592157292">
      <w:bodyDiv w:val="1"/>
      <w:marLeft w:val="0"/>
      <w:marRight w:val="0"/>
      <w:marTop w:val="0"/>
      <w:marBottom w:val="0"/>
      <w:divBdr>
        <w:top w:val="none" w:sz="0" w:space="0" w:color="auto"/>
        <w:left w:val="none" w:sz="0" w:space="0" w:color="auto"/>
        <w:bottom w:val="none" w:sz="0" w:space="0" w:color="auto"/>
        <w:right w:val="none" w:sz="0" w:space="0" w:color="auto"/>
      </w:divBdr>
    </w:div>
    <w:div w:id="1598900461">
      <w:bodyDiv w:val="1"/>
      <w:marLeft w:val="0"/>
      <w:marRight w:val="0"/>
      <w:marTop w:val="0"/>
      <w:marBottom w:val="0"/>
      <w:divBdr>
        <w:top w:val="none" w:sz="0" w:space="0" w:color="auto"/>
        <w:left w:val="none" w:sz="0" w:space="0" w:color="auto"/>
        <w:bottom w:val="none" w:sz="0" w:space="0" w:color="auto"/>
        <w:right w:val="none" w:sz="0" w:space="0" w:color="auto"/>
      </w:divBdr>
    </w:div>
    <w:div w:id="1614481161">
      <w:bodyDiv w:val="1"/>
      <w:marLeft w:val="0"/>
      <w:marRight w:val="0"/>
      <w:marTop w:val="0"/>
      <w:marBottom w:val="0"/>
      <w:divBdr>
        <w:top w:val="none" w:sz="0" w:space="0" w:color="auto"/>
        <w:left w:val="none" w:sz="0" w:space="0" w:color="auto"/>
        <w:bottom w:val="none" w:sz="0" w:space="0" w:color="auto"/>
        <w:right w:val="none" w:sz="0" w:space="0" w:color="auto"/>
      </w:divBdr>
    </w:div>
    <w:div w:id="1765763137">
      <w:bodyDiv w:val="1"/>
      <w:marLeft w:val="0"/>
      <w:marRight w:val="0"/>
      <w:marTop w:val="0"/>
      <w:marBottom w:val="0"/>
      <w:divBdr>
        <w:top w:val="none" w:sz="0" w:space="0" w:color="auto"/>
        <w:left w:val="none" w:sz="0" w:space="0" w:color="auto"/>
        <w:bottom w:val="none" w:sz="0" w:space="0" w:color="auto"/>
        <w:right w:val="none" w:sz="0" w:space="0" w:color="auto"/>
      </w:divBdr>
    </w:div>
    <w:div w:id="1808552243">
      <w:bodyDiv w:val="1"/>
      <w:marLeft w:val="0"/>
      <w:marRight w:val="0"/>
      <w:marTop w:val="0"/>
      <w:marBottom w:val="0"/>
      <w:divBdr>
        <w:top w:val="none" w:sz="0" w:space="0" w:color="auto"/>
        <w:left w:val="none" w:sz="0" w:space="0" w:color="auto"/>
        <w:bottom w:val="none" w:sz="0" w:space="0" w:color="auto"/>
        <w:right w:val="none" w:sz="0" w:space="0" w:color="auto"/>
      </w:divBdr>
    </w:div>
    <w:div w:id="1854496468">
      <w:bodyDiv w:val="1"/>
      <w:marLeft w:val="0"/>
      <w:marRight w:val="0"/>
      <w:marTop w:val="0"/>
      <w:marBottom w:val="0"/>
      <w:divBdr>
        <w:top w:val="none" w:sz="0" w:space="0" w:color="auto"/>
        <w:left w:val="none" w:sz="0" w:space="0" w:color="auto"/>
        <w:bottom w:val="none" w:sz="0" w:space="0" w:color="auto"/>
        <w:right w:val="none" w:sz="0" w:space="0" w:color="auto"/>
      </w:divBdr>
    </w:div>
    <w:div w:id="1899783674">
      <w:bodyDiv w:val="1"/>
      <w:marLeft w:val="0"/>
      <w:marRight w:val="0"/>
      <w:marTop w:val="0"/>
      <w:marBottom w:val="0"/>
      <w:divBdr>
        <w:top w:val="none" w:sz="0" w:space="0" w:color="auto"/>
        <w:left w:val="none" w:sz="0" w:space="0" w:color="auto"/>
        <w:bottom w:val="none" w:sz="0" w:space="0" w:color="auto"/>
        <w:right w:val="none" w:sz="0" w:space="0" w:color="auto"/>
      </w:divBdr>
    </w:div>
    <w:div w:id="1908759350">
      <w:bodyDiv w:val="1"/>
      <w:marLeft w:val="0"/>
      <w:marRight w:val="0"/>
      <w:marTop w:val="0"/>
      <w:marBottom w:val="0"/>
      <w:divBdr>
        <w:top w:val="none" w:sz="0" w:space="0" w:color="auto"/>
        <w:left w:val="none" w:sz="0" w:space="0" w:color="auto"/>
        <w:bottom w:val="none" w:sz="0" w:space="0" w:color="auto"/>
        <w:right w:val="none" w:sz="0" w:space="0" w:color="auto"/>
      </w:divBdr>
    </w:div>
    <w:div w:id="1982618087">
      <w:bodyDiv w:val="1"/>
      <w:marLeft w:val="0"/>
      <w:marRight w:val="0"/>
      <w:marTop w:val="0"/>
      <w:marBottom w:val="0"/>
      <w:divBdr>
        <w:top w:val="none" w:sz="0" w:space="0" w:color="auto"/>
        <w:left w:val="none" w:sz="0" w:space="0" w:color="auto"/>
        <w:bottom w:val="none" w:sz="0" w:space="0" w:color="auto"/>
        <w:right w:val="none" w:sz="0" w:space="0" w:color="auto"/>
      </w:divBdr>
    </w:div>
    <w:div w:id="2025863374">
      <w:bodyDiv w:val="1"/>
      <w:marLeft w:val="0"/>
      <w:marRight w:val="0"/>
      <w:marTop w:val="0"/>
      <w:marBottom w:val="0"/>
      <w:divBdr>
        <w:top w:val="none" w:sz="0" w:space="0" w:color="auto"/>
        <w:left w:val="none" w:sz="0" w:space="0" w:color="auto"/>
        <w:bottom w:val="none" w:sz="0" w:space="0" w:color="auto"/>
        <w:right w:val="none" w:sz="0" w:space="0" w:color="auto"/>
      </w:divBdr>
    </w:div>
    <w:div w:id="2052343064">
      <w:bodyDiv w:val="1"/>
      <w:marLeft w:val="0"/>
      <w:marRight w:val="0"/>
      <w:marTop w:val="0"/>
      <w:marBottom w:val="0"/>
      <w:divBdr>
        <w:top w:val="none" w:sz="0" w:space="0" w:color="auto"/>
        <w:left w:val="none" w:sz="0" w:space="0" w:color="auto"/>
        <w:bottom w:val="none" w:sz="0" w:space="0" w:color="auto"/>
        <w:right w:val="none" w:sz="0" w:space="0" w:color="auto"/>
      </w:divBdr>
    </w:div>
    <w:div w:id="210337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000" b="1"/>
              <a:t>Returns as of</a:t>
            </a:r>
            <a:r>
              <a:rPr lang="en-US" sz="1000" b="1" baseline="0"/>
              <a:t> September</a:t>
            </a:r>
            <a:r>
              <a:rPr lang="en-US" sz="1000" b="1"/>
              <a:t> 30</a:t>
            </a:r>
            <a:r>
              <a:rPr lang="en-US" sz="1000" b="1" baseline="0"/>
              <a:t>, 2022</a:t>
            </a:r>
            <a:endParaRPr lang="en-US" sz="1000" b="1"/>
          </a:p>
        </c:rich>
      </c:tx>
      <c:layout>
        <c:manualLayout>
          <c:xMode val="edge"/>
          <c:yMode val="edge"/>
          <c:x val="0.32151960784313732"/>
          <c:y val="1.9011168325366954E-2"/>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1.9607843137254902E-2"/>
          <c:y val="0.2390418023260289"/>
          <c:w val="0.94607843137254899"/>
          <c:h val="0.5968900331740058"/>
        </c:manualLayout>
      </c:layout>
      <c:barChart>
        <c:barDir val="col"/>
        <c:grouping val="clustered"/>
        <c:varyColors val="0"/>
        <c:ser>
          <c:idx val="0"/>
          <c:order val="0"/>
          <c:tx>
            <c:strRef>
              <c:f>Sheet1!$B$1</c:f>
              <c:strCache>
                <c:ptCount val="1"/>
                <c:pt idx="0">
                  <c:v>US Equities</c:v>
                </c:pt>
              </c:strCache>
            </c:strRef>
          </c:tx>
          <c:spPr>
            <a:solidFill>
              <a:schemeClr val="accent6">
                <a:lumMod val="50000"/>
              </a:schemeClr>
            </a:solidFill>
            <a:ln>
              <a:noFill/>
            </a:ln>
            <a:effectLst/>
          </c:spPr>
          <c:invertIfNegative val="0"/>
          <c:dLbls>
            <c:dLbl>
              <c:idx val="0"/>
              <c:tx>
                <c:rich>
                  <a:bodyPr/>
                  <a:lstStyle/>
                  <a:p>
                    <a:fld id="{0C9408F7-16A7-4AF0-83F3-BA50E5AF376C}"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DF53-45D6-B106-A8DC1EB50589}"/>
                </c:ext>
              </c:extLst>
            </c:dLbl>
            <c:dLbl>
              <c:idx val="1"/>
              <c:tx>
                <c:rich>
                  <a:bodyPr/>
                  <a:lstStyle/>
                  <a:p>
                    <a:fld id="{4ADEB8EF-4226-4E25-874A-E64AA748E7CA}"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DF53-45D6-B106-A8DC1EB50589}"/>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Q3</c:v>
                </c:pt>
                <c:pt idx="1">
                  <c:v>YTD</c:v>
                </c:pt>
              </c:strCache>
            </c:strRef>
          </c:cat>
          <c:val>
            <c:numRef>
              <c:f>Sheet1!$B$2:$B$3</c:f>
              <c:numCache>
                <c:formatCode>0.0</c:formatCode>
                <c:ptCount val="2"/>
                <c:pt idx="0">
                  <c:v>-4.9000000000000004</c:v>
                </c:pt>
                <c:pt idx="1">
                  <c:v>-23.9</c:v>
                </c:pt>
              </c:numCache>
            </c:numRef>
          </c:val>
          <c:extLst>
            <c:ext xmlns:c16="http://schemas.microsoft.com/office/drawing/2014/chart" uri="{C3380CC4-5D6E-409C-BE32-E72D297353CC}">
              <c16:uniqueId val="{00000000-DF53-45D6-B106-A8DC1EB50589}"/>
            </c:ext>
          </c:extLst>
        </c:ser>
        <c:ser>
          <c:idx val="1"/>
          <c:order val="1"/>
          <c:tx>
            <c:strRef>
              <c:f>Sheet1!$C$1</c:f>
              <c:strCache>
                <c:ptCount val="1"/>
                <c:pt idx="0">
                  <c:v>Int'l Equities</c:v>
                </c:pt>
              </c:strCache>
            </c:strRef>
          </c:tx>
          <c:spPr>
            <a:solidFill>
              <a:schemeClr val="accent6">
                <a:lumMod val="75000"/>
              </a:schemeClr>
            </a:solidFill>
            <a:ln>
              <a:noFill/>
            </a:ln>
            <a:effectLst/>
          </c:spPr>
          <c:invertIfNegative val="0"/>
          <c:dLbls>
            <c:dLbl>
              <c:idx val="0"/>
              <c:tx>
                <c:rich>
                  <a:bodyPr/>
                  <a:lstStyle/>
                  <a:p>
                    <a:fld id="{E060D20E-A439-40F8-8D59-98E4F6ED90F5}"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DF53-45D6-B106-A8DC1EB50589}"/>
                </c:ext>
              </c:extLst>
            </c:dLbl>
            <c:dLbl>
              <c:idx val="1"/>
              <c:tx>
                <c:rich>
                  <a:bodyPr/>
                  <a:lstStyle/>
                  <a:p>
                    <a:fld id="{E58F6636-5B92-477D-BDAF-413EDE4769AD}"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E-DF53-45D6-B106-A8DC1EB50589}"/>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Q3</c:v>
                </c:pt>
                <c:pt idx="1">
                  <c:v>YTD</c:v>
                </c:pt>
              </c:strCache>
            </c:strRef>
          </c:cat>
          <c:val>
            <c:numRef>
              <c:f>Sheet1!$C$2:$C$3</c:f>
              <c:numCache>
                <c:formatCode>0.0</c:formatCode>
                <c:ptCount val="2"/>
                <c:pt idx="0" formatCode="General">
                  <c:v>-9.3000000000000007</c:v>
                </c:pt>
                <c:pt idx="1">
                  <c:v>-26.8</c:v>
                </c:pt>
              </c:numCache>
            </c:numRef>
          </c:val>
          <c:extLst>
            <c:ext xmlns:c16="http://schemas.microsoft.com/office/drawing/2014/chart" uri="{C3380CC4-5D6E-409C-BE32-E72D297353CC}">
              <c16:uniqueId val="{00000001-DF53-45D6-B106-A8DC1EB50589}"/>
            </c:ext>
          </c:extLst>
        </c:ser>
        <c:ser>
          <c:idx val="2"/>
          <c:order val="2"/>
          <c:tx>
            <c:strRef>
              <c:f>Sheet1!$D$1</c:f>
              <c:strCache>
                <c:ptCount val="1"/>
                <c:pt idx="0">
                  <c:v>EM Equities</c:v>
                </c:pt>
              </c:strCache>
            </c:strRef>
          </c:tx>
          <c:spPr>
            <a:solidFill>
              <a:schemeClr val="accent6">
                <a:lumMod val="60000"/>
                <a:lumOff val="40000"/>
              </a:schemeClr>
            </a:solidFill>
            <a:ln>
              <a:noFill/>
            </a:ln>
            <a:effectLst/>
          </c:spPr>
          <c:invertIfNegative val="0"/>
          <c:dLbls>
            <c:dLbl>
              <c:idx val="0"/>
              <c:tx>
                <c:rich>
                  <a:bodyPr/>
                  <a:lstStyle/>
                  <a:p>
                    <a:fld id="{436B1F4F-6E1F-495C-A413-1CBCEB1B1A47}"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DF53-45D6-B106-A8DC1EB50589}"/>
                </c:ext>
              </c:extLst>
            </c:dLbl>
            <c:dLbl>
              <c:idx val="1"/>
              <c:tx>
                <c:rich>
                  <a:bodyPr/>
                  <a:lstStyle/>
                  <a:p>
                    <a:fld id="{5A08564F-884B-4BE3-ADF0-D8A914BD6A21}"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DF53-45D6-B106-A8DC1EB50589}"/>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Q3</c:v>
                </c:pt>
                <c:pt idx="1">
                  <c:v>YTD</c:v>
                </c:pt>
              </c:strCache>
            </c:strRef>
          </c:cat>
          <c:val>
            <c:numRef>
              <c:f>Sheet1!$D$2:$D$3</c:f>
              <c:numCache>
                <c:formatCode>0.0</c:formatCode>
                <c:ptCount val="2"/>
                <c:pt idx="0" formatCode="#,##0.0">
                  <c:v>-11.4</c:v>
                </c:pt>
                <c:pt idx="1">
                  <c:v>-26.9</c:v>
                </c:pt>
              </c:numCache>
            </c:numRef>
          </c:val>
          <c:extLst>
            <c:ext xmlns:c16="http://schemas.microsoft.com/office/drawing/2014/chart" uri="{C3380CC4-5D6E-409C-BE32-E72D297353CC}">
              <c16:uniqueId val="{00000002-DF53-45D6-B106-A8DC1EB50589}"/>
            </c:ext>
          </c:extLst>
        </c:ser>
        <c:ser>
          <c:idx val="3"/>
          <c:order val="3"/>
          <c:tx>
            <c:strRef>
              <c:f>Sheet1!$E$1</c:f>
              <c:strCache>
                <c:ptCount val="1"/>
                <c:pt idx="0">
                  <c:v>US Bonds</c:v>
                </c:pt>
              </c:strCache>
            </c:strRef>
          </c:tx>
          <c:spPr>
            <a:solidFill>
              <a:schemeClr val="accent5">
                <a:lumMod val="50000"/>
              </a:schemeClr>
            </a:solidFill>
            <a:ln>
              <a:noFill/>
            </a:ln>
            <a:effectLst/>
          </c:spPr>
          <c:invertIfNegative val="0"/>
          <c:dLbls>
            <c:dLbl>
              <c:idx val="0"/>
              <c:tx>
                <c:rich>
                  <a:bodyPr/>
                  <a:lstStyle/>
                  <a:p>
                    <a:fld id="{36D434B2-8B33-4B5E-8483-CCDC78D5F336}"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DF53-45D6-B106-A8DC1EB50589}"/>
                </c:ext>
              </c:extLst>
            </c:dLbl>
            <c:dLbl>
              <c:idx val="1"/>
              <c:tx>
                <c:rich>
                  <a:bodyPr/>
                  <a:lstStyle/>
                  <a:p>
                    <a:fld id="{7D1A88AC-EEEF-4C42-BA02-A950F504D9BA}"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0-DF53-45D6-B106-A8DC1EB50589}"/>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Q3</c:v>
                </c:pt>
                <c:pt idx="1">
                  <c:v>YTD</c:v>
                </c:pt>
              </c:strCache>
            </c:strRef>
          </c:cat>
          <c:val>
            <c:numRef>
              <c:f>Sheet1!$E$2:$E$3</c:f>
              <c:numCache>
                <c:formatCode>0.0</c:formatCode>
                <c:ptCount val="2"/>
                <c:pt idx="0" formatCode="General">
                  <c:v>-4.8</c:v>
                </c:pt>
                <c:pt idx="1">
                  <c:v>-14.6</c:v>
                </c:pt>
              </c:numCache>
            </c:numRef>
          </c:val>
          <c:extLst>
            <c:ext xmlns:c16="http://schemas.microsoft.com/office/drawing/2014/chart" uri="{C3380CC4-5D6E-409C-BE32-E72D297353CC}">
              <c16:uniqueId val="{00000003-DF53-45D6-B106-A8DC1EB50589}"/>
            </c:ext>
          </c:extLst>
        </c:ser>
        <c:ser>
          <c:idx val="4"/>
          <c:order val="4"/>
          <c:tx>
            <c:strRef>
              <c:f>Sheet1!$F$1</c:f>
              <c:strCache>
                <c:ptCount val="1"/>
                <c:pt idx="0">
                  <c:v>Int'l Bonds</c:v>
                </c:pt>
              </c:strCache>
            </c:strRef>
          </c:tx>
          <c:spPr>
            <a:solidFill>
              <a:schemeClr val="accent5">
                <a:lumMod val="75000"/>
              </a:schemeClr>
            </a:solidFill>
            <a:ln>
              <a:noFill/>
            </a:ln>
            <a:effectLst/>
          </c:spPr>
          <c:invertIfNegative val="0"/>
          <c:dLbls>
            <c:dLbl>
              <c:idx val="0"/>
              <c:tx>
                <c:rich>
                  <a:bodyPr/>
                  <a:lstStyle/>
                  <a:p>
                    <a:fld id="{86454208-F45C-4ED2-A9D2-6A24E2EF119C}"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DF53-45D6-B106-A8DC1EB50589}"/>
                </c:ext>
              </c:extLst>
            </c:dLbl>
            <c:dLbl>
              <c:idx val="1"/>
              <c:tx>
                <c:rich>
                  <a:bodyPr/>
                  <a:lstStyle/>
                  <a:p>
                    <a:fld id="{F6B04FC6-FF7D-4C93-920C-239AD6A3BF44}"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DF53-45D6-B106-A8DC1EB50589}"/>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Q3</c:v>
                </c:pt>
                <c:pt idx="1">
                  <c:v>YTD</c:v>
                </c:pt>
              </c:strCache>
            </c:strRef>
          </c:cat>
          <c:val>
            <c:numRef>
              <c:f>Sheet1!$F$2:$F$3</c:f>
              <c:numCache>
                <c:formatCode>0.0</c:formatCode>
                <c:ptCount val="2"/>
                <c:pt idx="0">
                  <c:v>-11</c:v>
                </c:pt>
                <c:pt idx="1">
                  <c:v>-16.5</c:v>
                </c:pt>
              </c:numCache>
            </c:numRef>
          </c:val>
          <c:extLst>
            <c:ext xmlns:c16="http://schemas.microsoft.com/office/drawing/2014/chart" uri="{C3380CC4-5D6E-409C-BE32-E72D297353CC}">
              <c16:uniqueId val="{00000004-DF53-45D6-B106-A8DC1EB50589}"/>
            </c:ext>
          </c:extLst>
        </c:ser>
        <c:ser>
          <c:idx val="5"/>
          <c:order val="5"/>
          <c:tx>
            <c:strRef>
              <c:f>Sheet1!$G$1</c:f>
              <c:strCache>
                <c:ptCount val="1"/>
                <c:pt idx="0">
                  <c:v>EM Bonds</c:v>
                </c:pt>
              </c:strCache>
            </c:strRef>
          </c:tx>
          <c:spPr>
            <a:solidFill>
              <a:schemeClr val="accent5">
                <a:lumMod val="60000"/>
                <a:lumOff val="40000"/>
              </a:schemeClr>
            </a:solidFill>
            <a:ln>
              <a:noFill/>
            </a:ln>
            <a:effectLst/>
          </c:spPr>
          <c:invertIfNegative val="0"/>
          <c:dLbls>
            <c:dLbl>
              <c:idx val="0"/>
              <c:tx>
                <c:rich>
                  <a:bodyPr/>
                  <a:lstStyle/>
                  <a:p>
                    <a:fld id="{864104ED-D24F-4E5C-87B6-B9D31F50DE85}"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DF53-45D6-B106-A8DC1EB50589}"/>
                </c:ext>
              </c:extLst>
            </c:dLbl>
            <c:dLbl>
              <c:idx val="1"/>
              <c:tx>
                <c:rich>
                  <a:bodyPr/>
                  <a:lstStyle/>
                  <a:p>
                    <a:fld id="{B7B89574-311B-4F7B-B2BC-CB45CD32F050}"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2-DF53-45D6-B106-A8DC1EB50589}"/>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Q3</c:v>
                </c:pt>
                <c:pt idx="1">
                  <c:v>YTD</c:v>
                </c:pt>
              </c:strCache>
            </c:strRef>
          </c:cat>
          <c:val>
            <c:numRef>
              <c:f>Sheet1!$G$2:$G$3</c:f>
              <c:numCache>
                <c:formatCode>0.0</c:formatCode>
                <c:ptCount val="2"/>
                <c:pt idx="0">
                  <c:v>-4.0999999999999996</c:v>
                </c:pt>
                <c:pt idx="1">
                  <c:v>-20.5</c:v>
                </c:pt>
              </c:numCache>
            </c:numRef>
          </c:val>
          <c:extLst>
            <c:ext xmlns:c16="http://schemas.microsoft.com/office/drawing/2014/chart" uri="{C3380CC4-5D6E-409C-BE32-E72D297353CC}">
              <c16:uniqueId val="{00000005-DF53-45D6-B106-A8DC1EB50589}"/>
            </c:ext>
          </c:extLst>
        </c:ser>
        <c:dLbls>
          <c:showLegendKey val="0"/>
          <c:showVal val="0"/>
          <c:showCatName val="0"/>
          <c:showSerName val="0"/>
          <c:showPercent val="0"/>
          <c:showBubbleSize val="0"/>
        </c:dLbls>
        <c:gapWidth val="125"/>
        <c:overlap val="-27"/>
        <c:axId val="111373312"/>
        <c:axId val="265864992"/>
      </c:barChart>
      <c:catAx>
        <c:axId val="111373312"/>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65864992"/>
        <c:crosses val="autoZero"/>
        <c:auto val="1"/>
        <c:lblAlgn val="ctr"/>
        <c:lblOffset val="100"/>
        <c:noMultiLvlLbl val="0"/>
      </c:catAx>
      <c:valAx>
        <c:axId val="265864992"/>
        <c:scaling>
          <c:orientation val="minMax"/>
        </c:scaling>
        <c:delete val="1"/>
        <c:axPos val="l"/>
        <c:numFmt formatCode="0.0" sourceLinked="1"/>
        <c:majorTickMark val="none"/>
        <c:minorTickMark val="none"/>
        <c:tickLblPos val="nextTo"/>
        <c:crossAx val="111373312"/>
        <c:crosses val="autoZero"/>
        <c:crossBetween val="between"/>
      </c:valAx>
      <c:spPr>
        <a:noFill/>
        <a:ln>
          <a:noFill/>
        </a:ln>
        <a:effectLst/>
      </c:spPr>
    </c:plotArea>
    <c:legend>
      <c:legendPos val="b"/>
      <c:layout>
        <c:manualLayout>
          <c:xMode val="edge"/>
          <c:yMode val="edge"/>
          <c:x val="0"/>
          <c:y val="0.86915238536359418"/>
          <c:w val="0.9612745098039216"/>
          <c:h val="0.13084761463640576"/>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2"/>
      </a:solid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EEF8D7-CB53-B84F-98F8-D565024CA930}">
  <we:reference id="wa104381967" version="1.0.0.0" store="en-US" storeType="OMEX"/>
  <we:alternateReferences>
    <we:reference id="wa104381967" version="1.0.0.0" store="WA10438196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F1DD04528833D48AE03A722395B8981" ma:contentTypeVersion="10" ma:contentTypeDescription="Create a new document." ma:contentTypeScope="" ma:versionID="2658d150be98af99731427ea3270a5bd">
  <xsd:schema xmlns:xsd="http://www.w3.org/2001/XMLSchema" xmlns:xs="http://www.w3.org/2001/XMLSchema" xmlns:p="http://schemas.microsoft.com/office/2006/metadata/properties" xmlns:ns3="544282d0-16b8-4a3b-b3e7-bd67f99b7e0f" xmlns:ns4="c316bbf3-ecf4-4ea6-8bd0-9b7acfad4581" targetNamespace="http://schemas.microsoft.com/office/2006/metadata/properties" ma:root="true" ma:fieldsID="803485e28f1a8174196fb6807ab1dabf" ns3:_="" ns4:_="">
    <xsd:import namespace="544282d0-16b8-4a3b-b3e7-bd67f99b7e0f"/>
    <xsd:import namespace="c316bbf3-ecf4-4ea6-8bd0-9b7acfad458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282d0-16b8-4a3b-b3e7-bd67f99b7e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16bbf3-ecf4-4ea6-8bd0-9b7acfad45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929BF0-6330-4764-BA58-BD931A1817C4}">
  <ds:schemaRefs>
    <ds:schemaRef ds:uri="http://schemas.openxmlformats.org/officeDocument/2006/bibliography"/>
  </ds:schemaRefs>
</ds:datastoreItem>
</file>

<file path=customXml/itemProps2.xml><?xml version="1.0" encoding="utf-8"?>
<ds:datastoreItem xmlns:ds="http://schemas.openxmlformats.org/officeDocument/2006/customXml" ds:itemID="{8CAE645D-791C-4EE7-9E5F-AA3791FBE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282d0-16b8-4a3b-b3e7-bd67f99b7e0f"/>
    <ds:schemaRef ds:uri="c316bbf3-ecf4-4ea6-8bd0-9b7acfad4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B731A9-96E0-466D-B58E-02877A2396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2D0698-4A8D-451C-B145-A083729996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1425</Words>
  <Characters>8123</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Chelsey (AssetMark)</dc:creator>
  <cp:keywords/>
  <dc:description/>
  <cp:lastModifiedBy>Brown, Brittney (AssetMark)</cp:lastModifiedBy>
  <cp:revision>2</cp:revision>
  <cp:lastPrinted>2020-01-07T17:46:00Z</cp:lastPrinted>
  <dcterms:created xsi:type="dcterms:W3CDTF">2022-10-05T18:10:00Z</dcterms:created>
  <dcterms:modified xsi:type="dcterms:W3CDTF">2022-10-05T18:10:00Z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0x0101009F1DD04528833D48AE03A722395B8981</vt:lpwstr>
  </property>
</Properties>
</file>