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8FC9" w14:textId="77777777" w:rsidR="004B1C5E" w:rsidRDefault="004B1C5E" w:rsidP="00996FBD">
      <w:pPr>
        <w:spacing w:after="0"/>
        <w:ind w:left="-720" w:right="-720"/>
        <w:rPr>
          <w:rFonts w:ascii="Arial" w:hAnsi="Arial" w:cs="Arial"/>
          <w:b/>
          <w:color w:val="0070C0"/>
          <w:sz w:val="20"/>
          <w:szCs w:val="20"/>
        </w:rPr>
      </w:pPr>
    </w:p>
    <w:p w14:paraId="464BF5D3" w14:textId="77777777" w:rsidR="004B1C5E" w:rsidRDefault="004B1C5E" w:rsidP="00996FBD">
      <w:pPr>
        <w:spacing w:after="0"/>
        <w:ind w:left="-720" w:right="-720"/>
        <w:rPr>
          <w:rFonts w:ascii="Arial" w:hAnsi="Arial" w:cs="Arial"/>
          <w:b/>
          <w:color w:val="0070C0"/>
          <w:sz w:val="20"/>
          <w:szCs w:val="20"/>
        </w:rPr>
      </w:pPr>
    </w:p>
    <w:p w14:paraId="6B227764" w14:textId="77777777" w:rsidR="004B1C5E" w:rsidRDefault="004B1C5E" w:rsidP="008F63B8">
      <w:pPr>
        <w:spacing w:after="0"/>
        <w:ind w:right="-720"/>
        <w:rPr>
          <w:rFonts w:ascii="Arial" w:hAnsi="Arial" w:cs="Arial"/>
          <w:b/>
          <w:color w:val="0070C0"/>
          <w:sz w:val="20"/>
          <w:szCs w:val="20"/>
        </w:rPr>
      </w:pPr>
    </w:p>
    <w:p w14:paraId="244B2C12" w14:textId="77777777" w:rsidR="004B1C5E" w:rsidRDefault="004B1C5E" w:rsidP="00996FBD">
      <w:pPr>
        <w:spacing w:after="0"/>
        <w:ind w:left="-720" w:right="-720"/>
        <w:rPr>
          <w:rFonts w:ascii="Arial" w:hAnsi="Arial" w:cs="Arial"/>
          <w:b/>
          <w:color w:val="0070C0"/>
          <w:sz w:val="20"/>
          <w:szCs w:val="20"/>
        </w:rPr>
      </w:pPr>
    </w:p>
    <w:p w14:paraId="72E66203" w14:textId="77777777" w:rsidR="004B1C5E" w:rsidRDefault="004B1C5E" w:rsidP="00996FBD">
      <w:pPr>
        <w:spacing w:after="0"/>
        <w:ind w:left="-720" w:right="-720"/>
        <w:rPr>
          <w:rFonts w:ascii="Arial" w:hAnsi="Arial" w:cs="Arial"/>
          <w:b/>
          <w:color w:val="0070C0"/>
          <w:sz w:val="20"/>
          <w:szCs w:val="20"/>
        </w:rPr>
      </w:pPr>
    </w:p>
    <w:p w14:paraId="0B4B0521" w14:textId="1EB7E3A1" w:rsidR="004B1C5E" w:rsidRDefault="004B1C5E" w:rsidP="00996FBD">
      <w:pPr>
        <w:spacing w:after="0"/>
        <w:ind w:left="-720" w:right="-720"/>
        <w:rPr>
          <w:rFonts w:ascii="Arial" w:hAnsi="Arial" w:cs="Arial"/>
          <w:b/>
          <w:color w:val="0070C0"/>
          <w:sz w:val="20"/>
          <w:szCs w:val="20"/>
        </w:rPr>
      </w:pPr>
    </w:p>
    <w:p w14:paraId="63F904E8" w14:textId="77777777" w:rsidR="0010409D" w:rsidRDefault="002243CA" w:rsidP="0010409D">
      <w:pPr>
        <w:spacing w:after="0"/>
        <w:ind w:left="720" w:right="-360" w:firstLine="720"/>
        <w:rPr>
          <w:rFonts w:ascii="Arial" w:hAnsi="Arial" w:cs="Arial"/>
          <w:b/>
          <w:color w:val="037EBB"/>
          <w:sz w:val="24"/>
          <w:szCs w:val="20"/>
        </w:rPr>
      </w:pPr>
      <w:r>
        <w:rPr>
          <w:noProof/>
        </w:rPr>
        <w:drawing>
          <wp:anchor distT="0" distB="0" distL="114300" distR="114300" simplePos="0" relativeHeight="251675648" behindDoc="0" locked="0" layoutInCell="1" allowOverlap="1" wp14:anchorId="039B80D1" wp14:editId="06C9D901">
            <wp:simplePos x="0" y="0"/>
            <wp:positionH relativeFrom="column">
              <wp:posOffset>709295</wp:posOffset>
            </wp:positionH>
            <wp:positionV relativeFrom="page">
              <wp:posOffset>2267585</wp:posOffset>
            </wp:positionV>
            <wp:extent cx="5386705" cy="2076450"/>
            <wp:effectExtent l="0" t="0" r="444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A7E8D" w:rsidRPr="007D272C">
        <w:rPr>
          <w:rFonts w:ascii="Arial" w:hAnsi="Arial" w:cs="Arial"/>
          <w:b/>
          <w:noProof/>
          <w:color w:val="3B3838" w:themeColor="background2" w:themeShade="40"/>
          <w:sz w:val="21"/>
          <w:szCs w:val="20"/>
        </w:rPr>
        <w:drawing>
          <wp:anchor distT="0" distB="0" distL="114300" distR="114300" simplePos="0" relativeHeight="251668480" behindDoc="0" locked="0" layoutInCell="1" allowOverlap="1" wp14:anchorId="7008C652" wp14:editId="37E6E39A">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3BEC6FA2" w14:textId="4E02FEE2" w:rsidR="00024E19" w:rsidRPr="0010409D" w:rsidRDefault="00024E19" w:rsidP="0010409D">
      <w:pPr>
        <w:spacing w:after="0"/>
        <w:ind w:left="720" w:right="-360" w:firstLine="720"/>
        <w:rPr>
          <w:rStyle w:val="Emphasis"/>
          <w:rFonts w:ascii="Arial" w:hAnsi="Arial" w:cs="Arial"/>
          <w:b/>
          <w:i w:val="0"/>
          <w:iCs w:val="0"/>
          <w:color w:val="037EBB"/>
          <w:sz w:val="24"/>
          <w:szCs w:val="20"/>
        </w:rPr>
      </w:pPr>
      <w:r w:rsidRPr="005F73BE">
        <w:rPr>
          <w:rFonts w:ascii="Arial" w:hAnsi="Arial" w:cs="Arial"/>
          <w:sz w:val="16"/>
          <w:szCs w:val="16"/>
        </w:rPr>
        <w:t xml:space="preserve">Source: </w:t>
      </w:r>
      <w:r w:rsidR="00C3563C">
        <w:rPr>
          <w:rFonts w:ascii="Arial" w:hAnsi="Arial" w:cs="Arial"/>
          <w:sz w:val="16"/>
          <w:szCs w:val="16"/>
        </w:rPr>
        <w:t>Zephyr StyleADVISOR</w:t>
      </w:r>
    </w:p>
    <w:p w14:paraId="5B6BAA7C" w14:textId="2A231839" w:rsidR="00024E19" w:rsidRPr="00024E19" w:rsidRDefault="00024E19" w:rsidP="00024E19">
      <w:pPr>
        <w:pStyle w:val="ListParagraph"/>
        <w:ind w:left="1440"/>
        <w:rPr>
          <w:rFonts w:ascii="Arial" w:hAnsi="Arial" w:cs="Arial"/>
          <w:sz w:val="20"/>
          <w:szCs w:val="20"/>
        </w:rPr>
      </w:pPr>
    </w:p>
    <w:p w14:paraId="0558AEA5" w14:textId="3E1FE692" w:rsidR="000C6F98" w:rsidRPr="0010409D" w:rsidRDefault="00405462" w:rsidP="0010409D">
      <w:pPr>
        <w:pStyle w:val="ListParagraph"/>
        <w:numPr>
          <w:ilvl w:val="0"/>
          <w:numId w:val="3"/>
        </w:numPr>
        <w:contextualSpacing w:val="0"/>
        <w:rPr>
          <w:rFonts w:ascii="Arial" w:hAnsi="Arial" w:cs="Arial"/>
          <w:sz w:val="20"/>
          <w:szCs w:val="20"/>
        </w:rPr>
      </w:pPr>
      <w:bookmarkStart w:id="0" w:name="_Hlk84243018"/>
      <w:r>
        <w:rPr>
          <w:rFonts w:ascii="Arial" w:hAnsi="Arial" w:cs="Arial"/>
          <w:b/>
          <w:bCs/>
          <w:iCs/>
          <w:sz w:val="20"/>
          <w:szCs w:val="20"/>
        </w:rPr>
        <w:t xml:space="preserve">Record </w:t>
      </w:r>
      <w:r w:rsidR="00062EA0">
        <w:rPr>
          <w:rFonts w:ascii="Arial" w:hAnsi="Arial" w:cs="Arial"/>
          <w:b/>
          <w:bCs/>
          <w:iCs/>
          <w:sz w:val="20"/>
          <w:szCs w:val="20"/>
        </w:rPr>
        <w:t>high inflation, rising interest rates</w:t>
      </w:r>
      <w:r w:rsidR="0019776F">
        <w:rPr>
          <w:rFonts w:ascii="Arial" w:hAnsi="Arial" w:cs="Arial"/>
          <w:b/>
          <w:bCs/>
          <w:iCs/>
          <w:sz w:val="20"/>
          <w:szCs w:val="20"/>
        </w:rPr>
        <w:t>,</w:t>
      </w:r>
      <w:r w:rsidR="00062EA0">
        <w:rPr>
          <w:rFonts w:ascii="Arial" w:hAnsi="Arial" w:cs="Arial"/>
          <w:b/>
          <w:bCs/>
          <w:iCs/>
          <w:sz w:val="20"/>
          <w:szCs w:val="20"/>
        </w:rPr>
        <w:t xml:space="preserve"> and recession fears led stocks and bonds lower </w:t>
      </w:r>
      <w:bookmarkStart w:id="1" w:name="_Hlk107915660"/>
      <w:r w:rsidR="00062EA0">
        <w:rPr>
          <w:rFonts w:ascii="Arial" w:hAnsi="Arial" w:cs="Arial"/>
          <w:b/>
          <w:bCs/>
          <w:iCs/>
          <w:sz w:val="20"/>
          <w:szCs w:val="20"/>
        </w:rPr>
        <w:t xml:space="preserve">in </w:t>
      </w:r>
      <w:r w:rsidR="00BB41EB">
        <w:rPr>
          <w:rFonts w:ascii="Arial" w:hAnsi="Arial" w:cs="Arial"/>
          <w:b/>
          <w:bCs/>
          <w:iCs/>
          <w:sz w:val="20"/>
          <w:szCs w:val="20"/>
        </w:rPr>
        <w:t xml:space="preserve">the </w:t>
      </w:r>
      <w:r w:rsidR="009B483F">
        <w:rPr>
          <w:rFonts w:ascii="Arial" w:hAnsi="Arial" w:cs="Arial"/>
          <w:b/>
          <w:bCs/>
          <w:iCs/>
          <w:sz w:val="20"/>
          <w:szCs w:val="20"/>
        </w:rPr>
        <w:t>second quarter of 2022 (2Q22)</w:t>
      </w:r>
      <w:r w:rsidR="00062EA0">
        <w:rPr>
          <w:rFonts w:ascii="Arial" w:hAnsi="Arial" w:cs="Arial"/>
          <w:b/>
          <w:bCs/>
          <w:iCs/>
          <w:sz w:val="20"/>
          <w:szCs w:val="20"/>
        </w:rPr>
        <w:t>.</w:t>
      </w:r>
      <w:r w:rsidR="009E79CF">
        <w:rPr>
          <w:rFonts w:ascii="Arial" w:hAnsi="Arial" w:cs="Arial"/>
          <w:b/>
          <w:bCs/>
          <w:iCs/>
          <w:sz w:val="20"/>
          <w:szCs w:val="20"/>
        </w:rPr>
        <w:t xml:space="preserve"> </w:t>
      </w:r>
      <w:bookmarkEnd w:id="1"/>
      <w:r w:rsidR="00062EA0" w:rsidRPr="00062EA0">
        <w:rPr>
          <w:rFonts w:ascii="Arial" w:hAnsi="Arial" w:cs="Arial"/>
          <w:iCs/>
          <w:sz w:val="20"/>
          <w:szCs w:val="20"/>
        </w:rPr>
        <w:t xml:space="preserve">For just the second time in 40 years, </w:t>
      </w:r>
      <w:proofErr w:type="gramStart"/>
      <w:r w:rsidR="00062EA0" w:rsidRPr="00062EA0">
        <w:rPr>
          <w:rFonts w:ascii="Arial" w:hAnsi="Arial" w:cs="Arial"/>
          <w:iCs/>
          <w:sz w:val="20"/>
          <w:szCs w:val="20"/>
        </w:rPr>
        <w:t>bonds</w:t>
      </w:r>
      <w:proofErr w:type="gramEnd"/>
      <w:r w:rsidR="00062EA0" w:rsidRPr="00062EA0">
        <w:rPr>
          <w:rFonts w:ascii="Arial" w:hAnsi="Arial" w:cs="Arial"/>
          <w:iCs/>
          <w:sz w:val="20"/>
          <w:szCs w:val="20"/>
        </w:rPr>
        <w:t xml:space="preserve"> and stocks both posted losses for two consecutive quarters</w:t>
      </w:r>
      <w:r w:rsidR="0019776F">
        <w:rPr>
          <w:rFonts w:ascii="Arial" w:hAnsi="Arial" w:cs="Arial"/>
          <w:iCs/>
          <w:sz w:val="20"/>
          <w:szCs w:val="20"/>
        </w:rPr>
        <w:t>.</w:t>
      </w:r>
      <w:r>
        <w:rPr>
          <w:rStyle w:val="EndnoteReference"/>
          <w:rFonts w:ascii="Arial" w:hAnsi="Arial" w:cs="Arial"/>
          <w:iCs/>
          <w:sz w:val="20"/>
          <w:szCs w:val="20"/>
        </w:rPr>
        <w:endnoteReference w:id="1"/>
      </w:r>
      <w:bookmarkEnd w:id="0"/>
      <w:r w:rsidR="009E79CF">
        <w:rPr>
          <w:rFonts w:ascii="Arial" w:hAnsi="Arial" w:cs="Arial"/>
          <w:iCs/>
          <w:sz w:val="20"/>
          <w:szCs w:val="20"/>
        </w:rPr>
        <w:t xml:space="preserve"> </w:t>
      </w:r>
      <w:r w:rsidR="007A6091">
        <w:rPr>
          <w:rFonts w:ascii="Arial" w:hAnsi="Arial" w:cs="Arial"/>
          <w:color w:val="242424"/>
          <w:spacing w:val="-3"/>
          <w:sz w:val="20"/>
          <w:szCs w:val="20"/>
          <w:shd w:val="clear" w:color="auto" w:fill="FFFFFF"/>
        </w:rPr>
        <w:t xml:space="preserve">US equities </w:t>
      </w:r>
      <w:r w:rsidR="0010409D">
        <w:rPr>
          <w:rFonts w:ascii="Arial" w:hAnsi="Arial" w:cs="Arial"/>
          <w:color w:val="242424"/>
          <w:spacing w:val="-3"/>
          <w:sz w:val="20"/>
          <w:szCs w:val="20"/>
          <w:shd w:val="clear" w:color="auto" w:fill="FFFFFF"/>
        </w:rPr>
        <w:t>ended the quarter at</w:t>
      </w:r>
      <w:r w:rsidR="002C2B2D" w:rsidRPr="0010409D">
        <w:rPr>
          <w:rFonts w:ascii="Arial" w:hAnsi="Arial" w:cs="Arial"/>
          <w:color w:val="242424"/>
          <w:spacing w:val="-3"/>
          <w:sz w:val="20"/>
          <w:szCs w:val="20"/>
          <w:shd w:val="clear" w:color="auto" w:fill="FFFFFF"/>
        </w:rPr>
        <w:t xml:space="preserve"> </w:t>
      </w:r>
      <w:r w:rsidR="0010409D">
        <w:rPr>
          <w:rFonts w:ascii="Arial" w:hAnsi="Arial" w:cs="Arial"/>
          <w:color w:val="242424"/>
          <w:spacing w:val="-3"/>
          <w:sz w:val="20"/>
          <w:szCs w:val="20"/>
          <w:shd w:val="clear" w:color="auto" w:fill="FFFFFF"/>
        </w:rPr>
        <w:t>-</w:t>
      </w:r>
      <w:r w:rsidR="003B01AC" w:rsidRPr="0010409D">
        <w:rPr>
          <w:rFonts w:ascii="Arial" w:hAnsi="Arial" w:cs="Arial"/>
          <w:color w:val="242424"/>
          <w:spacing w:val="-3"/>
          <w:sz w:val="20"/>
          <w:szCs w:val="20"/>
          <w:shd w:val="clear" w:color="auto" w:fill="FFFFFF"/>
        </w:rPr>
        <w:t>1</w:t>
      </w:r>
      <w:r w:rsidRPr="0010409D">
        <w:rPr>
          <w:rFonts w:ascii="Arial" w:hAnsi="Arial" w:cs="Arial"/>
          <w:color w:val="242424"/>
          <w:spacing w:val="-3"/>
          <w:sz w:val="20"/>
          <w:szCs w:val="20"/>
          <w:shd w:val="clear" w:color="auto" w:fill="FFFFFF"/>
        </w:rPr>
        <w:t>6.1</w:t>
      </w:r>
      <w:r w:rsidR="003B01AC" w:rsidRPr="0010409D">
        <w:rPr>
          <w:rFonts w:ascii="Arial" w:hAnsi="Arial" w:cs="Arial"/>
          <w:color w:val="242424"/>
          <w:spacing w:val="-3"/>
          <w:sz w:val="20"/>
          <w:szCs w:val="20"/>
          <w:shd w:val="clear" w:color="auto" w:fill="FFFFFF"/>
        </w:rPr>
        <w:t xml:space="preserve">% and </w:t>
      </w:r>
      <w:r w:rsidR="0010409D">
        <w:rPr>
          <w:rFonts w:ascii="Arial" w:hAnsi="Arial" w:cs="Arial"/>
          <w:color w:val="242424"/>
          <w:spacing w:val="-3"/>
          <w:sz w:val="20"/>
          <w:szCs w:val="20"/>
          <w:shd w:val="clear" w:color="auto" w:fill="FFFFFF"/>
        </w:rPr>
        <w:t>entered</w:t>
      </w:r>
      <w:r w:rsidR="007A6091" w:rsidRPr="0010409D">
        <w:rPr>
          <w:rFonts w:ascii="Arial" w:hAnsi="Arial" w:cs="Arial"/>
          <w:color w:val="242424"/>
          <w:spacing w:val="-3"/>
          <w:sz w:val="20"/>
          <w:szCs w:val="20"/>
          <w:shd w:val="clear" w:color="auto" w:fill="FFFFFF"/>
        </w:rPr>
        <w:t xml:space="preserve"> </w:t>
      </w:r>
      <w:r w:rsidR="0055528E">
        <w:rPr>
          <w:rFonts w:ascii="Arial" w:hAnsi="Arial" w:cs="Arial"/>
          <w:color w:val="242424"/>
          <w:spacing w:val="-3"/>
          <w:sz w:val="20"/>
          <w:szCs w:val="20"/>
          <w:shd w:val="clear" w:color="auto" w:fill="FFFFFF"/>
        </w:rPr>
        <w:t xml:space="preserve">an </w:t>
      </w:r>
      <w:r w:rsidR="007A6091" w:rsidRPr="0010409D">
        <w:rPr>
          <w:rFonts w:ascii="Arial" w:hAnsi="Arial" w:cs="Arial"/>
          <w:color w:val="242424"/>
          <w:spacing w:val="-3"/>
          <w:sz w:val="20"/>
          <w:szCs w:val="20"/>
          <w:shd w:val="clear" w:color="auto" w:fill="FFFFFF"/>
        </w:rPr>
        <w:t xml:space="preserve">official </w:t>
      </w:r>
      <w:r w:rsidRPr="0010409D">
        <w:rPr>
          <w:rFonts w:ascii="Arial" w:hAnsi="Arial" w:cs="Arial"/>
          <w:color w:val="242424"/>
          <w:spacing w:val="-3"/>
          <w:sz w:val="20"/>
          <w:szCs w:val="20"/>
          <w:shd w:val="clear" w:color="auto" w:fill="FFFFFF"/>
        </w:rPr>
        <w:t>bear market</w:t>
      </w:r>
      <w:r w:rsidR="003B01AC" w:rsidRPr="0010409D">
        <w:rPr>
          <w:rFonts w:ascii="Arial" w:hAnsi="Arial" w:cs="Arial"/>
          <w:color w:val="242424"/>
          <w:spacing w:val="-3"/>
          <w:sz w:val="20"/>
          <w:szCs w:val="20"/>
          <w:shd w:val="clear" w:color="auto" w:fill="FFFFFF"/>
        </w:rPr>
        <w:t xml:space="preserve"> </w:t>
      </w:r>
      <w:r w:rsidR="002C2B2D" w:rsidRPr="0010409D">
        <w:rPr>
          <w:rFonts w:ascii="Arial" w:hAnsi="Arial" w:cs="Arial"/>
          <w:color w:val="242424"/>
          <w:spacing w:val="-3"/>
          <w:sz w:val="20"/>
          <w:szCs w:val="20"/>
          <w:shd w:val="clear" w:color="auto" w:fill="FFFFFF"/>
        </w:rPr>
        <w:t xml:space="preserve">(defined as </w:t>
      </w:r>
      <w:r w:rsidR="00EC6AD3" w:rsidRPr="0010409D">
        <w:rPr>
          <w:rFonts w:ascii="Arial" w:hAnsi="Arial" w:cs="Arial"/>
          <w:color w:val="242424"/>
          <w:spacing w:val="-3"/>
          <w:sz w:val="20"/>
          <w:szCs w:val="20"/>
          <w:shd w:val="clear" w:color="auto" w:fill="FFFFFF"/>
        </w:rPr>
        <w:t xml:space="preserve">a </w:t>
      </w:r>
      <w:r w:rsidR="002C2B2D" w:rsidRPr="0010409D">
        <w:rPr>
          <w:rFonts w:ascii="Arial" w:hAnsi="Arial" w:cs="Arial"/>
          <w:color w:val="242424"/>
          <w:spacing w:val="-3"/>
          <w:sz w:val="20"/>
          <w:szCs w:val="20"/>
          <w:shd w:val="clear" w:color="auto" w:fill="FFFFFF"/>
        </w:rPr>
        <w:t xml:space="preserve">drop of </w:t>
      </w:r>
      <w:r w:rsidRPr="0010409D">
        <w:rPr>
          <w:rFonts w:ascii="Arial" w:hAnsi="Arial" w:cs="Arial"/>
          <w:color w:val="242424"/>
          <w:spacing w:val="-3"/>
          <w:sz w:val="20"/>
          <w:szCs w:val="20"/>
          <w:shd w:val="clear" w:color="auto" w:fill="FFFFFF"/>
        </w:rPr>
        <w:t>20</w:t>
      </w:r>
      <w:r w:rsidR="002C2B2D" w:rsidRPr="0010409D">
        <w:rPr>
          <w:rFonts w:ascii="Arial" w:hAnsi="Arial" w:cs="Arial"/>
          <w:color w:val="242424"/>
          <w:spacing w:val="-3"/>
          <w:sz w:val="20"/>
          <w:szCs w:val="20"/>
          <w:shd w:val="clear" w:color="auto" w:fill="FFFFFF"/>
        </w:rPr>
        <w:t>%</w:t>
      </w:r>
      <w:r w:rsidR="0010409D">
        <w:rPr>
          <w:rFonts w:ascii="Arial" w:hAnsi="Arial" w:cs="Arial"/>
          <w:color w:val="242424"/>
          <w:spacing w:val="-3"/>
          <w:sz w:val="20"/>
          <w:szCs w:val="20"/>
          <w:shd w:val="clear" w:color="auto" w:fill="FFFFFF"/>
        </w:rPr>
        <w:t xml:space="preserve"> from </w:t>
      </w:r>
      <w:r w:rsidR="00D170DD">
        <w:rPr>
          <w:rFonts w:ascii="Arial" w:hAnsi="Arial" w:cs="Arial"/>
          <w:color w:val="242424"/>
          <w:spacing w:val="-3"/>
          <w:sz w:val="20"/>
          <w:szCs w:val="20"/>
          <w:shd w:val="clear" w:color="auto" w:fill="FFFFFF"/>
        </w:rPr>
        <w:t>last</w:t>
      </w:r>
      <w:r w:rsidR="0010409D">
        <w:rPr>
          <w:rFonts w:ascii="Arial" w:hAnsi="Arial" w:cs="Arial"/>
          <w:color w:val="242424"/>
          <w:spacing w:val="-3"/>
          <w:sz w:val="20"/>
          <w:szCs w:val="20"/>
          <w:shd w:val="clear" w:color="auto" w:fill="FFFFFF"/>
        </w:rPr>
        <w:t xml:space="preserve"> peak</w:t>
      </w:r>
      <w:r w:rsidR="002C2B2D" w:rsidRPr="0010409D">
        <w:rPr>
          <w:rFonts w:ascii="Arial" w:hAnsi="Arial" w:cs="Arial"/>
          <w:color w:val="242424"/>
          <w:spacing w:val="-3"/>
          <w:sz w:val="20"/>
          <w:szCs w:val="20"/>
          <w:shd w:val="clear" w:color="auto" w:fill="FFFFFF"/>
        </w:rPr>
        <w:t>)</w:t>
      </w:r>
      <w:r w:rsidR="000C6F98" w:rsidRPr="0010409D">
        <w:rPr>
          <w:rFonts w:ascii="Arial" w:hAnsi="Arial" w:cs="Arial"/>
          <w:iCs/>
          <w:sz w:val="20"/>
          <w:szCs w:val="20"/>
        </w:rPr>
        <w:t>.</w:t>
      </w:r>
      <w:r w:rsidR="00C10389" w:rsidRPr="0010409D">
        <w:rPr>
          <w:rFonts w:ascii="Arial" w:hAnsi="Arial" w:cs="Arial"/>
          <w:iCs/>
          <w:sz w:val="20"/>
          <w:szCs w:val="20"/>
        </w:rPr>
        <w:t xml:space="preserve"> </w:t>
      </w:r>
      <w:r w:rsidR="00D170DD">
        <w:rPr>
          <w:rFonts w:ascii="Arial" w:hAnsi="Arial" w:cs="Arial"/>
          <w:iCs/>
          <w:sz w:val="20"/>
          <w:szCs w:val="20"/>
        </w:rPr>
        <w:t>Despite the pain from the first half of 2022</w:t>
      </w:r>
      <w:r w:rsidRPr="0010409D">
        <w:rPr>
          <w:rFonts w:ascii="Arial" w:hAnsi="Arial" w:cs="Arial"/>
          <w:iCs/>
          <w:sz w:val="20"/>
          <w:szCs w:val="20"/>
        </w:rPr>
        <w:t xml:space="preserve">, US </w:t>
      </w:r>
      <w:r w:rsidR="003B1AE9" w:rsidRPr="0010409D">
        <w:rPr>
          <w:rFonts w:ascii="Arial" w:hAnsi="Arial" w:cs="Arial"/>
          <w:iCs/>
          <w:sz w:val="20"/>
          <w:szCs w:val="20"/>
        </w:rPr>
        <w:t xml:space="preserve">equities </w:t>
      </w:r>
      <w:r w:rsidRPr="0010409D">
        <w:rPr>
          <w:rFonts w:ascii="Arial" w:hAnsi="Arial" w:cs="Arial"/>
          <w:iCs/>
          <w:sz w:val="20"/>
          <w:szCs w:val="20"/>
        </w:rPr>
        <w:t xml:space="preserve">are still up an average of </w:t>
      </w:r>
      <w:r w:rsidR="003B1AE9" w:rsidRPr="0010409D">
        <w:rPr>
          <w:rFonts w:ascii="Arial" w:hAnsi="Arial" w:cs="Arial"/>
          <w:iCs/>
          <w:sz w:val="20"/>
          <w:szCs w:val="20"/>
        </w:rPr>
        <w:t>8.4</w:t>
      </w:r>
      <w:r w:rsidRPr="0010409D">
        <w:rPr>
          <w:rFonts w:ascii="Arial" w:hAnsi="Arial" w:cs="Arial"/>
          <w:iCs/>
          <w:sz w:val="20"/>
          <w:szCs w:val="20"/>
        </w:rPr>
        <w:t>% per year over the last three years</w:t>
      </w:r>
      <w:r w:rsidR="0055528E">
        <w:rPr>
          <w:rFonts w:ascii="Arial" w:hAnsi="Arial" w:cs="Arial"/>
          <w:iCs/>
          <w:sz w:val="20"/>
          <w:szCs w:val="20"/>
        </w:rPr>
        <w:t>.</w:t>
      </w:r>
      <w:r w:rsidR="00A35B06">
        <w:rPr>
          <w:rStyle w:val="EndnoteReference"/>
          <w:rFonts w:ascii="Arial" w:hAnsi="Arial" w:cs="Arial"/>
          <w:iCs/>
          <w:sz w:val="20"/>
          <w:szCs w:val="20"/>
        </w:rPr>
        <w:endnoteReference w:id="2"/>
      </w:r>
      <w:r w:rsidR="007A6091" w:rsidRPr="0010409D">
        <w:rPr>
          <w:rFonts w:ascii="Arial" w:hAnsi="Arial" w:cs="Arial"/>
          <w:iCs/>
          <w:sz w:val="20"/>
          <w:szCs w:val="20"/>
        </w:rPr>
        <w:t xml:space="preserve">  </w:t>
      </w:r>
    </w:p>
    <w:p w14:paraId="2CD014D7" w14:textId="77C9A2F9" w:rsidR="00350C5E" w:rsidRDefault="00D170DD" w:rsidP="00350C5E">
      <w:pPr>
        <w:rPr>
          <w:rFonts w:ascii="Arial" w:hAnsi="Arial" w:cs="Arial"/>
          <w:sz w:val="20"/>
          <w:szCs w:val="20"/>
        </w:rPr>
      </w:pPr>
      <w:r>
        <w:rPr>
          <w:rFonts w:ascii="Arial" w:hAnsi="Arial" w:cs="Arial"/>
          <w:noProof/>
          <w:sz w:val="20"/>
          <w:szCs w:val="20"/>
        </w:rPr>
        <w:drawing>
          <wp:anchor distT="0" distB="0" distL="114300" distR="114300" simplePos="0" relativeHeight="251679744" behindDoc="0" locked="0" layoutInCell="1" allowOverlap="1" wp14:anchorId="34DE9389" wp14:editId="6B28C3B8">
            <wp:simplePos x="0" y="0"/>
            <wp:positionH relativeFrom="column">
              <wp:posOffset>497205</wp:posOffset>
            </wp:positionH>
            <wp:positionV relativeFrom="paragraph">
              <wp:posOffset>138430</wp:posOffset>
            </wp:positionV>
            <wp:extent cx="5810250" cy="3247390"/>
            <wp:effectExtent l="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3247390"/>
                    </a:xfrm>
                    <a:prstGeom prst="rect">
                      <a:avLst/>
                    </a:prstGeom>
                    <a:noFill/>
                  </pic:spPr>
                </pic:pic>
              </a:graphicData>
            </a:graphic>
            <wp14:sizeRelH relativeFrom="margin">
              <wp14:pctWidth>0</wp14:pctWidth>
            </wp14:sizeRelH>
            <wp14:sizeRelV relativeFrom="margin">
              <wp14:pctHeight>0</wp14:pctHeight>
            </wp14:sizeRelV>
          </wp:anchor>
        </w:drawing>
      </w:r>
    </w:p>
    <w:p w14:paraId="4E7A0A68" w14:textId="5DAC8CB3" w:rsidR="00350C5E" w:rsidRDefault="00350C5E" w:rsidP="00350C5E">
      <w:pPr>
        <w:rPr>
          <w:rFonts w:ascii="Arial" w:hAnsi="Arial" w:cs="Arial"/>
          <w:sz w:val="20"/>
          <w:szCs w:val="20"/>
        </w:rPr>
      </w:pPr>
    </w:p>
    <w:p w14:paraId="4EF1B0FF" w14:textId="7035E410" w:rsidR="00350C5E" w:rsidRDefault="00350C5E" w:rsidP="00350C5E">
      <w:pPr>
        <w:rPr>
          <w:rFonts w:ascii="Arial" w:hAnsi="Arial" w:cs="Arial"/>
          <w:sz w:val="20"/>
          <w:szCs w:val="20"/>
        </w:rPr>
      </w:pPr>
    </w:p>
    <w:p w14:paraId="36D59D60" w14:textId="4AE1831A" w:rsidR="00350C5E" w:rsidRDefault="00350C5E" w:rsidP="00350C5E">
      <w:pPr>
        <w:rPr>
          <w:rFonts w:ascii="Arial" w:hAnsi="Arial" w:cs="Arial"/>
          <w:sz w:val="20"/>
          <w:szCs w:val="20"/>
        </w:rPr>
      </w:pPr>
    </w:p>
    <w:p w14:paraId="7F86D6A4" w14:textId="42F8843C" w:rsidR="00350C5E" w:rsidRDefault="00350C5E" w:rsidP="00350C5E">
      <w:pPr>
        <w:rPr>
          <w:rFonts w:ascii="Arial" w:hAnsi="Arial" w:cs="Arial"/>
          <w:sz w:val="20"/>
          <w:szCs w:val="20"/>
        </w:rPr>
      </w:pPr>
    </w:p>
    <w:p w14:paraId="2B5A7EE7" w14:textId="1F0317FA" w:rsidR="00350C5E" w:rsidRDefault="00350C5E" w:rsidP="00350C5E">
      <w:pPr>
        <w:rPr>
          <w:rFonts w:ascii="Arial" w:hAnsi="Arial" w:cs="Arial"/>
          <w:sz w:val="20"/>
          <w:szCs w:val="20"/>
        </w:rPr>
      </w:pPr>
    </w:p>
    <w:p w14:paraId="54BBA0CB" w14:textId="26053080" w:rsidR="00350C5E" w:rsidRDefault="00350C5E" w:rsidP="00350C5E">
      <w:pPr>
        <w:rPr>
          <w:rFonts w:ascii="Arial" w:hAnsi="Arial" w:cs="Arial"/>
          <w:sz w:val="20"/>
          <w:szCs w:val="20"/>
        </w:rPr>
      </w:pPr>
    </w:p>
    <w:p w14:paraId="3022762B" w14:textId="18ED776C" w:rsidR="00350C5E" w:rsidRDefault="00350C5E" w:rsidP="00350C5E">
      <w:pPr>
        <w:rPr>
          <w:rFonts w:ascii="Arial" w:hAnsi="Arial" w:cs="Arial"/>
          <w:sz w:val="20"/>
          <w:szCs w:val="20"/>
        </w:rPr>
      </w:pPr>
    </w:p>
    <w:p w14:paraId="690B2906" w14:textId="746670A2" w:rsidR="00350C5E" w:rsidRDefault="00350C5E" w:rsidP="00350C5E">
      <w:pPr>
        <w:rPr>
          <w:rFonts w:ascii="Arial" w:hAnsi="Arial" w:cs="Arial"/>
          <w:sz w:val="20"/>
          <w:szCs w:val="20"/>
        </w:rPr>
      </w:pPr>
    </w:p>
    <w:p w14:paraId="65FAD300" w14:textId="17D26829" w:rsidR="00350C5E" w:rsidRPr="00350C5E" w:rsidRDefault="00B2167E" w:rsidP="00350C5E">
      <w:pPr>
        <w:rPr>
          <w:rFonts w:ascii="Arial" w:hAnsi="Arial" w:cs="Arial"/>
          <w:sz w:val="20"/>
          <w:szCs w:val="20"/>
        </w:rPr>
      </w:pPr>
      <w:r>
        <w:rPr>
          <w:noProof/>
        </w:rPr>
        <mc:AlternateContent>
          <mc:Choice Requires="wps">
            <w:drawing>
              <wp:anchor distT="0" distB="0" distL="114300" distR="114300" simplePos="0" relativeHeight="251678720" behindDoc="0" locked="0" layoutInCell="1" allowOverlap="1" wp14:anchorId="05C36BC3" wp14:editId="1162B10F">
                <wp:simplePos x="0" y="0"/>
                <wp:positionH relativeFrom="margin">
                  <wp:posOffset>495300</wp:posOffset>
                </wp:positionH>
                <wp:positionV relativeFrom="paragraph">
                  <wp:posOffset>835660</wp:posOffset>
                </wp:positionV>
                <wp:extent cx="4705350" cy="342900"/>
                <wp:effectExtent l="0" t="0" r="0" b="0"/>
                <wp:wrapNone/>
                <wp:docPr id="52" name="TextBox 51">
                  <a:extLst xmlns:a="http://schemas.openxmlformats.org/drawingml/2006/main">
                    <a:ext uri="{FF2B5EF4-FFF2-40B4-BE49-F238E27FC236}">
                      <a16:creationId xmlns:a16="http://schemas.microsoft.com/office/drawing/2014/main" id="{8C22F71A-FED8-4282-8CA0-A68764DC3160}"/>
                    </a:ext>
                  </a:extLst>
                </wp:docPr>
                <wp:cNvGraphicFramePr/>
                <a:graphic xmlns:a="http://schemas.openxmlformats.org/drawingml/2006/main">
                  <a:graphicData uri="http://schemas.microsoft.com/office/word/2010/wordprocessingShape">
                    <wps:wsp>
                      <wps:cNvSpPr txBox="1"/>
                      <wps:spPr>
                        <a:xfrm>
                          <a:off x="0" y="0"/>
                          <a:ext cx="4705350" cy="342900"/>
                        </a:xfrm>
                        <a:prstGeom prst="rect">
                          <a:avLst/>
                        </a:prstGeom>
                        <a:noFill/>
                      </wps:spPr>
                      <wps:txbx>
                        <w:txbxContent>
                          <w:p w14:paraId="58B759A7" w14:textId="4C103D62" w:rsidR="00350C5E" w:rsidRPr="00350C5E" w:rsidRDefault="00350C5E" w:rsidP="00350C5E">
                            <w:pPr>
                              <w:rPr>
                                <w:sz w:val="16"/>
                                <w:szCs w:val="16"/>
                              </w:rPr>
                            </w:pPr>
                            <w:r w:rsidRPr="00350C5E">
                              <w:rPr>
                                <w:rFonts w:ascii="Arial" w:eastAsia="+mn-ea" w:hAnsi="Arial" w:cs="+mn-cs"/>
                                <w:color w:val="000000"/>
                                <w:kern w:val="24"/>
                                <w:sz w:val="16"/>
                                <w:szCs w:val="16"/>
                              </w:rPr>
                              <w:t>Source: Zephyr StyleADVISOR, Standard &amp; Poor’s, FactSet, CNBC, MarketWatch</w:t>
                            </w:r>
                          </w:p>
                        </w:txbxContent>
                      </wps:txbx>
                      <wps:bodyPr wrap="square" lIns="0" rtlCol="0">
                        <a:noAutofit/>
                      </wps:bodyPr>
                    </wps:wsp>
                  </a:graphicData>
                </a:graphic>
                <wp14:sizeRelH relativeFrom="margin">
                  <wp14:pctWidth>0</wp14:pctWidth>
                </wp14:sizeRelH>
                <wp14:sizeRelV relativeFrom="margin">
                  <wp14:pctHeight>0</wp14:pctHeight>
                </wp14:sizeRelV>
              </wp:anchor>
            </w:drawing>
          </mc:Choice>
          <mc:Fallback>
            <w:pict>
              <v:shapetype w14:anchorId="05C36BC3" id="_x0000_t202" coordsize="21600,21600" o:spt="202" path="m,l,21600r21600,l21600,xe">
                <v:stroke joinstyle="miter"/>
                <v:path gradientshapeok="t" o:connecttype="rect"/>
              </v:shapetype>
              <v:shape id="TextBox 51" o:spid="_x0000_s1026" type="#_x0000_t202" style="position:absolute;margin-left:39pt;margin-top:65.8pt;width:370.5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" filled="f" stroked="f">
                <v:textbox inset="0">
                  <w:txbxContent>
                    <w:p w14:paraId="58B759A7" w14:textId="4C103D62" w:rsidR="00350C5E" w:rsidRPr="00350C5E" w:rsidRDefault="00350C5E" w:rsidP="00350C5E">
                      <w:pPr>
                        <w:rPr>
                          <w:sz w:val="16"/>
                          <w:szCs w:val="16"/>
                        </w:rPr>
                      </w:pPr>
                      <w:r w:rsidRPr="00350C5E">
                        <w:rPr>
                          <w:rFonts w:ascii="Arial" w:eastAsia="+mn-ea" w:hAnsi="Arial" w:cs="+mn-cs"/>
                          <w:color w:val="000000"/>
                          <w:kern w:val="24"/>
                          <w:sz w:val="16"/>
                          <w:szCs w:val="16"/>
                        </w:rPr>
                        <w:t>Source: Zephyr StyleADVISOR, Standard &amp; Poor’s, FactSet, CNBC, MarketWatch</w:t>
                      </w:r>
                    </w:p>
                  </w:txbxContent>
                </v:textbox>
                <w10:wrap anchorx="margin"/>
              </v:shape>
            </w:pict>
          </mc:Fallback>
        </mc:AlternateContent>
      </w:r>
    </w:p>
    <w:p w14:paraId="53E2FE62" w14:textId="0D8682CD" w:rsidR="00CA2A62" w:rsidRPr="00042F07" w:rsidRDefault="00CA2A62" w:rsidP="002F0D59">
      <w:pPr>
        <w:pStyle w:val="ListParagraph"/>
        <w:numPr>
          <w:ilvl w:val="0"/>
          <w:numId w:val="3"/>
        </w:numPr>
        <w:rPr>
          <w:rFonts w:ascii="Arial" w:hAnsi="Arial" w:cs="Arial"/>
          <w:iCs/>
          <w:sz w:val="20"/>
          <w:szCs w:val="20"/>
        </w:rPr>
      </w:pPr>
      <w:bookmarkStart w:id="2" w:name="_Hlk84243051"/>
      <w:r w:rsidRPr="00DC2650">
        <w:rPr>
          <w:rFonts w:ascii="Arial" w:hAnsi="Arial" w:cs="Arial"/>
          <w:b/>
          <w:bCs/>
          <w:iCs/>
          <w:sz w:val="20"/>
          <w:szCs w:val="20"/>
        </w:rPr>
        <w:lastRenderedPageBreak/>
        <w:t>Within</w:t>
      </w:r>
      <w:r w:rsidR="00085ABF" w:rsidRPr="00DC2650">
        <w:rPr>
          <w:rFonts w:ascii="Arial" w:hAnsi="Arial" w:cs="Arial"/>
          <w:b/>
          <w:bCs/>
          <w:iCs/>
          <w:sz w:val="20"/>
          <w:szCs w:val="20"/>
        </w:rPr>
        <w:t xml:space="preserve"> </w:t>
      </w:r>
      <w:r w:rsidRPr="00DC2650">
        <w:rPr>
          <w:rFonts w:ascii="Arial" w:hAnsi="Arial" w:cs="Arial"/>
          <w:b/>
          <w:bCs/>
          <w:iCs/>
          <w:sz w:val="20"/>
          <w:szCs w:val="20"/>
        </w:rPr>
        <w:t xml:space="preserve">US </w:t>
      </w:r>
      <w:r w:rsidR="008D7EC8">
        <w:rPr>
          <w:rFonts w:ascii="Arial" w:hAnsi="Arial" w:cs="Arial"/>
          <w:b/>
          <w:bCs/>
          <w:iCs/>
          <w:sz w:val="20"/>
          <w:szCs w:val="20"/>
        </w:rPr>
        <w:t>equities</w:t>
      </w:r>
      <w:r w:rsidR="00085ABF" w:rsidRPr="00DC2650">
        <w:rPr>
          <w:rFonts w:ascii="Arial" w:hAnsi="Arial" w:cs="Arial"/>
          <w:b/>
          <w:bCs/>
          <w:iCs/>
          <w:sz w:val="20"/>
          <w:szCs w:val="20"/>
        </w:rPr>
        <w:t>,</w:t>
      </w:r>
      <w:r w:rsidRPr="00DC2650">
        <w:rPr>
          <w:rFonts w:ascii="Arial" w:hAnsi="Arial" w:cs="Arial"/>
          <w:b/>
          <w:bCs/>
          <w:iCs/>
          <w:sz w:val="20"/>
          <w:szCs w:val="20"/>
        </w:rPr>
        <w:t xml:space="preserve"> </w:t>
      </w:r>
      <w:r w:rsidR="00C42F61">
        <w:rPr>
          <w:rFonts w:ascii="Arial" w:hAnsi="Arial" w:cs="Arial"/>
          <w:b/>
          <w:bCs/>
          <w:iCs/>
          <w:sz w:val="20"/>
          <w:szCs w:val="20"/>
        </w:rPr>
        <w:t>all 11 sectors</w:t>
      </w:r>
      <w:r w:rsidR="009A3768">
        <w:rPr>
          <w:rFonts w:ascii="Arial" w:hAnsi="Arial" w:cs="Arial"/>
          <w:b/>
          <w:bCs/>
          <w:iCs/>
          <w:sz w:val="20"/>
          <w:szCs w:val="20"/>
        </w:rPr>
        <w:t xml:space="preserve"> suffered losses in </w:t>
      </w:r>
      <w:r w:rsidR="00C42F61">
        <w:rPr>
          <w:rFonts w:ascii="Arial" w:hAnsi="Arial" w:cs="Arial"/>
          <w:b/>
          <w:bCs/>
          <w:iCs/>
          <w:sz w:val="20"/>
          <w:szCs w:val="20"/>
        </w:rPr>
        <w:t>2</w:t>
      </w:r>
      <w:r w:rsidR="009A3768">
        <w:rPr>
          <w:rFonts w:ascii="Arial" w:hAnsi="Arial" w:cs="Arial"/>
          <w:b/>
          <w:bCs/>
          <w:iCs/>
          <w:sz w:val="20"/>
          <w:szCs w:val="20"/>
        </w:rPr>
        <w:t>Q22</w:t>
      </w:r>
      <w:r w:rsidRPr="00DC2650">
        <w:rPr>
          <w:rFonts w:ascii="Arial" w:hAnsi="Arial" w:cs="Arial"/>
          <w:b/>
          <w:bCs/>
          <w:iCs/>
          <w:sz w:val="20"/>
          <w:szCs w:val="20"/>
        </w:rPr>
        <w:t>.</w:t>
      </w:r>
      <w:bookmarkEnd w:id="2"/>
      <w:r w:rsidR="009E79CF">
        <w:rPr>
          <w:rFonts w:ascii="Arial" w:hAnsi="Arial" w:cs="Arial"/>
          <w:b/>
          <w:bCs/>
          <w:iCs/>
          <w:sz w:val="20"/>
          <w:szCs w:val="20"/>
        </w:rPr>
        <w:t xml:space="preserve"> </w:t>
      </w:r>
      <w:r w:rsidR="00965F92" w:rsidRPr="00965F92">
        <w:rPr>
          <w:rFonts w:ascii="Arial" w:hAnsi="Arial" w:cs="Arial"/>
          <w:iCs/>
          <w:sz w:val="20"/>
          <w:szCs w:val="20"/>
        </w:rPr>
        <w:t>Amid recession fears,</w:t>
      </w:r>
      <w:r w:rsidR="00965F92">
        <w:rPr>
          <w:rFonts w:ascii="Arial" w:hAnsi="Arial" w:cs="Arial"/>
          <w:b/>
          <w:bCs/>
          <w:iCs/>
          <w:sz w:val="20"/>
          <w:szCs w:val="20"/>
        </w:rPr>
        <w:t xml:space="preserve"> </w:t>
      </w:r>
      <w:r w:rsidR="00C42F61" w:rsidRPr="00C42F61">
        <w:rPr>
          <w:rFonts w:ascii="Arial" w:hAnsi="Arial" w:cs="Arial"/>
          <w:iCs/>
          <w:sz w:val="20"/>
          <w:szCs w:val="20"/>
        </w:rPr>
        <w:t xml:space="preserve">Consumer </w:t>
      </w:r>
      <w:proofErr w:type="gramStart"/>
      <w:r w:rsidR="00C42F61" w:rsidRPr="00C42F61">
        <w:rPr>
          <w:rFonts w:ascii="Arial" w:hAnsi="Arial" w:cs="Arial"/>
          <w:iCs/>
          <w:sz w:val="20"/>
          <w:szCs w:val="20"/>
        </w:rPr>
        <w:t>Staples</w:t>
      </w:r>
      <w:proofErr w:type="gramEnd"/>
      <w:r w:rsidR="00C42F61" w:rsidRPr="00C42F61">
        <w:rPr>
          <w:rFonts w:ascii="Arial" w:hAnsi="Arial" w:cs="Arial"/>
          <w:iCs/>
          <w:sz w:val="20"/>
          <w:szCs w:val="20"/>
        </w:rPr>
        <w:t xml:space="preserve"> and</w:t>
      </w:r>
      <w:r w:rsidR="00C42F61">
        <w:rPr>
          <w:rFonts w:ascii="Arial" w:hAnsi="Arial" w:cs="Arial"/>
          <w:b/>
          <w:bCs/>
          <w:iCs/>
          <w:sz w:val="20"/>
          <w:szCs w:val="20"/>
        </w:rPr>
        <w:t xml:space="preserve"> </w:t>
      </w:r>
      <w:r w:rsidR="00C7470C">
        <w:rPr>
          <w:rFonts w:ascii="Arial" w:hAnsi="Arial" w:cs="Arial"/>
          <w:sz w:val="20"/>
          <w:szCs w:val="20"/>
        </w:rPr>
        <w:t>Utilities</w:t>
      </w:r>
      <w:r w:rsidR="008D79E6">
        <w:rPr>
          <w:rFonts w:ascii="Arial" w:hAnsi="Arial" w:cs="Arial"/>
          <w:sz w:val="20"/>
          <w:szCs w:val="20"/>
        </w:rPr>
        <w:t>,</w:t>
      </w:r>
      <w:r w:rsidR="00C7470C">
        <w:rPr>
          <w:rFonts w:ascii="Arial" w:hAnsi="Arial" w:cs="Arial"/>
          <w:sz w:val="20"/>
          <w:szCs w:val="20"/>
        </w:rPr>
        <w:t xml:space="preserve"> often considered defensive</w:t>
      </w:r>
      <w:r w:rsidR="007B5507">
        <w:rPr>
          <w:rFonts w:ascii="Arial" w:hAnsi="Arial" w:cs="Arial"/>
          <w:sz w:val="20"/>
          <w:szCs w:val="20"/>
        </w:rPr>
        <w:t xml:space="preserve"> sector</w:t>
      </w:r>
      <w:r w:rsidR="00C42F61">
        <w:rPr>
          <w:rFonts w:ascii="Arial" w:hAnsi="Arial" w:cs="Arial"/>
          <w:sz w:val="20"/>
          <w:szCs w:val="20"/>
        </w:rPr>
        <w:t>s</w:t>
      </w:r>
      <w:r w:rsidR="00C7470C">
        <w:rPr>
          <w:rFonts w:ascii="Arial" w:hAnsi="Arial" w:cs="Arial"/>
          <w:sz w:val="20"/>
          <w:szCs w:val="20"/>
        </w:rPr>
        <w:t xml:space="preserve">, </w:t>
      </w:r>
      <w:r w:rsidR="00C42F61">
        <w:rPr>
          <w:rFonts w:ascii="Arial" w:hAnsi="Arial" w:cs="Arial"/>
          <w:sz w:val="20"/>
          <w:szCs w:val="20"/>
        </w:rPr>
        <w:t>suffered the least</w:t>
      </w:r>
      <w:r w:rsidR="00D92610">
        <w:rPr>
          <w:rFonts w:ascii="Arial" w:hAnsi="Arial" w:cs="Arial"/>
          <w:sz w:val="20"/>
          <w:szCs w:val="20"/>
        </w:rPr>
        <w:t xml:space="preserve"> at -</w:t>
      </w:r>
      <w:r w:rsidR="00C42F61">
        <w:rPr>
          <w:rFonts w:ascii="Arial" w:hAnsi="Arial" w:cs="Arial"/>
          <w:sz w:val="20"/>
          <w:szCs w:val="20"/>
        </w:rPr>
        <w:t>4.6% and -5.1% respectively</w:t>
      </w:r>
      <w:r w:rsidR="002F0D59">
        <w:rPr>
          <w:rFonts w:ascii="Arial" w:hAnsi="Arial" w:cs="Arial"/>
          <w:sz w:val="20"/>
          <w:szCs w:val="20"/>
        </w:rPr>
        <w:t>.</w:t>
      </w:r>
      <w:r w:rsidR="009E79CF">
        <w:rPr>
          <w:rFonts w:ascii="Arial" w:hAnsi="Arial" w:cs="Arial"/>
          <w:sz w:val="20"/>
          <w:szCs w:val="20"/>
        </w:rPr>
        <w:t xml:space="preserve"> </w:t>
      </w:r>
      <w:r w:rsidR="00965F92">
        <w:rPr>
          <w:rFonts w:ascii="Arial" w:hAnsi="Arial" w:cs="Arial"/>
          <w:sz w:val="20"/>
          <w:szCs w:val="20"/>
        </w:rPr>
        <w:t>On the other hand, growth-oriented</w:t>
      </w:r>
      <w:r w:rsidR="00D92610">
        <w:rPr>
          <w:rFonts w:ascii="Arial" w:hAnsi="Arial" w:cs="Arial"/>
          <w:sz w:val="20"/>
          <w:szCs w:val="20"/>
        </w:rPr>
        <w:t xml:space="preserve"> t</w:t>
      </w:r>
      <w:r w:rsidR="007B5507">
        <w:rPr>
          <w:rFonts w:ascii="Arial" w:hAnsi="Arial" w:cs="Arial"/>
          <w:sz w:val="20"/>
          <w:szCs w:val="20"/>
        </w:rPr>
        <w:t>echnology</w:t>
      </w:r>
      <w:r w:rsidR="0092380D">
        <w:rPr>
          <w:rFonts w:ascii="Arial" w:hAnsi="Arial" w:cs="Arial"/>
          <w:sz w:val="20"/>
          <w:szCs w:val="20"/>
        </w:rPr>
        <w:t>-</w:t>
      </w:r>
      <w:r w:rsidR="00C42F61">
        <w:rPr>
          <w:rFonts w:ascii="Arial" w:hAnsi="Arial" w:cs="Arial"/>
          <w:sz w:val="20"/>
          <w:szCs w:val="20"/>
        </w:rPr>
        <w:t xml:space="preserve">related sectors like Communication Services and </w:t>
      </w:r>
      <w:r w:rsidR="00585578">
        <w:rPr>
          <w:rFonts w:ascii="Arial" w:hAnsi="Arial" w:cs="Arial"/>
          <w:sz w:val="20"/>
          <w:szCs w:val="20"/>
        </w:rPr>
        <w:t>Consumer Discretionary</w:t>
      </w:r>
      <w:r w:rsidR="00D92610">
        <w:rPr>
          <w:rFonts w:ascii="Arial" w:hAnsi="Arial" w:cs="Arial"/>
          <w:sz w:val="20"/>
          <w:szCs w:val="20"/>
        </w:rPr>
        <w:t>, were the worst performers at</w:t>
      </w:r>
      <w:r w:rsidR="00C42F61">
        <w:rPr>
          <w:rFonts w:ascii="Arial" w:hAnsi="Arial" w:cs="Arial"/>
          <w:sz w:val="20"/>
          <w:szCs w:val="20"/>
        </w:rPr>
        <w:t xml:space="preserve"> -20.</w:t>
      </w:r>
      <w:r w:rsidR="007F5759">
        <w:rPr>
          <w:rFonts w:ascii="Arial" w:hAnsi="Arial" w:cs="Arial"/>
          <w:sz w:val="20"/>
          <w:szCs w:val="20"/>
        </w:rPr>
        <w:t>7% and -26.2% respectively</w:t>
      </w:r>
      <w:r w:rsidR="007B5507">
        <w:rPr>
          <w:rFonts w:ascii="Arial" w:hAnsi="Arial" w:cs="Arial"/>
          <w:sz w:val="20"/>
          <w:szCs w:val="20"/>
        </w:rPr>
        <w:t>.</w:t>
      </w:r>
      <w:r w:rsidR="009E79CF">
        <w:rPr>
          <w:rFonts w:ascii="Arial" w:hAnsi="Arial" w:cs="Arial"/>
          <w:sz w:val="20"/>
          <w:szCs w:val="20"/>
        </w:rPr>
        <w:t xml:space="preserve"> </w:t>
      </w:r>
      <w:r w:rsidR="00DE2A0C">
        <w:rPr>
          <w:rFonts w:ascii="Arial" w:hAnsi="Arial" w:cs="Arial"/>
          <w:sz w:val="20"/>
          <w:szCs w:val="20"/>
        </w:rPr>
        <w:t>Energy is the only sector with positive returns of 31.8% for the year despite losses of 5.2% in the quarter.</w:t>
      </w:r>
    </w:p>
    <w:p w14:paraId="72166649" w14:textId="77777777" w:rsidR="00DC2650" w:rsidRPr="00DC2650" w:rsidRDefault="00DC2650" w:rsidP="00DC2650">
      <w:pPr>
        <w:pStyle w:val="ListParagraph"/>
        <w:ind w:left="1440"/>
        <w:rPr>
          <w:rFonts w:ascii="Arial" w:hAnsi="Arial" w:cs="Arial"/>
          <w:iCs/>
          <w:sz w:val="20"/>
          <w:szCs w:val="20"/>
        </w:rPr>
      </w:pPr>
    </w:p>
    <w:p w14:paraId="3822CA92" w14:textId="6F9DD830" w:rsidR="002E5339" w:rsidRPr="00AE3FA3" w:rsidRDefault="007F5759" w:rsidP="00564559">
      <w:pPr>
        <w:pStyle w:val="ListParagraph"/>
        <w:numPr>
          <w:ilvl w:val="0"/>
          <w:numId w:val="3"/>
        </w:numPr>
        <w:rPr>
          <w:rFonts w:ascii="Arial" w:hAnsi="Arial" w:cs="Arial"/>
          <w:iCs/>
          <w:sz w:val="20"/>
          <w:szCs w:val="20"/>
        </w:rPr>
      </w:pPr>
      <w:bookmarkStart w:id="3" w:name="_Hlk84243081"/>
      <w:r>
        <w:rPr>
          <w:rFonts w:ascii="Arial" w:hAnsi="Arial" w:cs="Arial"/>
          <w:b/>
          <w:bCs/>
          <w:iCs/>
          <w:sz w:val="20"/>
          <w:szCs w:val="20"/>
        </w:rPr>
        <w:t>R</w:t>
      </w:r>
      <w:r w:rsidR="00E70BFB">
        <w:rPr>
          <w:rFonts w:ascii="Arial" w:hAnsi="Arial" w:cs="Arial"/>
          <w:b/>
          <w:bCs/>
          <w:iCs/>
          <w:sz w:val="20"/>
          <w:szCs w:val="20"/>
        </w:rPr>
        <w:t>ising interest rates</w:t>
      </w:r>
      <w:r>
        <w:rPr>
          <w:rFonts w:ascii="Arial" w:hAnsi="Arial" w:cs="Arial"/>
          <w:b/>
          <w:bCs/>
          <w:iCs/>
          <w:sz w:val="20"/>
          <w:szCs w:val="20"/>
        </w:rPr>
        <w:t xml:space="preserve"> continued to</w:t>
      </w:r>
      <w:r w:rsidR="00E70BFB">
        <w:rPr>
          <w:rFonts w:ascii="Arial" w:hAnsi="Arial" w:cs="Arial"/>
          <w:b/>
          <w:bCs/>
          <w:iCs/>
          <w:sz w:val="20"/>
          <w:szCs w:val="20"/>
        </w:rPr>
        <w:t xml:space="preserve"> </w:t>
      </w:r>
      <w:r w:rsidR="00BA0BB5">
        <w:rPr>
          <w:rFonts w:ascii="Arial" w:hAnsi="Arial" w:cs="Arial"/>
          <w:b/>
          <w:bCs/>
          <w:iCs/>
          <w:sz w:val="20"/>
          <w:szCs w:val="20"/>
        </w:rPr>
        <w:t>hurt</w:t>
      </w:r>
      <w:r w:rsidR="00E70BFB">
        <w:rPr>
          <w:rFonts w:ascii="Arial" w:hAnsi="Arial" w:cs="Arial"/>
          <w:b/>
          <w:bCs/>
          <w:iCs/>
          <w:sz w:val="20"/>
          <w:szCs w:val="20"/>
        </w:rPr>
        <w:t xml:space="preserve"> growth </w:t>
      </w:r>
      <w:r w:rsidR="005817B5">
        <w:rPr>
          <w:rFonts w:ascii="Arial" w:hAnsi="Arial" w:cs="Arial"/>
          <w:b/>
          <w:bCs/>
          <w:iCs/>
          <w:sz w:val="20"/>
          <w:szCs w:val="20"/>
        </w:rPr>
        <w:t>stocks</w:t>
      </w:r>
      <w:r w:rsidR="00E70BFB">
        <w:rPr>
          <w:rFonts w:ascii="Arial" w:hAnsi="Arial" w:cs="Arial"/>
          <w:b/>
          <w:bCs/>
          <w:iCs/>
          <w:sz w:val="20"/>
          <w:szCs w:val="20"/>
        </w:rPr>
        <w:t xml:space="preserve">. </w:t>
      </w:r>
      <w:r w:rsidR="009E79CF" w:rsidRPr="00E375AF">
        <w:rPr>
          <w:rFonts w:ascii="Arial" w:hAnsi="Arial" w:cs="Arial"/>
          <w:iCs/>
          <w:sz w:val="20"/>
          <w:szCs w:val="20"/>
        </w:rPr>
        <w:t xml:space="preserve">Growth stocks are often synonymous with the high-flying </w:t>
      </w:r>
      <w:r w:rsidR="009E79CF">
        <w:rPr>
          <w:rFonts w:ascii="Arial" w:hAnsi="Arial" w:cs="Arial"/>
          <w:iCs/>
          <w:sz w:val="20"/>
          <w:szCs w:val="20"/>
        </w:rPr>
        <w:t xml:space="preserve">companies in </w:t>
      </w:r>
      <w:r w:rsidR="009E79CF" w:rsidRPr="00E375AF">
        <w:rPr>
          <w:rFonts w:ascii="Arial" w:hAnsi="Arial" w:cs="Arial"/>
          <w:iCs/>
          <w:sz w:val="20"/>
          <w:szCs w:val="20"/>
        </w:rPr>
        <w:t xml:space="preserve">the markets like technology while value stocks are often considered </w:t>
      </w:r>
      <w:r w:rsidR="009E79CF">
        <w:rPr>
          <w:rFonts w:ascii="Arial" w:hAnsi="Arial" w:cs="Arial"/>
          <w:iCs/>
          <w:sz w:val="20"/>
          <w:szCs w:val="20"/>
        </w:rPr>
        <w:t>undervalued, steady</w:t>
      </w:r>
      <w:r w:rsidR="00935F62">
        <w:rPr>
          <w:rFonts w:ascii="Arial" w:hAnsi="Arial" w:cs="Arial"/>
          <w:iCs/>
          <w:sz w:val="20"/>
          <w:szCs w:val="20"/>
        </w:rPr>
        <w:t>,</w:t>
      </w:r>
      <w:r w:rsidR="009E79CF">
        <w:rPr>
          <w:rFonts w:ascii="Arial" w:hAnsi="Arial" w:cs="Arial"/>
          <w:iCs/>
          <w:sz w:val="20"/>
          <w:szCs w:val="20"/>
        </w:rPr>
        <w:t xml:space="preserve"> and</w:t>
      </w:r>
      <w:r w:rsidR="009E79CF" w:rsidRPr="00E375AF">
        <w:rPr>
          <w:rFonts w:ascii="Arial" w:hAnsi="Arial" w:cs="Arial"/>
          <w:iCs/>
          <w:sz w:val="20"/>
          <w:szCs w:val="20"/>
        </w:rPr>
        <w:t xml:space="preserve"> sometimes</w:t>
      </w:r>
      <w:r w:rsidR="009E79CF">
        <w:rPr>
          <w:rFonts w:ascii="Arial" w:hAnsi="Arial" w:cs="Arial"/>
          <w:iCs/>
          <w:sz w:val="20"/>
          <w:szCs w:val="20"/>
        </w:rPr>
        <w:t xml:space="preserve"> even</w:t>
      </w:r>
      <w:r w:rsidR="009E79CF" w:rsidRPr="00E375AF">
        <w:rPr>
          <w:rFonts w:ascii="Arial" w:hAnsi="Arial" w:cs="Arial"/>
          <w:iCs/>
          <w:sz w:val="20"/>
          <w:szCs w:val="20"/>
        </w:rPr>
        <w:t xml:space="preserve"> boring</w:t>
      </w:r>
      <w:r w:rsidR="009E79CF">
        <w:rPr>
          <w:rFonts w:ascii="Arial" w:hAnsi="Arial" w:cs="Arial"/>
          <w:iCs/>
          <w:sz w:val="20"/>
          <w:szCs w:val="20"/>
        </w:rPr>
        <w:t>. T</w:t>
      </w:r>
      <w:r w:rsidR="009E79CF" w:rsidRPr="00AE3FA3">
        <w:rPr>
          <w:rFonts w:ascii="Arial" w:hAnsi="Arial" w:cs="Arial"/>
          <w:iCs/>
          <w:sz w:val="20"/>
          <w:szCs w:val="20"/>
        </w:rPr>
        <w:t>he gap</w:t>
      </w:r>
      <w:r w:rsidR="009E79CF">
        <w:rPr>
          <w:rFonts w:ascii="Arial" w:hAnsi="Arial" w:cs="Arial"/>
          <w:iCs/>
          <w:sz w:val="20"/>
          <w:szCs w:val="20"/>
        </w:rPr>
        <w:t xml:space="preserve"> in performance</w:t>
      </w:r>
      <w:r w:rsidR="009E79CF" w:rsidRPr="00AE3FA3">
        <w:rPr>
          <w:rFonts w:ascii="Arial" w:hAnsi="Arial" w:cs="Arial"/>
          <w:iCs/>
          <w:sz w:val="20"/>
          <w:szCs w:val="20"/>
        </w:rPr>
        <w:t xml:space="preserve"> between value and growth stocks across size and style was stark and was significantly in favor of </w:t>
      </w:r>
      <w:r w:rsidR="009E79CF">
        <w:rPr>
          <w:rFonts w:ascii="Arial" w:hAnsi="Arial" w:cs="Arial"/>
          <w:iCs/>
          <w:sz w:val="20"/>
          <w:szCs w:val="20"/>
        </w:rPr>
        <w:t xml:space="preserve">larger and </w:t>
      </w:r>
      <w:r w:rsidR="009E79CF" w:rsidRPr="00AE3FA3">
        <w:rPr>
          <w:rFonts w:ascii="Arial" w:hAnsi="Arial" w:cs="Arial"/>
          <w:iCs/>
          <w:sz w:val="20"/>
          <w:szCs w:val="20"/>
        </w:rPr>
        <w:t>value</w:t>
      </w:r>
      <w:r w:rsidR="009E79CF">
        <w:rPr>
          <w:rFonts w:ascii="Arial" w:hAnsi="Arial" w:cs="Arial"/>
          <w:iCs/>
          <w:sz w:val="20"/>
          <w:szCs w:val="20"/>
        </w:rPr>
        <w:t>-oriented segments as investors have sought safety amid looming uncertainties</w:t>
      </w:r>
      <w:r w:rsidR="009E79CF" w:rsidRPr="00AE3FA3">
        <w:rPr>
          <w:rFonts w:ascii="Arial" w:hAnsi="Arial" w:cs="Arial"/>
          <w:iCs/>
          <w:sz w:val="20"/>
          <w:szCs w:val="20"/>
        </w:rPr>
        <w:t xml:space="preserve">. Large cap value stocks outperformed large </w:t>
      </w:r>
      <w:r w:rsidR="009E79CF">
        <w:rPr>
          <w:rFonts w:ascii="Arial" w:hAnsi="Arial" w:cs="Arial"/>
          <w:iCs/>
          <w:sz w:val="20"/>
          <w:szCs w:val="20"/>
        </w:rPr>
        <w:t xml:space="preserve">cap </w:t>
      </w:r>
      <w:r w:rsidR="009E79CF" w:rsidRPr="00AE3FA3">
        <w:rPr>
          <w:rFonts w:ascii="Arial" w:hAnsi="Arial" w:cs="Arial"/>
          <w:iCs/>
          <w:sz w:val="20"/>
          <w:szCs w:val="20"/>
        </w:rPr>
        <w:t>growth by 8.</w:t>
      </w:r>
      <w:r w:rsidR="009E79CF">
        <w:rPr>
          <w:rFonts w:ascii="Arial" w:hAnsi="Arial" w:cs="Arial"/>
          <w:iCs/>
          <w:sz w:val="20"/>
          <w:szCs w:val="20"/>
        </w:rPr>
        <w:t>7</w:t>
      </w:r>
      <w:r w:rsidR="009E79CF" w:rsidRPr="00AE3FA3">
        <w:rPr>
          <w:rFonts w:ascii="Arial" w:hAnsi="Arial" w:cs="Arial"/>
          <w:iCs/>
          <w:sz w:val="20"/>
          <w:szCs w:val="20"/>
        </w:rPr>
        <w:t>%</w:t>
      </w:r>
      <w:r w:rsidR="009E79CF">
        <w:rPr>
          <w:rFonts w:ascii="Arial" w:hAnsi="Arial" w:cs="Arial"/>
          <w:iCs/>
          <w:sz w:val="20"/>
          <w:szCs w:val="20"/>
        </w:rPr>
        <w:t xml:space="preserve"> for the quarter and over 15% for the year</w:t>
      </w:r>
      <w:r w:rsidR="009E79CF" w:rsidRPr="00AE3FA3">
        <w:rPr>
          <w:rFonts w:ascii="Arial" w:hAnsi="Arial" w:cs="Arial"/>
          <w:iCs/>
          <w:sz w:val="20"/>
          <w:szCs w:val="20"/>
        </w:rPr>
        <w:t xml:space="preserve">.  </w:t>
      </w:r>
      <w:r w:rsidR="009E79CF">
        <w:rPr>
          <w:rFonts w:ascii="Arial" w:hAnsi="Arial" w:cs="Arial"/>
          <w:iCs/>
          <w:sz w:val="20"/>
          <w:szCs w:val="20"/>
        </w:rPr>
        <w:t xml:space="preserve"> </w:t>
      </w:r>
      <w:r w:rsidR="00AE3FA3" w:rsidRPr="00AE3FA3">
        <w:rPr>
          <w:rFonts w:ascii="Arial" w:hAnsi="Arial" w:cs="Arial"/>
          <w:iCs/>
          <w:sz w:val="20"/>
          <w:szCs w:val="20"/>
        </w:rPr>
        <w:t xml:space="preserve">  </w:t>
      </w:r>
      <w:r w:rsidR="00AE3FA3">
        <w:rPr>
          <w:rFonts w:ascii="Arial" w:hAnsi="Arial" w:cs="Arial"/>
          <w:iCs/>
          <w:sz w:val="20"/>
          <w:szCs w:val="20"/>
        </w:rPr>
        <w:t xml:space="preserve"> </w:t>
      </w:r>
      <w:bookmarkEnd w:id="3"/>
    </w:p>
    <w:p w14:paraId="5A40AC3A" w14:textId="286BB953" w:rsidR="009A3768" w:rsidRPr="009A3768" w:rsidRDefault="009A3768" w:rsidP="009A3768">
      <w:pPr>
        <w:pStyle w:val="ListParagraph"/>
        <w:rPr>
          <w:rFonts w:ascii="Arial" w:hAnsi="Arial" w:cs="Arial"/>
          <w:b/>
          <w:bCs/>
          <w:iCs/>
          <w:sz w:val="20"/>
          <w:szCs w:val="20"/>
        </w:rPr>
      </w:pPr>
    </w:p>
    <w:p w14:paraId="35665A73" w14:textId="51662B82" w:rsidR="008106A5" w:rsidRPr="008106A5" w:rsidRDefault="00D92610" w:rsidP="00EE51D2">
      <w:pPr>
        <w:pStyle w:val="ListParagraph"/>
        <w:numPr>
          <w:ilvl w:val="0"/>
          <w:numId w:val="3"/>
        </w:numPr>
        <w:rPr>
          <w:rFonts w:ascii="Arial" w:hAnsi="Arial" w:cs="Arial"/>
          <w:b/>
          <w:bCs/>
          <w:iCs/>
          <w:sz w:val="20"/>
          <w:szCs w:val="20"/>
        </w:rPr>
      </w:pPr>
      <w:r w:rsidRPr="008106A5">
        <w:rPr>
          <w:rFonts w:ascii="Arial" w:hAnsi="Arial" w:cs="Arial"/>
          <w:b/>
          <w:bCs/>
          <w:iCs/>
          <w:sz w:val="20"/>
          <w:szCs w:val="20"/>
        </w:rPr>
        <w:t>I</w:t>
      </w:r>
      <w:r w:rsidR="004C4F52" w:rsidRPr="008106A5">
        <w:rPr>
          <w:rFonts w:ascii="Arial" w:hAnsi="Arial" w:cs="Arial"/>
          <w:b/>
          <w:bCs/>
          <w:iCs/>
          <w:sz w:val="20"/>
          <w:szCs w:val="20"/>
        </w:rPr>
        <w:t xml:space="preserve">nternational </w:t>
      </w:r>
      <w:r w:rsidR="00C3563C" w:rsidRPr="008106A5">
        <w:rPr>
          <w:rFonts w:ascii="Arial" w:hAnsi="Arial" w:cs="Arial"/>
          <w:b/>
          <w:bCs/>
          <w:iCs/>
          <w:sz w:val="20"/>
          <w:szCs w:val="20"/>
        </w:rPr>
        <w:t>equities</w:t>
      </w:r>
      <w:r w:rsidRPr="008106A5">
        <w:rPr>
          <w:rFonts w:ascii="Arial" w:hAnsi="Arial" w:cs="Arial"/>
          <w:b/>
          <w:bCs/>
          <w:iCs/>
          <w:sz w:val="20"/>
          <w:szCs w:val="20"/>
        </w:rPr>
        <w:t xml:space="preserve"> fared better than US equities in 2Q22</w:t>
      </w:r>
      <w:r w:rsidR="00965F92" w:rsidRPr="008106A5">
        <w:rPr>
          <w:rFonts w:ascii="Arial" w:hAnsi="Arial" w:cs="Arial"/>
          <w:b/>
          <w:bCs/>
          <w:iCs/>
          <w:sz w:val="20"/>
          <w:szCs w:val="20"/>
        </w:rPr>
        <w:t xml:space="preserve"> despite the ongoing war in Ukraine and China’s economic toll from zero </w:t>
      </w:r>
      <w:r w:rsidR="00A35B06">
        <w:rPr>
          <w:rFonts w:ascii="Arial" w:hAnsi="Arial" w:cs="Arial"/>
          <w:b/>
          <w:bCs/>
          <w:iCs/>
          <w:sz w:val="20"/>
          <w:szCs w:val="20"/>
        </w:rPr>
        <w:t>COVID</w:t>
      </w:r>
      <w:r w:rsidR="00965F92" w:rsidRPr="008106A5">
        <w:rPr>
          <w:rFonts w:ascii="Arial" w:hAnsi="Arial" w:cs="Arial"/>
          <w:b/>
          <w:bCs/>
          <w:iCs/>
          <w:sz w:val="20"/>
          <w:szCs w:val="20"/>
        </w:rPr>
        <w:t xml:space="preserve"> policy</w:t>
      </w:r>
      <w:r w:rsidRPr="008106A5">
        <w:rPr>
          <w:rFonts w:ascii="Arial" w:hAnsi="Arial" w:cs="Arial"/>
          <w:b/>
          <w:bCs/>
          <w:iCs/>
          <w:sz w:val="20"/>
          <w:szCs w:val="20"/>
        </w:rPr>
        <w:t>.</w:t>
      </w:r>
      <w:r w:rsidR="004C4F52" w:rsidRPr="008106A5">
        <w:rPr>
          <w:rFonts w:ascii="Arial" w:hAnsi="Arial" w:cs="Arial"/>
          <w:b/>
          <w:bCs/>
          <w:iCs/>
          <w:sz w:val="20"/>
          <w:szCs w:val="20"/>
        </w:rPr>
        <w:t xml:space="preserve"> </w:t>
      </w:r>
      <w:r w:rsidR="00965F92" w:rsidRPr="00A35B06">
        <w:rPr>
          <w:rFonts w:ascii="Arial" w:hAnsi="Arial" w:cs="Arial"/>
          <w:iCs/>
          <w:sz w:val="20"/>
          <w:szCs w:val="20"/>
        </w:rPr>
        <w:t xml:space="preserve">Developed </w:t>
      </w:r>
      <w:r w:rsidR="008106A5" w:rsidRPr="00A35B06">
        <w:rPr>
          <w:rFonts w:ascii="Arial" w:hAnsi="Arial" w:cs="Arial"/>
          <w:iCs/>
          <w:sz w:val="20"/>
          <w:szCs w:val="20"/>
        </w:rPr>
        <w:t>international</w:t>
      </w:r>
      <w:r w:rsidR="00A3005B">
        <w:rPr>
          <w:rFonts w:ascii="Arial" w:hAnsi="Arial" w:cs="Arial"/>
          <w:iCs/>
          <w:sz w:val="20"/>
          <w:szCs w:val="20"/>
        </w:rPr>
        <w:t xml:space="preserve"> and</w:t>
      </w:r>
      <w:r w:rsidR="009424B0">
        <w:rPr>
          <w:rFonts w:ascii="Arial" w:hAnsi="Arial" w:cs="Arial"/>
          <w:iCs/>
          <w:sz w:val="20"/>
          <w:szCs w:val="20"/>
        </w:rPr>
        <w:t xml:space="preserve"> </w:t>
      </w:r>
      <w:r w:rsidR="008106A5" w:rsidRPr="00A35B06">
        <w:rPr>
          <w:rFonts w:ascii="Arial" w:hAnsi="Arial" w:cs="Arial"/>
          <w:iCs/>
          <w:sz w:val="20"/>
          <w:szCs w:val="20"/>
        </w:rPr>
        <w:t>emerging</w:t>
      </w:r>
      <w:r w:rsidR="004C4F52" w:rsidRPr="00A35B06">
        <w:rPr>
          <w:rFonts w:ascii="Arial" w:hAnsi="Arial" w:cs="Arial"/>
          <w:iCs/>
          <w:sz w:val="20"/>
          <w:szCs w:val="20"/>
        </w:rPr>
        <w:t xml:space="preserve"> markets</w:t>
      </w:r>
      <w:r w:rsidR="00C3563C" w:rsidRPr="00A35B06">
        <w:rPr>
          <w:rFonts w:ascii="Arial" w:hAnsi="Arial" w:cs="Arial"/>
          <w:iCs/>
          <w:sz w:val="20"/>
          <w:szCs w:val="20"/>
        </w:rPr>
        <w:t xml:space="preserve"> </w:t>
      </w:r>
      <w:r w:rsidR="00362ADF" w:rsidRPr="00A35B06">
        <w:rPr>
          <w:rFonts w:ascii="Arial" w:hAnsi="Arial" w:cs="Arial"/>
          <w:iCs/>
          <w:sz w:val="20"/>
          <w:szCs w:val="20"/>
        </w:rPr>
        <w:t xml:space="preserve">ended 2Q22 </w:t>
      </w:r>
      <w:r w:rsidR="00C3563C" w:rsidRPr="00A35B06">
        <w:rPr>
          <w:rFonts w:ascii="Arial" w:hAnsi="Arial" w:cs="Arial"/>
          <w:iCs/>
          <w:sz w:val="20"/>
          <w:szCs w:val="20"/>
        </w:rPr>
        <w:t>at -14.3</w:t>
      </w:r>
      <w:r w:rsidR="004C4F52" w:rsidRPr="00A35B06">
        <w:rPr>
          <w:rFonts w:ascii="Arial" w:hAnsi="Arial" w:cs="Arial"/>
          <w:iCs/>
          <w:sz w:val="20"/>
          <w:szCs w:val="20"/>
        </w:rPr>
        <w:t xml:space="preserve"> %</w:t>
      </w:r>
      <w:r w:rsidR="00965F92" w:rsidRPr="00A35B06">
        <w:rPr>
          <w:rFonts w:ascii="Arial" w:hAnsi="Arial" w:cs="Arial"/>
          <w:iCs/>
          <w:sz w:val="20"/>
          <w:szCs w:val="20"/>
        </w:rPr>
        <w:t xml:space="preserve"> and</w:t>
      </w:r>
      <w:r w:rsidR="004C4F52" w:rsidRPr="00A35B06">
        <w:rPr>
          <w:rFonts w:ascii="Arial" w:hAnsi="Arial" w:cs="Arial"/>
          <w:iCs/>
          <w:sz w:val="20"/>
          <w:szCs w:val="20"/>
        </w:rPr>
        <w:t xml:space="preserve"> </w:t>
      </w:r>
      <w:r w:rsidR="00C3563C" w:rsidRPr="00A35B06">
        <w:rPr>
          <w:rFonts w:ascii="Arial" w:hAnsi="Arial" w:cs="Arial"/>
          <w:iCs/>
          <w:sz w:val="20"/>
          <w:szCs w:val="20"/>
        </w:rPr>
        <w:t>-11.3</w:t>
      </w:r>
      <w:r w:rsidR="004C4F52" w:rsidRPr="00A35B06">
        <w:rPr>
          <w:rFonts w:ascii="Arial" w:hAnsi="Arial" w:cs="Arial"/>
          <w:iCs/>
          <w:sz w:val="20"/>
          <w:szCs w:val="20"/>
        </w:rPr>
        <w:t>%</w:t>
      </w:r>
      <w:r w:rsidR="009D5C86" w:rsidRPr="00A35B06">
        <w:rPr>
          <w:rFonts w:ascii="Arial" w:hAnsi="Arial" w:cs="Arial"/>
          <w:iCs/>
          <w:sz w:val="20"/>
          <w:szCs w:val="20"/>
        </w:rPr>
        <w:t xml:space="preserve"> </w:t>
      </w:r>
      <w:r w:rsidR="004C4F52" w:rsidRPr="00A35B06">
        <w:rPr>
          <w:rFonts w:ascii="Arial" w:hAnsi="Arial" w:cs="Arial"/>
          <w:iCs/>
          <w:sz w:val="20"/>
          <w:szCs w:val="20"/>
        </w:rPr>
        <w:t>respectively.</w:t>
      </w:r>
      <w:r w:rsidR="00965F92" w:rsidRPr="008106A5">
        <w:rPr>
          <w:rFonts w:ascii="Arial" w:hAnsi="Arial" w:cs="Arial"/>
          <w:b/>
          <w:bCs/>
          <w:iCs/>
          <w:sz w:val="20"/>
          <w:szCs w:val="20"/>
        </w:rPr>
        <w:t xml:space="preserve"> </w:t>
      </w:r>
      <w:r w:rsidR="0010409D">
        <w:rPr>
          <w:rFonts w:ascii="Arial" w:hAnsi="Arial" w:cs="Arial"/>
          <w:iCs/>
          <w:sz w:val="20"/>
          <w:szCs w:val="20"/>
        </w:rPr>
        <w:t>A strong dollar also had a significant impact</w:t>
      </w:r>
      <w:r w:rsidR="00362ADF" w:rsidRPr="008106A5">
        <w:rPr>
          <w:rFonts w:ascii="Arial" w:hAnsi="Arial" w:cs="Arial"/>
          <w:iCs/>
          <w:sz w:val="20"/>
          <w:szCs w:val="20"/>
        </w:rPr>
        <w:t xml:space="preserve">. </w:t>
      </w:r>
      <w:proofErr w:type="gramStart"/>
      <w:r w:rsidR="00362ADF" w:rsidRPr="008106A5">
        <w:rPr>
          <w:rFonts w:ascii="Arial" w:hAnsi="Arial" w:cs="Arial"/>
          <w:iCs/>
          <w:sz w:val="20"/>
          <w:szCs w:val="20"/>
        </w:rPr>
        <w:t xml:space="preserve">Generally </w:t>
      </w:r>
      <w:r w:rsidR="008106A5" w:rsidRPr="008106A5">
        <w:rPr>
          <w:rFonts w:ascii="Arial" w:hAnsi="Arial" w:cs="Arial"/>
          <w:iCs/>
          <w:sz w:val="20"/>
          <w:szCs w:val="20"/>
        </w:rPr>
        <w:t>speaking,</w:t>
      </w:r>
      <w:r w:rsidR="00362ADF" w:rsidRPr="008106A5">
        <w:rPr>
          <w:rFonts w:ascii="Arial" w:hAnsi="Arial" w:cs="Arial"/>
          <w:iCs/>
          <w:sz w:val="20"/>
          <w:szCs w:val="20"/>
        </w:rPr>
        <w:t xml:space="preserve"> a</w:t>
      </w:r>
      <w:proofErr w:type="gramEnd"/>
      <w:r w:rsidR="00362ADF" w:rsidRPr="008106A5">
        <w:rPr>
          <w:rFonts w:ascii="Arial" w:hAnsi="Arial" w:cs="Arial"/>
          <w:iCs/>
          <w:sz w:val="20"/>
          <w:szCs w:val="20"/>
        </w:rPr>
        <w:t xml:space="preserve"> stronger dollar translates to lower returns for international investments</w:t>
      </w:r>
      <w:r w:rsidR="0010409D">
        <w:rPr>
          <w:rFonts w:ascii="Arial" w:hAnsi="Arial" w:cs="Arial"/>
          <w:iCs/>
          <w:sz w:val="20"/>
          <w:szCs w:val="20"/>
        </w:rPr>
        <w:t xml:space="preserve">. This can </w:t>
      </w:r>
      <w:r w:rsidR="00D170DD">
        <w:rPr>
          <w:rFonts w:ascii="Arial" w:hAnsi="Arial" w:cs="Arial"/>
          <w:iCs/>
          <w:sz w:val="20"/>
          <w:szCs w:val="20"/>
        </w:rPr>
        <w:t xml:space="preserve">be seen </w:t>
      </w:r>
      <w:r w:rsidR="0010409D">
        <w:rPr>
          <w:rFonts w:ascii="Arial" w:hAnsi="Arial" w:cs="Arial"/>
          <w:iCs/>
          <w:sz w:val="20"/>
          <w:szCs w:val="20"/>
        </w:rPr>
        <w:t>in</w:t>
      </w:r>
      <w:r w:rsidR="00D170DD">
        <w:rPr>
          <w:rFonts w:ascii="Arial" w:hAnsi="Arial" w:cs="Arial"/>
          <w:iCs/>
          <w:sz w:val="20"/>
          <w:szCs w:val="20"/>
        </w:rPr>
        <w:t xml:space="preserve"> its</w:t>
      </w:r>
      <w:r w:rsidR="0010409D">
        <w:rPr>
          <w:rFonts w:ascii="Arial" w:hAnsi="Arial" w:cs="Arial"/>
          <w:iCs/>
          <w:sz w:val="20"/>
          <w:szCs w:val="20"/>
        </w:rPr>
        <w:t xml:space="preserve"> </w:t>
      </w:r>
      <w:r w:rsidR="008106A5" w:rsidRPr="008106A5">
        <w:rPr>
          <w:rFonts w:ascii="Arial" w:hAnsi="Arial" w:cs="Arial"/>
          <w:iCs/>
          <w:sz w:val="20"/>
          <w:szCs w:val="20"/>
        </w:rPr>
        <w:t>local currency</w:t>
      </w:r>
      <w:r w:rsidR="0010409D">
        <w:rPr>
          <w:rFonts w:ascii="Arial" w:hAnsi="Arial" w:cs="Arial"/>
          <w:iCs/>
          <w:sz w:val="20"/>
          <w:szCs w:val="20"/>
        </w:rPr>
        <w:t xml:space="preserve"> returns for </w:t>
      </w:r>
      <w:r w:rsidR="008106A5" w:rsidRPr="008106A5">
        <w:rPr>
          <w:rFonts w:ascii="Arial" w:hAnsi="Arial" w:cs="Arial"/>
          <w:iCs/>
          <w:sz w:val="20"/>
          <w:szCs w:val="20"/>
        </w:rPr>
        <w:t xml:space="preserve">developed international, emerging markets </w:t>
      </w:r>
      <w:r w:rsidR="0010409D">
        <w:rPr>
          <w:rFonts w:ascii="Arial" w:hAnsi="Arial" w:cs="Arial"/>
          <w:iCs/>
          <w:sz w:val="20"/>
          <w:szCs w:val="20"/>
        </w:rPr>
        <w:t xml:space="preserve">which </w:t>
      </w:r>
      <w:r w:rsidR="008106A5" w:rsidRPr="008106A5">
        <w:rPr>
          <w:rFonts w:ascii="Arial" w:hAnsi="Arial" w:cs="Arial"/>
          <w:iCs/>
          <w:sz w:val="20"/>
          <w:szCs w:val="20"/>
        </w:rPr>
        <w:t xml:space="preserve">ended 2Q22 at -7.6% and -8.0% respectively. </w:t>
      </w:r>
    </w:p>
    <w:p w14:paraId="2367BFF4" w14:textId="747CD7B4" w:rsidR="008106A5" w:rsidRPr="008106A5" w:rsidRDefault="008106A5" w:rsidP="008106A5">
      <w:pPr>
        <w:pStyle w:val="ListParagraph"/>
        <w:ind w:left="1440"/>
        <w:rPr>
          <w:rFonts w:ascii="Arial" w:hAnsi="Arial" w:cs="Arial"/>
          <w:b/>
          <w:bCs/>
          <w:iCs/>
          <w:sz w:val="20"/>
          <w:szCs w:val="20"/>
        </w:rPr>
      </w:pPr>
    </w:p>
    <w:p w14:paraId="73045D4F" w14:textId="459666AA" w:rsidR="00203FA8" w:rsidRPr="002E5339" w:rsidRDefault="00DA45EF" w:rsidP="00F94060">
      <w:pPr>
        <w:pStyle w:val="ListParagraph"/>
        <w:numPr>
          <w:ilvl w:val="0"/>
          <w:numId w:val="3"/>
        </w:numPr>
        <w:rPr>
          <w:rFonts w:ascii="Arial" w:hAnsi="Arial" w:cs="Arial"/>
          <w:b/>
          <w:bCs/>
          <w:iCs/>
          <w:sz w:val="20"/>
          <w:szCs w:val="20"/>
        </w:rPr>
      </w:pPr>
      <w:bookmarkStart w:id="4" w:name="_Hlk84243097"/>
      <w:r>
        <w:rPr>
          <w:rFonts w:ascii="Arial" w:hAnsi="Arial" w:cs="Arial"/>
          <w:b/>
          <w:bCs/>
          <w:iCs/>
          <w:sz w:val="20"/>
          <w:szCs w:val="20"/>
        </w:rPr>
        <w:t xml:space="preserve">Bonds </w:t>
      </w:r>
      <w:r w:rsidR="00DE2A0C">
        <w:rPr>
          <w:rFonts w:ascii="Arial" w:hAnsi="Arial" w:cs="Arial"/>
          <w:b/>
          <w:bCs/>
          <w:iCs/>
          <w:sz w:val="20"/>
          <w:szCs w:val="20"/>
        </w:rPr>
        <w:t>extend their losses in 2Q22</w:t>
      </w:r>
      <w:r w:rsidR="00B61730">
        <w:rPr>
          <w:rFonts w:ascii="Arial" w:hAnsi="Arial" w:cs="Arial"/>
          <w:b/>
          <w:bCs/>
          <w:iCs/>
          <w:sz w:val="20"/>
          <w:szCs w:val="20"/>
        </w:rPr>
        <w:t xml:space="preserve">. </w:t>
      </w:r>
      <w:r w:rsidR="00203FA8" w:rsidRPr="002E5339">
        <w:rPr>
          <w:rFonts w:ascii="Arial" w:hAnsi="Arial" w:cs="Arial"/>
          <w:iCs/>
          <w:sz w:val="20"/>
          <w:szCs w:val="20"/>
        </w:rPr>
        <w:t xml:space="preserve">US bonds </w:t>
      </w:r>
      <w:r w:rsidR="00AE05E9">
        <w:rPr>
          <w:rFonts w:ascii="Arial" w:hAnsi="Arial" w:cs="Arial"/>
          <w:iCs/>
          <w:sz w:val="20"/>
          <w:szCs w:val="20"/>
        </w:rPr>
        <w:t xml:space="preserve">fell </w:t>
      </w:r>
      <w:r w:rsidR="00DE2A0C">
        <w:rPr>
          <w:rFonts w:ascii="Arial" w:hAnsi="Arial" w:cs="Arial"/>
          <w:iCs/>
          <w:sz w:val="20"/>
          <w:szCs w:val="20"/>
        </w:rPr>
        <w:t>4.</w:t>
      </w:r>
      <w:r w:rsidR="00E826D9">
        <w:rPr>
          <w:rFonts w:ascii="Arial" w:hAnsi="Arial" w:cs="Arial"/>
          <w:iCs/>
          <w:sz w:val="20"/>
          <w:szCs w:val="20"/>
        </w:rPr>
        <w:t>7</w:t>
      </w:r>
      <w:r w:rsidR="00203FA8" w:rsidRPr="002E5339">
        <w:rPr>
          <w:rFonts w:ascii="Arial" w:hAnsi="Arial" w:cs="Arial"/>
          <w:iCs/>
          <w:sz w:val="20"/>
          <w:szCs w:val="20"/>
        </w:rPr>
        <w:t xml:space="preserve">% </w:t>
      </w:r>
      <w:r w:rsidR="00E826D9">
        <w:rPr>
          <w:rFonts w:ascii="Arial" w:hAnsi="Arial" w:cs="Arial"/>
          <w:iCs/>
          <w:sz w:val="20"/>
          <w:szCs w:val="20"/>
        </w:rPr>
        <w:t>in the quarter led by the Fed’s aggressive interest rate increases</w:t>
      </w:r>
      <w:r w:rsidR="000D0ED5">
        <w:rPr>
          <w:rFonts w:ascii="Arial" w:hAnsi="Arial" w:cs="Arial"/>
          <w:iCs/>
          <w:sz w:val="20"/>
          <w:szCs w:val="20"/>
        </w:rPr>
        <w:t>.</w:t>
      </w:r>
      <w:r w:rsidR="005B40BF">
        <w:rPr>
          <w:rFonts w:ascii="Arial" w:hAnsi="Arial" w:cs="Arial"/>
          <w:iCs/>
          <w:sz w:val="20"/>
          <w:szCs w:val="20"/>
        </w:rPr>
        <w:t xml:space="preserve"> </w:t>
      </w:r>
      <w:r w:rsidR="00E826D9" w:rsidRPr="00E826D9">
        <w:rPr>
          <w:rFonts w:ascii="Arial" w:hAnsi="Arial" w:cs="Arial"/>
          <w:iCs/>
          <w:sz w:val="20"/>
          <w:szCs w:val="20"/>
        </w:rPr>
        <w:t xml:space="preserve">After raising the rate by </w:t>
      </w:r>
      <w:r w:rsidR="006A33FA">
        <w:rPr>
          <w:rFonts w:ascii="Arial" w:hAnsi="Arial" w:cs="Arial"/>
          <w:iCs/>
          <w:sz w:val="20"/>
          <w:szCs w:val="20"/>
        </w:rPr>
        <w:t>0.25%</w:t>
      </w:r>
      <w:r w:rsidR="00E826D9" w:rsidRPr="00E826D9">
        <w:rPr>
          <w:rFonts w:ascii="Arial" w:hAnsi="Arial" w:cs="Arial"/>
          <w:iCs/>
          <w:sz w:val="20"/>
          <w:szCs w:val="20"/>
        </w:rPr>
        <w:t xml:space="preserve"> in March, the Fed amped up its effort with a </w:t>
      </w:r>
      <w:r w:rsidR="006A33FA">
        <w:rPr>
          <w:rFonts w:ascii="Arial" w:hAnsi="Arial" w:cs="Arial"/>
          <w:iCs/>
          <w:sz w:val="20"/>
          <w:szCs w:val="20"/>
        </w:rPr>
        <w:t>0.5%</w:t>
      </w:r>
      <w:r w:rsidR="0010409D">
        <w:rPr>
          <w:rFonts w:ascii="Arial" w:hAnsi="Arial" w:cs="Arial"/>
          <w:iCs/>
          <w:sz w:val="20"/>
          <w:szCs w:val="20"/>
        </w:rPr>
        <w:t xml:space="preserve"> increase</w:t>
      </w:r>
      <w:r w:rsidR="00E826D9" w:rsidRPr="00E826D9">
        <w:rPr>
          <w:rFonts w:ascii="Arial" w:hAnsi="Arial" w:cs="Arial"/>
          <w:iCs/>
          <w:sz w:val="20"/>
          <w:szCs w:val="20"/>
        </w:rPr>
        <w:t xml:space="preserve"> to the funds rate in May</w:t>
      </w:r>
      <w:r w:rsidR="0010409D">
        <w:rPr>
          <w:rFonts w:ascii="Arial" w:hAnsi="Arial" w:cs="Arial"/>
          <w:iCs/>
          <w:sz w:val="20"/>
          <w:szCs w:val="20"/>
        </w:rPr>
        <w:t xml:space="preserve"> followed by</w:t>
      </w:r>
      <w:r w:rsidR="00E826D9" w:rsidRPr="00E826D9">
        <w:rPr>
          <w:rFonts w:ascii="Arial" w:hAnsi="Arial" w:cs="Arial"/>
          <w:iCs/>
          <w:sz w:val="20"/>
          <w:szCs w:val="20"/>
        </w:rPr>
        <w:t xml:space="preserve"> a </w:t>
      </w:r>
      <w:r w:rsidR="006A33FA">
        <w:rPr>
          <w:rFonts w:ascii="Arial" w:hAnsi="Arial" w:cs="Arial"/>
          <w:iCs/>
          <w:sz w:val="20"/>
          <w:szCs w:val="20"/>
        </w:rPr>
        <w:t>0.75%</w:t>
      </w:r>
      <w:r w:rsidR="00E826D9" w:rsidRPr="00E826D9">
        <w:rPr>
          <w:rFonts w:ascii="Arial" w:hAnsi="Arial" w:cs="Arial"/>
          <w:iCs/>
          <w:sz w:val="20"/>
          <w:szCs w:val="20"/>
        </w:rPr>
        <w:t xml:space="preserve"> increase in June</w:t>
      </w:r>
      <w:r w:rsidR="00E826D9">
        <w:rPr>
          <w:rFonts w:ascii="Arial" w:hAnsi="Arial" w:cs="Arial"/>
          <w:iCs/>
          <w:sz w:val="20"/>
          <w:szCs w:val="20"/>
        </w:rPr>
        <w:t xml:space="preserve">. </w:t>
      </w:r>
      <w:r w:rsidR="00174AD5">
        <w:rPr>
          <w:rFonts w:ascii="Arial" w:hAnsi="Arial" w:cs="Arial"/>
          <w:iCs/>
          <w:sz w:val="20"/>
          <w:szCs w:val="20"/>
        </w:rPr>
        <w:t xml:space="preserve">Despite higher inflation, TIPS also fell </w:t>
      </w:r>
      <w:r w:rsidR="00E826D9">
        <w:rPr>
          <w:rFonts w:ascii="Arial" w:hAnsi="Arial" w:cs="Arial"/>
          <w:iCs/>
          <w:sz w:val="20"/>
          <w:szCs w:val="20"/>
        </w:rPr>
        <w:t>6.1</w:t>
      </w:r>
      <w:r w:rsidR="00174AD5">
        <w:rPr>
          <w:rFonts w:ascii="Arial" w:hAnsi="Arial" w:cs="Arial"/>
          <w:iCs/>
          <w:sz w:val="20"/>
          <w:szCs w:val="20"/>
        </w:rPr>
        <w:t xml:space="preserve">% due to rising rates. Longer-term </w:t>
      </w:r>
      <w:r w:rsidR="00DA3508">
        <w:rPr>
          <w:rFonts w:ascii="Arial" w:hAnsi="Arial" w:cs="Arial"/>
          <w:iCs/>
          <w:sz w:val="20"/>
          <w:szCs w:val="20"/>
        </w:rPr>
        <w:t>Treasuries</w:t>
      </w:r>
      <w:r w:rsidR="008D79E6">
        <w:rPr>
          <w:rFonts w:ascii="Arial" w:hAnsi="Arial" w:cs="Arial"/>
          <w:iCs/>
          <w:sz w:val="20"/>
          <w:szCs w:val="20"/>
        </w:rPr>
        <w:t>,</w:t>
      </w:r>
      <w:r w:rsidR="00174AD5">
        <w:rPr>
          <w:rFonts w:ascii="Arial" w:hAnsi="Arial" w:cs="Arial"/>
          <w:iCs/>
          <w:sz w:val="20"/>
          <w:szCs w:val="20"/>
        </w:rPr>
        <w:t xml:space="preserve"> which have the greatest sensitivity to interest-rate changes</w:t>
      </w:r>
      <w:r w:rsidR="008D79E6">
        <w:rPr>
          <w:rFonts w:ascii="Arial" w:hAnsi="Arial" w:cs="Arial"/>
          <w:iCs/>
          <w:sz w:val="20"/>
          <w:szCs w:val="20"/>
        </w:rPr>
        <w:t>,</w:t>
      </w:r>
      <w:r w:rsidR="00174AD5">
        <w:rPr>
          <w:rFonts w:ascii="Arial" w:hAnsi="Arial" w:cs="Arial"/>
          <w:iCs/>
          <w:sz w:val="20"/>
          <w:szCs w:val="20"/>
        </w:rPr>
        <w:t xml:space="preserve"> were the hardest hit and </w:t>
      </w:r>
      <w:r w:rsidR="00DA3508">
        <w:rPr>
          <w:rFonts w:ascii="Arial" w:hAnsi="Arial" w:cs="Arial"/>
          <w:iCs/>
          <w:sz w:val="20"/>
          <w:szCs w:val="20"/>
        </w:rPr>
        <w:t xml:space="preserve">fell </w:t>
      </w:r>
      <w:r w:rsidR="00E826D9">
        <w:rPr>
          <w:rFonts w:ascii="Arial" w:hAnsi="Arial" w:cs="Arial"/>
          <w:iCs/>
          <w:sz w:val="20"/>
          <w:szCs w:val="20"/>
        </w:rPr>
        <w:t>11.9</w:t>
      </w:r>
      <w:r w:rsidR="00DA3508">
        <w:rPr>
          <w:rFonts w:ascii="Arial" w:hAnsi="Arial" w:cs="Arial"/>
          <w:iCs/>
          <w:sz w:val="20"/>
          <w:szCs w:val="20"/>
        </w:rPr>
        <w:t xml:space="preserve">%. </w:t>
      </w:r>
      <w:r w:rsidR="00F710F4">
        <w:rPr>
          <w:rFonts w:ascii="Arial" w:hAnsi="Arial" w:cs="Arial"/>
          <w:iCs/>
          <w:sz w:val="20"/>
          <w:szCs w:val="20"/>
        </w:rPr>
        <w:t>US h</w:t>
      </w:r>
      <w:r w:rsidR="00F710F4" w:rsidRPr="00F710F4">
        <w:rPr>
          <w:rFonts w:ascii="Arial" w:hAnsi="Arial" w:cs="Arial"/>
          <w:iCs/>
          <w:sz w:val="20"/>
          <w:szCs w:val="20"/>
        </w:rPr>
        <w:t>igh yield</w:t>
      </w:r>
      <w:r w:rsidR="00F710F4">
        <w:rPr>
          <w:rFonts w:ascii="Arial" w:hAnsi="Arial" w:cs="Arial"/>
          <w:iCs/>
          <w:sz w:val="20"/>
          <w:szCs w:val="20"/>
        </w:rPr>
        <w:t xml:space="preserve"> bonds fell</w:t>
      </w:r>
      <w:r w:rsidR="00F710F4" w:rsidRPr="00F710F4">
        <w:rPr>
          <w:rFonts w:ascii="Arial" w:hAnsi="Arial" w:cs="Arial"/>
          <w:iCs/>
          <w:sz w:val="20"/>
          <w:szCs w:val="20"/>
        </w:rPr>
        <w:t xml:space="preserve"> </w:t>
      </w:r>
      <w:r w:rsidR="00E826D9">
        <w:rPr>
          <w:rFonts w:ascii="Arial" w:hAnsi="Arial" w:cs="Arial"/>
          <w:iCs/>
          <w:sz w:val="20"/>
          <w:szCs w:val="20"/>
        </w:rPr>
        <w:t>9.8</w:t>
      </w:r>
      <w:r w:rsidR="00F710F4" w:rsidRPr="00F710F4">
        <w:rPr>
          <w:rFonts w:ascii="Arial" w:hAnsi="Arial" w:cs="Arial"/>
          <w:iCs/>
          <w:sz w:val="20"/>
          <w:szCs w:val="20"/>
        </w:rPr>
        <w:t xml:space="preserve">% due to the flight to quality stemming from </w:t>
      </w:r>
      <w:r w:rsidR="00E826D9">
        <w:rPr>
          <w:rFonts w:ascii="Arial" w:hAnsi="Arial" w:cs="Arial"/>
          <w:iCs/>
          <w:sz w:val="20"/>
          <w:szCs w:val="20"/>
        </w:rPr>
        <w:t>recession fears</w:t>
      </w:r>
      <w:r w:rsidR="00F710F4">
        <w:rPr>
          <w:rFonts w:ascii="Arial" w:hAnsi="Arial" w:cs="Arial"/>
          <w:iCs/>
          <w:sz w:val="20"/>
          <w:szCs w:val="20"/>
        </w:rPr>
        <w:t>. Lastly, a</w:t>
      </w:r>
      <w:r w:rsidR="001B4F72">
        <w:rPr>
          <w:rFonts w:ascii="Arial" w:hAnsi="Arial" w:cs="Arial"/>
          <w:iCs/>
          <w:sz w:val="20"/>
          <w:szCs w:val="20"/>
        </w:rPr>
        <w:t xml:space="preserve"> stronger dollar and inflation woes also led international bonds lower for the quarter</w:t>
      </w:r>
      <w:r w:rsidR="00FB1955">
        <w:rPr>
          <w:rFonts w:ascii="Arial" w:hAnsi="Arial" w:cs="Arial"/>
          <w:iCs/>
          <w:sz w:val="20"/>
          <w:szCs w:val="20"/>
        </w:rPr>
        <w:t xml:space="preserve">.  </w:t>
      </w:r>
      <w:r w:rsidR="00324B21" w:rsidRPr="002E5339">
        <w:rPr>
          <w:rFonts w:ascii="Arial" w:hAnsi="Arial" w:cs="Arial"/>
          <w:iCs/>
          <w:sz w:val="20"/>
          <w:szCs w:val="20"/>
        </w:rPr>
        <w:t xml:space="preserve"> </w:t>
      </w:r>
      <w:bookmarkEnd w:id="4"/>
    </w:p>
    <w:p w14:paraId="3C422F6F" w14:textId="77777777" w:rsidR="00805B99" w:rsidRPr="00203FA8" w:rsidRDefault="00805B99" w:rsidP="00805B99">
      <w:pPr>
        <w:pStyle w:val="ListParagraph"/>
        <w:ind w:left="1440"/>
        <w:rPr>
          <w:rFonts w:ascii="Arial" w:hAnsi="Arial" w:cs="Arial"/>
          <w:b/>
          <w:bCs/>
          <w:iCs/>
          <w:sz w:val="20"/>
          <w:szCs w:val="20"/>
        </w:rPr>
      </w:pPr>
    </w:p>
    <w:p w14:paraId="607859C8" w14:textId="6EDD3EB4" w:rsidR="00934AC9" w:rsidRPr="00413355" w:rsidRDefault="006A33FA" w:rsidP="0088431C">
      <w:pPr>
        <w:pStyle w:val="ListParagraph"/>
        <w:numPr>
          <w:ilvl w:val="0"/>
          <w:numId w:val="3"/>
        </w:numPr>
        <w:contextualSpacing w:val="0"/>
        <w:rPr>
          <w:rFonts w:ascii="Arial" w:hAnsi="Arial" w:cs="Arial"/>
          <w:sz w:val="20"/>
          <w:szCs w:val="20"/>
        </w:rPr>
      </w:pPr>
      <w:proofErr w:type="gramStart"/>
      <w:r>
        <w:rPr>
          <w:rFonts w:ascii="Arial" w:hAnsi="Arial" w:cs="Arial"/>
          <w:b/>
          <w:bCs/>
          <w:iCs/>
          <w:sz w:val="20"/>
          <w:szCs w:val="20"/>
        </w:rPr>
        <w:t>With the exception of</w:t>
      </w:r>
      <w:proofErr w:type="gramEnd"/>
      <w:r>
        <w:rPr>
          <w:rFonts w:ascii="Arial" w:hAnsi="Arial" w:cs="Arial"/>
          <w:b/>
          <w:bCs/>
          <w:iCs/>
          <w:sz w:val="20"/>
          <w:szCs w:val="20"/>
        </w:rPr>
        <w:t xml:space="preserve"> </w:t>
      </w:r>
      <w:r w:rsidR="00062EA0">
        <w:rPr>
          <w:rFonts w:ascii="Arial" w:hAnsi="Arial" w:cs="Arial"/>
          <w:b/>
          <w:bCs/>
          <w:iCs/>
          <w:sz w:val="20"/>
          <w:szCs w:val="20"/>
        </w:rPr>
        <w:t>oil prices</w:t>
      </w:r>
      <w:r>
        <w:rPr>
          <w:rFonts w:ascii="Arial" w:hAnsi="Arial" w:cs="Arial"/>
          <w:b/>
          <w:bCs/>
          <w:iCs/>
          <w:sz w:val="20"/>
          <w:szCs w:val="20"/>
        </w:rPr>
        <w:t xml:space="preserve">, broad commodities and gold also fell in 2Q22.  </w:t>
      </w:r>
      <w:r w:rsidRPr="006A33FA">
        <w:rPr>
          <w:rFonts w:ascii="Arial" w:hAnsi="Arial" w:cs="Arial"/>
          <w:iCs/>
          <w:sz w:val="20"/>
          <w:szCs w:val="20"/>
        </w:rPr>
        <w:t>O</w:t>
      </w:r>
      <w:r w:rsidR="007E3C8B" w:rsidRPr="006A33FA">
        <w:rPr>
          <w:rFonts w:ascii="Arial" w:hAnsi="Arial" w:cs="Arial"/>
          <w:iCs/>
          <w:sz w:val="20"/>
          <w:szCs w:val="20"/>
        </w:rPr>
        <w:t>il prices extended their climb due to Russia’s war against Ukraine. At the same time, key commodities including gold, wheat, and copper declined</w:t>
      </w:r>
      <w:r w:rsidRPr="006A33FA">
        <w:rPr>
          <w:rFonts w:ascii="Arial" w:hAnsi="Arial" w:cs="Arial"/>
          <w:iCs/>
          <w:sz w:val="20"/>
          <w:szCs w:val="20"/>
        </w:rPr>
        <w:t xml:space="preserve"> over concerns of a global economic slowdown. Gold prices fell</w:t>
      </w:r>
      <w:r w:rsidR="00D170DD">
        <w:rPr>
          <w:rFonts w:ascii="Arial" w:hAnsi="Arial" w:cs="Arial"/>
          <w:iCs/>
          <w:sz w:val="20"/>
          <w:szCs w:val="20"/>
        </w:rPr>
        <w:t xml:space="preserve"> </w:t>
      </w:r>
      <w:r w:rsidRPr="006A33FA">
        <w:rPr>
          <w:rFonts w:ascii="Arial" w:hAnsi="Arial" w:cs="Arial"/>
          <w:iCs/>
          <w:sz w:val="20"/>
          <w:szCs w:val="20"/>
        </w:rPr>
        <w:t xml:space="preserve">7.6% </w:t>
      </w:r>
      <w:r w:rsidR="00D170DD">
        <w:rPr>
          <w:rFonts w:ascii="Arial" w:hAnsi="Arial" w:cs="Arial"/>
          <w:iCs/>
          <w:sz w:val="20"/>
          <w:szCs w:val="20"/>
        </w:rPr>
        <w:t xml:space="preserve">for the quarter </w:t>
      </w:r>
      <w:r w:rsidRPr="006A33FA">
        <w:rPr>
          <w:rFonts w:ascii="Arial" w:hAnsi="Arial" w:cs="Arial"/>
          <w:iCs/>
          <w:sz w:val="20"/>
          <w:szCs w:val="20"/>
        </w:rPr>
        <w:t>and are down 1.5% for the year</w:t>
      </w:r>
      <w:r w:rsidR="00D170DD">
        <w:rPr>
          <w:rFonts w:ascii="Arial" w:hAnsi="Arial" w:cs="Arial"/>
          <w:iCs/>
          <w:sz w:val="20"/>
          <w:szCs w:val="20"/>
        </w:rPr>
        <w:t xml:space="preserve"> and </w:t>
      </w:r>
      <w:r w:rsidR="00954C6D">
        <w:rPr>
          <w:rFonts w:ascii="Arial" w:hAnsi="Arial" w:cs="Arial"/>
          <w:iCs/>
          <w:sz w:val="20"/>
          <w:szCs w:val="20"/>
        </w:rPr>
        <w:t xml:space="preserve">gold </w:t>
      </w:r>
      <w:r w:rsidR="00D170DD">
        <w:rPr>
          <w:rFonts w:ascii="Arial" w:hAnsi="Arial" w:cs="Arial"/>
          <w:iCs/>
          <w:sz w:val="20"/>
          <w:szCs w:val="20"/>
        </w:rPr>
        <w:t xml:space="preserve">has failed to </w:t>
      </w:r>
      <w:r w:rsidRPr="006A33FA">
        <w:rPr>
          <w:rFonts w:ascii="Arial" w:hAnsi="Arial" w:cs="Arial"/>
          <w:iCs/>
          <w:sz w:val="20"/>
          <w:szCs w:val="20"/>
        </w:rPr>
        <w:t>meet expectations as an inflation hedge</w:t>
      </w:r>
      <w:r w:rsidR="00062EA0">
        <w:rPr>
          <w:rFonts w:ascii="Arial" w:hAnsi="Arial" w:cs="Arial"/>
          <w:iCs/>
          <w:sz w:val="20"/>
          <w:szCs w:val="20"/>
        </w:rPr>
        <w:t xml:space="preserve"> in 2022</w:t>
      </w:r>
      <w:r>
        <w:rPr>
          <w:rFonts w:ascii="Arial" w:hAnsi="Arial" w:cs="Arial"/>
          <w:b/>
          <w:bCs/>
          <w:iCs/>
          <w:sz w:val="20"/>
          <w:szCs w:val="20"/>
        </w:rPr>
        <w:t xml:space="preserve">. </w:t>
      </w:r>
      <w:r w:rsidR="003F76DF">
        <w:rPr>
          <w:rFonts w:ascii="Arial" w:hAnsi="Arial" w:cs="Arial"/>
          <w:iCs/>
          <w:sz w:val="20"/>
          <w:szCs w:val="20"/>
        </w:rPr>
        <w:t xml:space="preserve">Expectations for higher interest rates in the US led the dollar to rally </w:t>
      </w:r>
      <w:r>
        <w:rPr>
          <w:rFonts w:ascii="Arial" w:hAnsi="Arial" w:cs="Arial"/>
          <w:iCs/>
          <w:sz w:val="20"/>
          <w:szCs w:val="20"/>
        </w:rPr>
        <w:t>6.3</w:t>
      </w:r>
      <w:r w:rsidR="003F76DF">
        <w:rPr>
          <w:rFonts w:ascii="Arial" w:hAnsi="Arial" w:cs="Arial"/>
          <w:iCs/>
          <w:sz w:val="20"/>
          <w:szCs w:val="20"/>
        </w:rPr>
        <w:t>%</w:t>
      </w:r>
      <w:r>
        <w:rPr>
          <w:rFonts w:ascii="Arial" w:hAnsi="Arial" w:cs="Arial"/>
          <w:iCs/>
          <w:sz w:val="20"/>
          <w:szCs w:val="20"/>
        </w:rPr>
        <w:t xml:space="preserve"> for the quarter and 9.1% for the year</w:t>
      </w:r>
      <w:r w:rsidR="003F76DF">
        <w:rPr>
          <w:rFonts w:ascii="Arial" w:hAnsi="Arial" w:cs="Arial"/>
          <w:iCs/>
          <w:sz w:val="20"/>
          <w:szCs w:val="20"/>
        </w:rPr>
        <w:t>.</w:t>
      </w:r>
      <w:r w:rsidR="00B7710C">
        <w:rPr>
          <w:rFonts w:ascii="Arial" w:hAnsi="Arial" w:cs="Arial"/>
          <w:iCs/>
          <w:sz w:val="20"/>
          <w:szCs w:val="20"/>
        </w:rPr>
        <w:t xml:space="preserve"> </w:t>
      </w:r>
      <w:r>
        <w:rPr>
          <w:rFonts w:ascii="Arial" w:hAnsi="Arial" w:cs="Arial"/>
          <w:iCs/>
          <w:sz w:val="20"/>
          <w:szCs w:val="20"/>
        </w:rPr>
        <w:t>Finally</w:t>
      </w:r>
      <w:r w:rsidR="00B7710C">
        <w:rPr>
          <w:rFonts w:ascii="Arial" w:hAnsi="Arial" w:cs="Arial"/>
          <w:iCs/>
          <w:sz w:val="20"/>
          <w:szCs w:val="20"/>
        </w:rPr>
        <w:t xml:space="preserve">, </w:t>
      </w:r>
      <w:r w:rsidR="000469F1">
        <w:rPr>
          <w:rFonts w:ascii="Arial" w:hAnsi="Arial" w:cs="Arial"/>
          <w:iCs/>
          <w:sz w:val="20"/>
          <w:szCs w:val="20"/>
        </w:rPr>
        <w:t>U</w:t>
      </w:r>
      <w:r w:rsidR="00C87FA0">
        <w:rPr>
          <w:rFonts w:ascii="Arial" w:hAnsi="Arial" w:cs="Arial"/>
          <w:iCs/>
          <w:sz w:val="20"/>
          <w:szCs w:val="20"/>
        </w:rPr>
        <w:t>S</w:t>
      </w:r>
      <w:r w:rsidR="000469F1">
        <w:rPr>
          <w:rFonts w:ascii="Arial" w:hAnsi="Arial" w:cs="Arial"/>
          <w:iCs/>
          <w:sz w:val="20"/>
          <w:szCs w:val="20"/>
        </w:rPr>
        <w:t xml:space="preserve"> REITs </w:t>
      </w:r>
      <w:r w:rsidR="00B7710C">
        <w:rPr>
          <w:rFonts w:ascii="Arial" w:hAnsi="Arial" w:cs="Arial"/>
          <w:iCs/>
          <w:sz w:val="20"/>
          <w:szCs w:val="20"/>
        </w:rPr>
        <w:t xml:space="preserve">lost </w:t>
      </w:r>
      <w:r>
        <w:rPr>
          <w:rFonts w:ascii="Arial" w:hAnsi="Arial" w:cs="Arial"/>
          <w:iCs/>
          <w:sz w:val="20"/>
          <w:szCs w:val="20"/>
        </w:rPr>
        <w:t>14.7</w:t>
      </w:r>
      <w:r w:rsidR="00B7710C">
        <w:rPr>
          <w:rFonts w:ascii="Arial" w:hAnsi="Arial" w:cs="Arial"/>
          <w:iCs/>
          <w:sz w:val="20"/>
          <w:szCs w:val="20"/>
        </w:rPr>
        <w:t>% over concerns of rising costs due to higher interest rates.</w:t>
      </w:r>
      <w:r w:rsidR="00B56C04" w:rsidRPr="00413355">
        <w:rPr>
          <w:rFonts w:ascii="Arial" w:hAnsi="Arial" w:cs="Arial"/>
          <w:sz w:val="20"/>
          <w:szCs w:val="20"/>
        </w:rPr>
        <w:t xml:space="preserve"> </w:t>
      </w:r>
    </w:p>
    <w:p w14:paraId="52A629D1" w14:textId="760DCAEA" w:rsidR="00140F12" w:rsidRDefault="00140F12" w:rsidP="00D17BCA">
      <w:pPr>
        <w:ind w:left="-720" w:right="-720"/>
        <w:rPr>
          <w:rFonts w:ascii="Arial" w:hAnsi="Arial" w:cs="Arial"/>
          <w:color w:val="343433"/>
          <w:sz w:val="21"/>
        </w:rPr>
        <w:sectPr w:rsidR="00140F12" w:rsidSect="00397AF7">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659" w:right="1440" w:bottom="1518" w:left="1440" w:header="720" w:footer="720" w:gutter="0"/>
          <w:cols w:space="720"/>
          <w:titlePg/>
          <w:docGrid w:linePitch="360"/>
        </w:sectPr>
      </w:pPr>
    </w:p>
    <w:p w14:paraId="379DB21C" w14:textId="77777777" w:rsidR="004915F5" w:rsidRDefault="004915F5" w:rsidP="00140F12">
      <w:pPr>
        <w:spacing w:after="120"/>
        <w:ind w:left="-720" w:right="-720"/>
        <w:rPr>
          <w:rFonts w:ascii="Arial" w:hAnsi="Arial" w:cs="Arial"/>
          <w:color w:val="343433"/>
          <w:sz w:val="21"/>
        </w:rPr>
      </w:pPr>
    </w:p>
    <w:p w14:paraId="4B4A08F5" w14:textId="7F17301D" w:rsidR="009F65E5" w:rsidRPr="0040163B" w:rsidRDefault="008F63B8" w:rsidP="00140F12">
      <w:pPr>
        <w:spacing w:after="120"/>
        <w:ind w:left="-720" w:right="-720"/>
        <w:rPr>
          <w:rFonts w:ascii="Arial" w:hAnsi="Arial" w:cs="Arial"/>
          <w:color w:val="343433"/>
          <w:sz w:val="21"/>
        </w:rPr>
      </w:pPr>
      <w:r>
        <w:rPr>
          <w:rFonts w:ascii="Arial" w:hAnsi="Arial" w:cs="Arial"/>
          <w:color w:val="343433"/>
          <w:sz w:val="21"/>
        </w:rPr>
        <w:t>Asset classes are represented by the following indexes:</w:t>
      </w:r>
    </w:p>
    <w:tbl>
      <w:tblPr>
        <w:tblStyle w:val="TableGrid"/>
        <w:tblW w:w="10795" w:type="dxa"/>
        <w:tblInd w:w="-720" w:type="dxa"/>
        <w:tblLook w:val="04A0" w:firstRow="1" w:lastRow="0" w:firstColumn="1" w:lastColumn="0" w:noHBand="0" w:noVBand="1"/>
      </w:tblPr>
      <w:tblGrid>
        <w:gridCol w:w="1615"/>
        <w:gridCol w:w="9180"/>
      </w:tblGrid>
      <w:tr w:rsidR="00762B2D" w14:paraId="1C4EF1F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5D03EAD" w14:textId="64A2F3FD" w:rsidR="00762B2D" w:rsidRDefault="00762B2D" w:rsidP="00762B2D">
            <w:pPr>
              <w:spacing w:after="160"/>
              <w:rPr>
                <w:rFonts w:ascii="Arial" w:hAnsi="Arial" w:cs="Arial"/>
                <w:b/>
                <w:color w:val="343433"/>
                <w:sz w:val="16"/>
                <w:szCs w:val="17"/>
              </w:rPr>
            </w:pPr>
            <w:r>
              <w:rPr>
                <w:rFonts w:ascii="Arial" w:hAnsi="Arial" w:cs="Arial"/>
                <w:b/>
                <w:color w:val="343433"/>
                <w:sz w:val="16"/>
                <w:szCs w:val="17"/>
              </w:rPr>
              <w:t>US Equities</w:t>
            </w:r>
          </w:p>
        </w:tc>
        <w:tc>
          <w:tcPr>
            <w:tcW w:w="9180" w:type="dxa"/>
            <w:tcBorders>
              <w:top w:val="single" w:sz="4" w:space="0" w:color="E7E6E6"/>
              <w:left w:val="single" w:sz="4" w:space="0" w:color="E7E6E6"/>
              <w:bottom w:val="single" w:sz="4" w:space="0" w:color="E7E6E6"/>
              <w:right w:val="single" w:sz="4" w:space="0" w:color="E7E6E6"/>
            </w:tcBorders>
          </w:tcPr>
          <w:p w14:paraId="31015CB9" w14:textId="264E3D9E"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S&amp;P 500</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n unmanaged index that is generally considered representative of the US equity market, consisting of 500 leading companies in leading industries of the US economy (typically large cap companies) representing approximately 75% of the investable US equity market. </w:t>
            </w:r>
          </w:p>
        </w:tc>
      </w:tr>
      <w:tr w:rsidR="00762B2D" w14:paraId="20B2C35A"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BA437AA" w14:textId="3C3DCCF2" w:rsidR="00762B2D" w:rsidRDefault="00762B2D" w:rsidP="00762B2D">
            <w:pPr>
              <w:spacing w:after="160"/>
              <w:rPr>
                <w:rFonts w:ascii="Arial" w:hAnsi="Arial" w:cs="Arial"/>
                <w:b/>
                <w:color w:val="343433"/>
                <w:sz w:val="16"/>
                <w:szCs w:val="17"/>
              </w:rPr>
            </w:pPr>
            <w:r>
              <w:rPr>
                <w:rFonts w:ascii="Arial" w:hAnsi="Arial" w:cs="Arial"/>
                <w:b/>
                <w:color w:val="343433"/>
                <w:sz w:val="16"/>
                <w:szCs w:val="17"/>
              </w:rPr>
              <w:t>International Equities</w:t>
            </w:r>
          </w:p>
        </w:tc>
        <w:tc>
          <w:tcPr>
            <w:tcW w:w="9180" w:type="dxa"/>
            <w:tcBorders>
              <w:top w:val="single" w:sz="4" w:space="0" w:color="E7E6E6"/>
              <w:left w:val="single" w:sz="4" w:space="0" w:color="E7E6E6"/>
              <w:bottom w:val="single" w:sz="4" w:space="0" w:color="E7E6E6"/>
              <w:right w:val="single" w:sz="4" w:space="0" w:color="E7E6E6"/>
            </w:tcBorders>
          </w:tcPr>
          <w:p w14:paraId="05F8466F" w14:textId="65D819A3"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MSCI EAFE</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weighted index that is designed to measure the equity market performance of countries considered to represent developed markets, excluding the U.S. and Canada. </w:t>
            </w:r>
          </w:p>
        </w:tc>
      </w:tr>
      <w:tr w:rsidR="00762B2D" w14:paraId="0CD05564"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4FD21ED" w14:textId="2C2F89A0" w:rsidR="00762B2D" w:rsidRDefault="00762B2D" w:rsidP="00762B2D">
            <w:pPr>
              <w:spacing w:after="160"/>
              <w:rPr>
                <w:rFonts w:ascii="Arial" w:hAnsi="Arial" w:cs="Arial"/>
                <w:b/>
                <w:color w:val="343433"/>
                <w:sz w:val="16"/>
                <w:szCs w:val="17"/>
              </w:rPr>
            </w:pPr>
            <w:r>
              <w:rPr>
                <w:rFonts w:ascii="Arial" w:hAnsi="Arial" w:cs="Arial"/>
                <w:b/>
                <w:color w:val="343433"/>
                <w:sz w:val="16"/>
                <w:szCs w:val="17"/>
              </w:rPr>
              <w:lastRenderedPageBreak/>
              <w:t>Emerging Markets Equities</w:t>
            </w:r>
          </w:p>
        </w:tc>
        <w:tc>
          <w:tcPr>
            <w:tcW w:w="9180" w:type="dxa"/>
            <w:tcBorders>
              <w:top w:val="single" w:sz="4" w:space="0" w:color="E7E6E6"/>
              <w:left w:val="single" w:sz="4" w:space="0" w:color="E7E6E6"/>
              <w:bottom w:val="single" w:sz="4" w:space="0" w:color="E7E6E6"/>
              <w:right w:val="single" w:sz="4" w:space="0" w:color="E7E6E6"/>
            </w:tcBorders>
          </w:tcPr>
          <w:p w14:paraId="7E0B267C" w14:textId="6C794EA3"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MSCI Emerging Markets</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index that is designed to measure the equity market performance of countries considered to represent emerging markets</w:t>
            </w:r>
            <w:r>
              <w:rPr>
                <w:rFonts w:ascii="Arial" w:hAnsi="Arial" w:cs="Arial"/>
                <w:color w:val="343433"/>
                <w:sz w:val="16"/>
                <w:szCs w:val="17"/>
              </w:rPr>
              <w:t>.</w:t>
            </w:r>
          </w:p>
        </w:tc>
      </w:tr>
      <w:tr w:rsidR="00A27DE3" w14:paraId="38DB68D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68A9445" w14:textId="25B316CF" w:rsidR="00A27DE3" w:rsidRDefault="00A27DE3" w:rsidP="00A27DE3">
            <w:pPr>
              <w:spacing w:after="160"/>
              <w:rPr>
                <w:rFonts w:ascii="Arial" w:hAnsi="Arial" w:cs="Arial"/>
                <w:b/>
                <w:color w:val="343433"/>
                <w:sz w:val="16"/>
                <w:szCs w:val="17"/>
              </w:rPr>
            </w:pPr>
            <w:r>
              <w:rPr>
                <w:rFonts w:ascii="Arial" w:hAnsi="Arial" w:cs="Arial"/>
                <w:b/>
                <w:color w:val="343433"/>
                <w:sz w:val="16"/>
                <w:szCs w:val="17"/>
              </w:rPr>
              <w:t>China</w:t>
            </w:r>
          </w:p>
        </w:tc>
        <w:tc>
          <w:tcPr>
            <w:tcW w:w="9180" w:type="dxa"/>
            <w:tcBorders>
              <w:top w:val="single" w:sz="4" w:space="0" w:color="E7E6E6"/>
              <w:left w:val="single" w:sz="4" w:space="0" w:color="E7E6E6"/>
              <w:bottom w:val="single" w:sz="4" w:space="0" w:color="E7E6E6"/>
              <w:right w:val="single" w:sz="4" w:space="0" w:color="E7E6E6"/>
            </w:tcBorders>
          </w:tcPr>
          <w:p w14:paraId="3D6723F6" w14:textId="627ED04C" w:rsidR="00A27DE3" w:rsidRPr="0040163B" w:rsidRDefault="00A27DE3" w:rsidP="00A27DE3">
            <w:pPr>
              <w:spacing w:after="120"/>
              <w:rPr>
                <w:rFonts w:ascii="Arial" w:hAnsi="Arial" w:cs="Arial"/>
                <w:b/>
                <w:color w:val="343433"/>
                <w:sz w:val="16"/>
                <w:szCs w:val="17"/>
              </w:rPr>
            </w:pPr>
            <w:r>
              <w:rPr>
                <w:rFonts w:ascii="Arial" w:hAnsi="Arial" w:cs="Arial"/>
                <w:b/>
                <w:color w:val="343433"/>
                <w:sz w:val="16"/>
                <w:szCs w:val="17"/>
              </w:rPr>
              <w:t xml:space="preserve">MSCI China - </w:t>
            </w:r>
            <w:r w:rsidRPr="0086319B">
              <w:rPr>
                <w:rFonts w:ascii="Arial" w:hAnsi="Arial" w:cs="Arial"/>
                <w:color w:val="343433"/>
                <w:sz w:val="16"/>
                <w:szCs w:val="17"/>
              </w:rPr>
              <w:t>measures the performance of small-cap equities in developed market countries around the world, excluding the U.S. and Canada. The index covers approximately 14% of the market cap in each country.</w:t>
            </w:r>
          </w:p>
        </w:tc>
      </w:tr>
      <w:tr w:rsidR="00A27DE3" w14:paraId="53FA813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66E02AAC" w14:textId="23AA13A4" w:rsidR="00A27DE3" w:rsidRDefault="00A27DE3" w:rsidP="00A27DE3">
            <w:pPr>
              <w:spacing w:after="160"/>
              <w:rPr>
                <w:rFonts w:ascii="Arial" w:hAnsi="Arial" w:cs="Arial"/>
                <w:b/>
                <w:color w:val="343433"/>
                <w:sz w:val="16"/>
                <w:szCs w:val="17"/>
              </w:rPr>
            </w:pPr>
            <w:r>
              <w:rPr>
                <w:rFonts w:ascii="Arial" w:hAnsi="Arial" w:cs="Arial"/>
                <w:b/>
                <w:color w:val="343433"/>
                <w:sz w:val="16"/>
                <w:szCs w:val="17"/>
              </w:rPr>
              <w:t>US Small Cap</w:t>
            </w:r>
            <w:r w:rsidR="004A70CE">
              <w:rPr>
                <w:rFonts w:ascii="Arial" w:hAnsi="Arial" w:cs="Arial"/>
                <w:b/>
                <w:color w:val="343433"/>
                <w:sz w:val="16"/>
                <w:szCs w:val="17"/>
              </w:rPr>
              <w:t xml:space="preserve"> </w:t>
            </w:r>
            <w:r w:rsidR="00334AF7">
              <w:rPr>
                <w:rFonts w:ascii="Arial" w:hAnsi="Arial" w:cs="Arial"/>
                <w:b/>
                <w:color w:val="343433"/>
                <w:sz w:val="16"/>
                <w:szCs w:val="17"/>
              </w:rPr>
              <w:t>Growth</w:t>
            </w:r>
          </w:p>
        </w:tc>
        <w:tc>
          <w:tcPr>
            <w:tcW w:w="9180" w:type="dxa"/>
            <w:tcBorders>
              <w:top w:val="single" w:sz="4" w:space="0" w:color="E7E6E6"/>
              <w:left w:val="single" w:sz="4" w:space="0" w:color="E7E6E6"/>
              <w:bottom w:val="single" w:sz="4" w:space="0" w:color="E7E6E6"/>
              <w:right w:val="single" w:sz="4" w:space="0" w:color="E7E6E6"/>
            </w:tcBorders>
          </w:tcPr>
          <w:p w14:paraId="40D20444" w14:textId="6B660D3D" w:rsidR="00A27DE3" w:rsidRPr="00334AF7" w:rsidRDefault="00334AF7" w:rsidP="00A27DE3">
            <w:pPr>
              <w:spacing w:after="120"/>
              <w:rPr>
                <w:rFonts w:ascii="Arial" w:hAnsi="Arial" w:cs="Arial"/>
                <w:b/>
                <w:bCs/>
                <w:color w:val="343433"/>
                <w:sz w:val="16"/>
                <w:szCs w:val="16"/>
              </w:rPr>
            </w:pPr>
            <w:r w:rsidRPr="009B6440">
              <w:rPr>
                <w:rFonts w:ascii="Arial" w:hAnsi="Arial" w:cs="Arial"/>
                <w:b/>
                <w:color w:val="343433"/>
                <w:sz w:val="16"/>
                <w:szCs w:val="17"/>
              </w:rPr>
              <w:t>S&amp;P 600 Growth</w:t>
            </w:r>
            <w:r>
              <w:rPr>
                <w:rFonts w:ascii="Arial" w:hAnsi="Arial" w:cs="Arial"/>
                <w:b/>
                <w:bCs/>
                <w:color w:val="343433"/>
                <w:sz w:val="16"/>
                <w:szCs w:val="16"/>
              </w:rPr>
              <w:t xml:space="preserve"> - </w:t>
            </w:r>
            <w:r w:rsidRPr="00334AF7">
              <w:rPr>
                <w:rFonts w:ascii="Arial" w:hAnsi="Arial" w:cs="Arial"/>
                <w:color w:val="343433"/>
                <w:sz w:val="16"/>
                <w:szCs w:val="16"/>
              </w:rPr>
              <w:t>measures the performance of the small cap growth segment of the US equity market.</w:t>
            </w:r>
          </w:p>
        </w:tc>
      </w:tr>
      <w:tr w:rsidR="00A27DE3" w14:paraId="0D0C9866"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43A939D" w14:textId="33BC3FBD" w:rsidR="00A27DE3" w:rsidRDefault="00A27DE3" w:rsidP="00A27DE3">
            <w:pPr>
              <w:spacing w:after="160"/>
              <w:rPr>
                <w:rFonts w:ascii="Arial" w:hAnsi="Arial" w:cs="Arial"/>
                <w:b/>
                <w:color w:val="343433"/>
                <w:sz w:val="16"/>
                <w:szCs w:val="17"/>
              </w:rPr>
            </w:pPr>
            <w:r>
              <w:rPr>
                <w:rFonts w:ascii="Arial" w:hAnsi="Arial" w:cs="Arial"/>
                <w:b/>
                <w:color w:val="343433"/>
                <w:sz w:val="16"/>
                <w:szCs w:val="17"/>
              </w:rPr>
              <w:t xml:space="preserve">US </w:t>
            </w:r>
            <w:r w:rsidR="004A70CE">
              <w:rPr>
                <w:rFonts w:ascii="Arial" w:hAnsi="Arial" w:cs="Arial"/>
                <w:b/>
                <w:color w:val="343433"/>
                <w:sz w:val="16"/>
                <w:szCs w:val="17"/>
              </w:rPr>
              <w:t xml:space="preserve">Small Cap </w:t>
            </w:r>
            <w:r w:rsidR="00334AF7">
              <w:rPr>
                <w:rFonts w:ascii="Arial" w:hAnsi="Arial" w:cs="Arial"/>
                <w:b/>
                <w:color w:val="343433"/>
                <w:sz w:val="16"/>
                <w:szCs w:val="17"/>
              </w:rPr>
              <w:t>Value</w:t>
            </w:r>
          </w:p>
        </w:tc>
        <w:tc>
          <w:tcPr>
            <w:tcW w:w="9180" w:type="dxa"/>
            <w:tcBorders>
              <w:top w:val="single" w:sz="4" w:space="0" w:color="E7E6E6"/>
              <w:left w:val="single" w:sz="4" w:space="0" w:color="E7E6E6"/>
              <w:bottom w:val="single" w:sz="4" w:space="0" w:color="E7E6E6"/>
              <w:right w:val="single" w:sz="4" w:space="0" w:color="E7E6E6"/>
            </w:tcBorders>
          </w:tcPr>
          <w:p w14:paraId="063DD477" w14:textId="0B3464B4" w:rsidR="00A27DE3" w:rsidRDefault="00334AF7" w:rsidP="00A27DE3">
            <w:pPr>
              <w:spacing w:after="120"/>
              <w:rPr>
                <w:rFonts w:ascii="Arial" w:hAnsi="Arial" w:cs="Arial"/>
                <w:b/>
                <w:color w:val="343433"/>
                <w:sz w:val="16"/>
                <w:szCs w:val="17"/>
              </w:rPr>
            </w:pPr>
            <w:r w:rsidRPr="009B6440">
              <w:rPr>
                <w:rFonts w:ascii="Arial" w:hAnsi="Arial" w:cs="Arial"/>
                <w:b/>
                <w:color w:val="343433"/>
                <w:sz w:val="16"/>
                <w:szCs w:val="17"/>
              </w:rPr>
              <w:t>S&amp;P 600 Value</w:t>
            </w:r>
            <w:r>
              <w:rPr>
                <w:rFonts w:ascii="Arial" w:hAnsi="Arial" w:cs="Arial"/>
                <w:b/>
                <w:bCs/>
                <w:color w:val="343433"/>
                <w:sz w:val="16"/>
                <w:szCs w:val="16"/>
              </w:rPr>
              <w:t xml:space="preserve"> - </w:t>
            </w:r>
            <w:r w:rsidRPr="00334AF7">
              <w:rPr>
                <w:rFonts w:ascii="Arial" w:hAnsi="Arial" w:cs="Arial"/>
                <w:color w:val="343433"/>
                <w:sz w:val="16"/>
                <w:szCs w:val="16"/>
              </w:rPr>
              <w:t>measures the performance of the small cap value segment of the US equity market.</w:t>
            </w:r>
          </w:p>
        </w:tc>
      </w:tr>
      <w:tr w:rsidR="004A70CE" w14:paraId="589F241B"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48C75FE" w14:textId="1957B842"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Mid Cap Value</w:t>
            </w:r>
          </w:p>
        </w:tc>
        <w:tc>
          <w:tcPr>
            <w:tcW w:w="9180" w:type="dxa"/>
            <w:tcBorders>
              <w:top w:val="single" w:sz="4" w:space="0" w:color="E7E6E6"/>
              <w:left w:val="single" w:sz="4" w:space="0" w:color="E7E6E6"/>
              <w:bottom w:val="single" w:sz="4" w:space="0" w:color="E7E6E6"/>
              <w:right w:val="single" w:sz="4" w:space="0" w:color="E7E6E6"/>
            </w:tcBorders>
          </w:tcPr>
          <w:p w14:paraId="5B975B87" w14:textId="5F45B015"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400 Value</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mid cap value segment of the US equity market.</w:t>
            </w:r>
          </w:p>
        </w:tc>
      </w:tr>
      <w:tr w:rsidR="004A70CE" w14:paraId="6D9F294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0FEA055" w14:textId="04E16AE5"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Mid Cap Growth</w:t>
            </w:r>
          </w:p>
        </w:tc>
        <w:tc>
          <w:tcPr>
            <w:tcW w:w="9180" w:type="dxa"/>
            <w:tcBorders>
              <w:top w:val="single" w:sz="4" w:space="0" w:color="E7E6E6"/>
              <w:left w:val="single" w:sz="4" w:space="0" w:color="E7E6E6"/>
              <w:bottom w:val="single" w:sz="4" w:space="0" w:color="E7E6E6"/>
              <w:right w:val="single" w:sz="4" w:space="0" w:color="E7E6E6"/>
            </w:tcBorders>
          </w:tcPr>
          <w:p w14:paraId="13598DBC" w14:textId="1DDC3A71"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400 Growth</w:t>
            </w:r>
            <w:r>
              <w:rPr>
                <w:rFonts w:ascii="Arial" w:hAnsi="Arial" w:cs="Arial"/>
                <w:b/>
                <w:color w:val="000000"/>
                <w:sz w:val="16"/>
                <w:szCs w:val="16"/>
              </w:rPr>
              <w:t xml:space="preserve"> </w:t>
            </w:r>
            <w:r w:rsidRPr="00334AF7">
              <w:rPr>
                <w:rFonts w:ascii="Arial" w:hAnsi="Arial" w:cs="Arial"/>
                <w:bCs/>
                <w:color w:val="000000"/>
                <w:sz w:val="16"/>
                <w:szCs w:val="16"/>
              </w:rPr>
              <w:t>– meas</w:t>
            </w:r>
            <w:r>
              <w:rPr>
                <w:rFonts w:ascii="Arial" w:hAnsi="Arial" w:cs="Arial"/>
                <w:bCs/>
                <w:color w:val="000000"/>
                <w:sz w:val="16"/>
                <w:szCs w:val="16"/>
              </w:rPr>
              <w:t>ures the performance of the mid cap growth segment of the US equity market</w:t>
            </w:r>
          </w:p>
        </w:tc>
      </w:tr>
      <w:tr w:rsidR="004A70CE" w14:paraId="7C142D8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182B7DD" w14:textId="3ED9E4B6"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Large Cap Value</w:t>
            </w:r>
          </w:p>
        </w:tc>
        <w:tc>
          <w:tcPr>
            <w:tcW w:w="9180" w:type="dxa"/>
            <w:tcBorders>
              <w:top w:val="single" w:sz="4" w:space="0" w:color="E7E6E6"/>
              <w:left w:val="single" w:sz="4" w:space="0" w:color="E7E6E6"/>
              <w:bottom w:val="single" w:sz="4" w:space="0" w:color="E7E6E6"/>
              <w:right w:val="single" w:sz="4" w:space="0" w:color="E7E6E6"/>
            </w:tcBorders>
          </w:tcPr>
          <w:p w14:paraId="3ED492E5" w14:textId="078D79DB"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500 Value</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large cap value segment of the US equity market</w:t>
            </w:r>
          </w:p>
        </w:tc>
      </w:tr>
      <w:tr w:rsidR="004A70CE" w14:paraId="7374511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6CEA7CC6" w14:textId="12C18084"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Large Cap Growth</w:t>
            </w:r>
          </w:p>
        </w:tc>
        <w:tc>
          <w:tcPr>
            <w:tcW w:w="9180" w:type="dxa"/>
            <w:tcBorders>
              <w:top w:val="single" w:sz="4" w:space="0" w:color="E7E6E6"/>
              <w:left w:val="single" w:sz="4" w:space="0" w:color="E7E6E6"/>
              <w:bottom w:val="single" w:sz="4" w:space="0" w:color="E7E6E6"/>
              <w:right w:val="single" w:sz="4" w:space="0" w:color="E7E6E6"/>
            </w:tcBorders>
          </w:tcPr>
          <w:p w14:paraId="7AC1AF70" w14:textId="00256E1D"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500 Growth</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large cap growth segment of the US equity market</w:t>
            </w:r>
          </w:p>
        </w:tc>
      </w:tr>
      <w:tr w:rsidR="00A27DE3" w14:paraId="2BF00A1F"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F689800" w14:textId="6F64AC50" w:rsidR="00A27DE3" w:rsidRDefault="00A27DE3" w:rsidP="00A27DE3">
            <w:pPr>
              <w:spacing w:after="160"/>
              <w:rPr>
                <w:rFonts w:ascii="Arial" w:hAnsi="Arial" w:cs="Arial"/>
                <w:b/>
                <w:color w:val="343433"/>
                <w:sz w:val="16"/>
                <w:szCs w:val="17"/>
              </w:rPr>
            </w:pPr>
            <w:r>
              <w:rPr>
                <w:rFonts w:ascii="Arial" w:hAnsi="Arial" w:cs="Arial"/>
                <w:b/>
                <w:color w:val="343433"/>
                <w:sz w:val="16"/>
                <w:szCs w:val="17"/>
              </w:rPr>
              <w:t>US Bonds</w:t>
            </w:r>
          </w:p>
        </w:tc>
        <w:tc>
          <w:tcPr>
            <w:tcW w:w="9180" w:type="dxa"/>
            <w:tcBorders>
              <w:top w:val="single" w:sz="4" w:space="0" w:color="E7E6E6"/>
              <w:left w:val="single" w:sz="4" w:space="0" w:color="E7E6E6"/>
              <w:bottom w:val="single" w:sz="4" w:space="0" w:color="E7E6E6"/>
              <w:right w:val="single" w:sz="4" w:space="0" w:color="E7E6E6"/>
            </w:tcBorders>
          </w:tcPr>
          <w:p w14:paraId="5A9BF417" w14:textId="414ACADE" w:rsidR="00A27DE3" w:rsidRPr="0040163B" w:rsidRDefault="00A27DE3" w:rsidP="00A27DE3">
            <w:pPr>
              <w:spacing w:after="120"/>
              <w:rPr>
                <w:rFonts w:ascii="Arial" w:hAnsi="Arial" w:cs="Arial"/>
                <w:b/>
                <w:color w:val="343433"/>
                <w:sz w:val="16"/>
                <w:szCs w:val="17"/>
              </w:rPr>
            </w:pPr>
            <w:r>
              <w:rPr>
                <w:rFonts w:ascii="Arial" w:hAnsi="Arial" w:cs="Arial"/>
                <w:b/>
                <w:color w:val="343433"/>
                <w:sz w:val="16"/>
                <w:szCs w:val="17"/>
              </w:rPr>
              <w:t xml:space="preserve">Bloomberg US Aggregate </w:t>
            </w:r>
            <w:r w:rsidRPr="009B6440">
              <w:rPr>
                <w:rFonts w:ascii="Arial" w:hAnsi="Arial" w:cs="Arial"/>
                <w:bCs/>
                <w:color w:val="000000"/>
                <w:sz w:val="16"/>
                <w:szCs w:val="16"/>
              </w:rPr>
              <w:t>—</w:t>
            </w:r>
            <w:r w:rsidRPr="009B6440">
              <w:rPr>
                <w:rFonts w:ascii="Arial" w:hAnsi="Arial" w:cs="Arial"/>
                <w:b/>
                <w:color w:val="000000"/>
                <w:sz w:val="16"/>
                <w:szCs w:val="16"/>
              </w:rPr>
              <w:t xml:space="preserve"> </w:t>
            </w:r>
            <w:r>
              <w:rPr>
                <w:rFonts w:ascii="Arial" w:hAnsi="Arial" w:cs="Arial"/>
                <w:color w:val="343433"/>
                <w:sz w:val="16"/>
                <w:szCs w:val="17"/>
              </w:rPr>
              <w:t xml:space="preserve">measures the market of USD-denominated, investment grade, fixed-rate taxable bond market of SEC-registered securities, including bonds from the Treasury, government-related, corporate, mortgage-backed securities (agency fixed-rate and hybrid ARM passthroughs), ABS and CMBS sectors. US Agency Hybrid </w:t>
            </w:r>
            <w:proofErr w:type="gramStart"/>
            <w:r>
              <w:rPr>
                <w:rFonts w:ascii="Arial" w:hAnsi="Arial" w:cs="Arial"/>
                <w:color w:val="343433"/>
                <w:sz w:val="16"/>
                <w:szCs w:val="17"/>
              </w:rPr>
              <w:t>Adjustable Rate</w:t>
            </w:r>
            <w:proofErr w:type="gramEnd"/>
            <w:r>
              <w:rPr>
                <w:rFonts w:ascii="Arial" w:hAnsi="Arial" w:cs="Arial"/>
                <w:color w:val="343433"/>
                <w:sz w:val="16"/>
                <w:szCs w:val="17"/>
              </w:rPr>
              <w:t xml:space="preserve"> Mortgage (ARM) securities were added to the US Aggregate Index on April 1, 2007. </w:t>
            </w:r>
          </w:p>
        </w:tc>
      </w:tr>
      <w:tr w:rsidR="00A27DE3" w14:paraId="563AD8A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24671F2" w14:textId="042C2D37" w:rsidR="00A27DE3" w:rsidRDefault="00A27DE3" w:rsidP="00A27DE3">
            <w:pPr>
              <w:spacing w:after="160"/>
              <w:rPr>
                <w:rFonts w:ascii="Arial" w:hAnsi="Arial" w:cs="Arial"/>
                <w:b/>
                <w:color w:val="343433"/>
                <w:sz w:val="16"/>
                <w:szCs w:val="17"/>
              </w:rPr>
            </w:pPr>
            <w:r>
              <w:rPr>
                <w:rFonts w:ascii="Arial" w:hAnsi="Arial" w:cs="Arial"/>
                <w:b/>
                <w:color w:val="343433"/>
                <w:sz w:val="16"/>
                <w:szCs w:val="17"/>
              </w:rPr>
              <w:t>International Bonds</w:t>
            </w:r>
          </w:p>
        </w:tc>
        <w:tc>
          <w:tcPr>
            <w:tcW w:w="9180" w:type="dxa"/>
            <w:tcBorders>
              <w:top w:val="single" w:sz="4" w:space="0" w:color="E7E6E6"/>
              <w:left w:val="single" w:sz="4" w:space="0" w:color="E7E6E6"/>
              <w:bottom w:val="single" w:sz="4" w:space="0" w:color="E7E6E6"/>
              <w:right w:val="single" w:sz="4" w:space="0" w:color="E7E6E6"/>
            </w:tcBorders>
          </w:tcPr>
          <w:p w14:paraId="138E540B" w14:textId="04F7F5B7" w:rsidR="00A27DE3" w:rsidRPr="005C0619" w:rsidRDefault="00A27DE3" w:rsidP="00A27DE3">
            <w:pPr>
              <w:spacing w:after="120"/>
              <w:rPr>
                <w:rFonts w:ascii="Arial" w:hAnsi="Arial" w:cs="Arial"/>
                <w:color w:val="343433"/>
                <w:sz w:val="16"/>
                <w:szCs w:val="17"/>
              </w:rPr>
            </w:pPr>
            <w:r w:rsidRPr="0040163B">
              <w:rPr>
                <w:rFonts w:ascii="Arial" w:hAnsi="Arial" w:cs="Arial"/>
                <w:b/>
                <w:color w:val="343433"/>
                <w:sz w:val="16"/>
                <w:szCs w:val="17"/>
              </w:rPr>
              <w:t>Bloomberg Global Aggregate ex USD</w:t>
            </w:r>
            <w:r w:rsidRPr="0040163B">
              <w:rPr>
                <w:rFonts w:ascii="Arial" w:hAnsi="Arial" w:cs="Arial"/>
                <w:color w:val="343433"/>
                <w:sz w:val="16"/>
                <w:szCs w:val="17"/>
              </w:rPr>
              <w:t xml:space="preserve"> - is a flagship hard currency Emerg</w:t>
            </w:r>
            <w:r>
              <w:rPr>
                <w:rFonts w:ascii="Arial" w:hAnsi="Arial" w:cs="Arial"/>
                <w:color w:val="343433"/>
                <w:sz w:val="16"/>
                <w:szCs w:val="17"/>
              </w:rPr>
              <w:t>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A27DE3" w14:paraId="660109FC"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A9744E8" w14:textId="2CBBC206" w:rsidR="00A27DE3" w:rsidRDefault="00A27DE3" w:rsidP="00A27DE3">
            <w:pPr>
              <w:spacing w:after="160"/>
              <w:rPr>
                <w:rFonts w:ascii="Arial" w:hAnsi="Arial" w:cs="Arial"/>
                <w:b/>
                <w:color w:val="343433"/>
                <w:sz w:val="16"/>
                <w:szCs w:val="17"/>
              </w:rPr>
            </w:pPr>
            <w:r>
              <w:rPr>
                <w:rFonts w:ascii="Arial" w:hAnsi="Arial" w:cs="Arial"/>
                <w:b/>
                <w:color w:val="343433"/>
                <w:sz w:val="16"/>
                <w:szCs w:val="17"/>
              </w:rPr>
              <w:t>Emerging Markets Bonds</w:t>
            </w:r>
          </w:p>
        </w:tc>
        <w:tc>
          <w:tcPr>
            <w:tcW w:w="9180" w:type="dxa"/>
            <w:tcBorders>
              <w:top w:val="single" w:sz="4" w:space="0" w:color="E7E6E6"/>
              <w:left w:val="single" w:sz="4" w:space="0" w:color="E7E6E6"/>
              <w:bottom w:val="single" w:sz="4" w:space="0" w:color="E7E6E6"/>
              <w:right w:val="single" w:sz="4" w:space="0" w:color="E7E6E6"/>
            </w:tcBorders>
          </w:tcPr>
          <w:p w14:paraId="083B4CE1" w14:textId="7570E0A4" w:rsidR="00A27DE3" w:rsidRPr="00D17BCA" w:rsidRDefault="00A27DE3" w:rsidP="00A27DE3">
            <w:pPr>
              <w:spacing w:after="160"/>
              <w:rPr>
                <w:rFonts w:ascii="Arial" w:hAnsi="Arial" w:cs="Arial"/>
                <w:color w:val="343433"/>
                <w:sz w:val="16"/>
                <w:szCs w:val="17"/>
              </w:rPr>
            </w:pPr>
            <w:r w:rsidRPr="0040163B">
              <w:rPr>
                <w:rFonts w:ascii="Arial" w:hAnsi="Arial" w:cs="Arial"/>
                <w:b/>
                <w:color w:val="343433"/>
                <w:sz w:val="16"/>
                <w:szCs w:val="17"/>
              </w:rPr>
              <w:t>Bloomberg Emerging Markets USD Aggregate</w:t>
            </w:r>
            <w:r w:rsidRPr="0040163B">
              <w:rPr>
                <w:rFonts w:ascii="Arial" w:hAnsi="Arial" w:cs="Arial"/>
                <w:color w:val="343433"/>
                <w:sz w:val="16"/>
                <w:szCs w:val="17"/>
              </w:rPr>
              <w:t xml:space="preserve"> - is a </w:t>
            </w:r>
            <w:r>
              <w:rPr>
                <w:rFonts w:ascii="Arial" w:hAnsi="Arial" w:cs="Arial"/>
                <w:color w:val="343433"/>
                <w:sz w:val="16"/>
                <w:szCs w:val="17"/>
              </w:rPr>
              <w:t>flagship hard currency Emerging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A27DE3" w14:paraId="4B1FDE88"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A7E2563" w14:textId="2C6CF1E9" w:rsidR="00A27DE3" w:rsidRDefault="00A27DE3" w:rsidP="00A27DE3">
            <w:pPr>
              <w:spacing w:after="160"/>
              <w:rPr>
                <w:rFonts w:ascii="Arial" w:hAnsi="Arial" w:cs="Arial"/>
                <w:b/>
                <w:color w:val="343433"/>
                <w:sz w:val="16"/>
                <w:szCs w:val="17"/>
              </w:rPr>
            </w:pPr>
            <w:r>
              <w:rPr>
                <w:rFonts w:ascii="Arial" w:hAnsi="Arial" w:cs="Arial"/>
                <w:b/>
                <w:color w:val="343433"/>
                <w:sz w:val="16"/>
                <w:szCs w:val="17"/>
              </w:rPr>
              <w:t>TIPS</w:t>
            </w:r>
          </w:p>
        </w:tc>
        <w:tc>
          <w:tcPr>
            <w:tcW w:w="9180" w:type="dxa"/>
            <w:tcBorders>
              <w:top w:val="single" w:sz="4" w:space="0" w:color="E7E6E6"/>
              <w:left w:val="single" w:sz="4" w:space="0" w:color="E7E6E6"/>
              <w:bottom w:val="single" w:sz="4" w:space="0" w:color="E7E6E6"/>
              <w:right w:val="single" w:sz="4" w:space="0" w:color="E7E6E6"/>
            </w:tcBorders>
          </w:tcPr>
          <w:p w14:paraId="646D2B38" w14:textId="0241B1D7" w:rsidR="00A27DE3" w:rsidRPr="0040163B" w:rsidRDefault="00431ABC" w:rsidP="00A27DE3">
            <w:pPr>
              <w:spacing w:after="160"/>
              <w:rPr>
                <w:rFonts w:ascii="Arial" w:hAnsi="Arial" w:cs="Arial"/>
                <w:b/>
                <w:color w:val="343433"/>
                <w:sz w:val="16"/>
                <w:szCs w:val="17"/>
              </w:rPr>
            </w:pPr>
            <w:r>
              <w:rPr>
                <w:rFonts w:ascii="Arial" w:hAnsi="Arial" w:cs="Arial"/>
                <w:b/>
                <w:color w:val="343433"/>
                <w:sz w:val="16"/>
                <w:szCs w:val="17"/>
              </w:rPr>
              <w:t>B</w:t>
            </w:r>
            <w:r w:rsidR="00BB3771">
              <w:rPr>
                <w:rFonts w:ascii="Arial" w:hAnsi="Arial" w:cs="Arial"/>
                <w:b/>
                <w:color w:val="343433"/>
                <w:sz w:val="16"/>
                <w:szCs w:val="17"/>
              </w:rPr>
              <w:t>loomberg</w:t>
            </w:r>
            <w:r>
              <w:rPr>
                <w:rFonts w:ascii="Arial" w:hAnsi="Arial" w:cs="Arial"/>
                <w:b/>
                <w:color w:val="343433"/>
                <w:sz w:val="16"/>
                <w:szCs w:val="17"/>
              </w:rPr>
              <w:t xml:space="preserve"> US TIPS</w:t>
            </w:r>
            <w:r w:rsidR="00A27DE3">
              <w:rPr>
                <w:rFonts w:ascii="Arial" w:hAnsi="Arial" w:cs="Arial"/>
                <w:b/>
                <w:color w:val="343433"/>
                <w:sz w:val="16"/>
                <w:szCs w:val="17"/>
              </w:rPr>
              <w:t xml:space="preserve"> </w:t>
            </w:r>
            <w:r w:rsidR="00A27DE3" w:rsidRPr="00431ABC">
              <w:rPr>
                <w:rFonts w:ascii="Arial" w:hAnsi="Arial" w:cs="Arial"/>
                <w:bCs/>
                <w:color w:val="343433"/>
                <w:sz w:val="16"/>
                <w:szCs w:val="17"/>
              </w:rPr>
              <w:t>-</w:t>
            </w:r>
            <w:r w:rsidR="00A27DE3">
              <w:rPr>
                <w:rFonts w:ascii="Arial" w:hAnsi="Arial" w:cs="Arial"/>
                <w:b/>
                <w:color w:val="343433"/>
                <w:sz w:val="16"/>
                <w:szCs w:val="17"/>
              </w:rPr>
              <w:t xml:space="preserve"> </w:t>
            </w:r>
            <w:r w:rsidRPr="00431ABC">
              <w:rPr>
                <w:rFonts w:ascii="Arial" w:hAnsi="Arial" w:cs="Arial"/>
                <w:color w:val="343433"/>
                <w:sz w:val="16"/>
                <w:szCs w:val="17"/>
              </w:rPr>
              <w:t>measures the performance of inflation-protected securities issued by the US Treasury.</w:t>
            </w:r>
          </w:p>
        </w:tc>
      </w:tr>
      <w:tr w:rsidR="00BB3771" w14:paraId="5DEB02D2"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6C8C1C" w14:textId="7F76BDF9" w:rsidR="00BB3771" w:rsidRDefault="00BB3771" w:rsidP="00A27DE3">
            <w:pPr>
              <w:spacing w:after="160"/>
              <w:rPr>
                <w:rFonts w:ascii="Arial" w:hAnsi="Arial" w:cs="Arial"/>
                <w:b/>
                <w:color w:val="343433"/>
                <w:sz w:val="16"/>
                <w:szCs w:val="17"/>
              </w:rPr>
            </w:pPr>
            <w:r>
              <w:rPr>
                <w:rFonts w:ascii="Arial" w:hAnsi="Arial" w:cs="Arial"/>
                <w:b/>
                <w:color w:val="343433"/>
                <w:sz w:val="16"/>
                <w:szCs w:val="17"/>
              </w:rPr>
              <w:t>US Long Treasuries</w:t>
            </w:r>
          </w:p>
        </w:tc>
        <w:tc>
          <w:tcPr>
            <w:tcW w:w="9180" w:type="dxa"/>
            <w:tcBorders>
              <w:top w:val="single" w:sz="4" w:space="0" w:color="E7E6E6"/>
              <w:left w:val="single" w:sz="4" w:space="0" w:color="E7E6E6"/>
              <w:bottom w:val="single" w:sz="4" w:space="0" w:color="E7E6E6"/>
              <w:right w:val="single" w:sz="4" w:space="0" w:color="E7E6E6"/>
            </w:tcBorders>
          </w:tcPr>
          <w:p w14:paraId="7547C8B0" w14:textId="5EF0F414" w:rsidR="00BB3771" w:rsidRPr="00BB3771" w:rsidRDefault="00BB3771" w:rsidP="00A27DE3">
            <w:pPr>
              <w:spacing w:after="160"/>
              <w:rPr>
                <w:rFonts w:ascii="Arial" w:hAnsi="Arial" w:cs="Arial"/>
                <w:bCs/>
                <w:color w:val="343433"/>
                <w:sz w:val="16"/>
                <w:szCs w:val="17"/>
              </w:rPr>
            </w:pPr>
            <w:r w:rsidRPr="00BB3771">
              <w:rPr>
                <w:rFonts w:ascii="Arial" w:hAnsi="Arial" w:cs="Arial"/>
                <w:b/>
                <w:color w:val="343433"/>
                <w:sz w:val="16"/>
                <w:szCs w:val="17"/>
              </w:rPr>
              <w:t>Bloomberg Long Treasuries</w:t>
            </w:r>
            <w:r>
              <w:rPr>
                <w:rFonts w:ascii="Arial" w:hAnsi="Arial" w:cs="Arial"/>
                <w:bCs/>
                <w:color w:val="343433"/>
                <w:sz w:val="16"/>
                <w:szCs w:val="17"/>
              </w:rPr>
              <w:t xml:space="preserve"> - </w:t>
            </w:r>
            <w:r w:rsidRPr="00BB3771">
              <w:rPr>
                <w:rFonts w:ascii="Arial" w:hAnsi="Arial" w:cs="Arial"/>
                <w:bCs/>
                <w:color w:val="343433"/>
                <w:sz w:val="16"/>
                <w:szCs w:val="17"/>
              </w:rPr>
              <w:t xml:space="preserve">measures the performance of </w:t>
            </w:r>
            <w:r>
              <w:rPr>
                <w:rFonts w:ascii="Arial" w:hAnsi="Arial" w:cs="Arial"/>
                <w:bCs/>
                <w:color w:val="343433"/>
                <w:sz w:val="16"/>
                <w:szCs w:val="17"/>
              </w:rPr>
              <w:t>long</w:t>
            </w:r>
            <w:r w:rsidRPr="00BB3771">
              <w:rPr>
                <w:rFonts w:ascii="Arial" w:hAnsi="Arial" w:cs="Arial"/>
                <w:bCs/>
                <w:color w:val="343433"/>
                <w:sz w:val="16"/>
                <w:szCs w:val="17"/>
              </w:rPr>
              <w:t>-term US Treasury bonds, including all publicly issued securities that have a remaining maturity of ten or more years, are: non-convertible, denominated in US dollars, rated investment-grade, fixed-rate and have $250 or more of outstanding face value.</w:t>
            </w:r>
          </w:p>
        </w:tc>
      </w:tr>
      <w:tr w:rsidR="00A27DE3" w14:paraId="42045002"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F5B748E" w14:textId="3A3661E6" w:rsidR="00A27DE3" w:rsidRDefault="00A27DE3" w:rsidP="00A27DE3">
            <w:pPr>
              <w:spacing w:after="160"/>
              <w:rPr>
                <w:rFonts w:ascii="Arial" w:hAnsi="Arial" w:cs="Arial"/>
                <w:b/>
                <w:color w:val="343433"/>
                <w:sz w:val="16"/>
                <w:szCs w:val="17"/>
              </w:rPr>
            </w:pPr>
            <w:r>
              <w:rPr>
                <w:rFonts w:ascii="Arial" w:hAnsi="Arial" w:cs="Arial"/>
                <w:b/>
                <w:color w:val="343433"/>
                <w:sz w:val="16"/>
                <w:szCs w:val="17"/>
              </w:rPr>
              <w:t>High-Yield Bonds</w:t>
            </w:r>
          </w:p>
        </w:tc>
        <w:tc>
          <w:tcPr>
            <w:tcW w:w="9180" w:type="dxa"/>
            <w:tcBorders>
              <w:top w:val="single" w:sz="4" w:space="0" w:color="E7E6E6"/>
              <w:left w:val="single" w:sz="4" w:space="0" w:color="E7E6E6"/>
              <w:bottom w:val="single" w:sz="4" w:space="0" w:color="E7E6E6"/>
              <w:right w:val="single" w:sz="4" w:space="0" w:color="E7E6E6"/>
            </w:tcBorders>
          </w:tcPr>
          <w:p w14:paraId="62932521" w14:textId="535686DD" w:rsidR="00A27DE3" w:rsidRDefault="00A27DE3" w:rsidP="00A27DE3">
            <w:pPr>
              <w:spacing w:after="160"/>
              <w:rPr>
                <w:rFonts w:ascii="Arial" w:hAnsi="Arial" w:cs="Arial"/>
                <w:b/>
                <w:color w:val="343433"/>
                <w:sz w:val="16"/>
                <w:szCs w:val="17"/>
              </w:rPr>
            </w:pPr>
            <w:r w:rsidRPr="0040163B">
              <w:rPr>
                <w:rFonts w:ascii="Arial" w:hAnsi="Arial" w:cs="Arial"/>
                <w:b/>
                <w:color w:val="343433"/>
                <w:sz w:val="16"/>
                <w:szCs w:val="17"/>
              </w:rPr>
              <w:t>Bloomberg US Corporate High Yield</w:t>
            </w:r>
            <w:r w:rsidRPr="0040163B">
              <w:rPr>
                <w:rFonts w:ascii="Arial" w:hAnsi="Arial" w:cs="Arial"/>
                <w:color w:val="343433"/>
                <w:sz w:val="16"/>
                <w:szCs w:val="17"/>
              </w:rPr>
              <w:t xml:space="preserve"> - measures the market of USD-denominated, non-investment grade, fixed-rate, taxable corporate bonds. Securities are classified as high yield if the middle rating of Moody’s, Fitch, and S&amp;P is Ba1/BB+/BB+ or below. The index excludes emerging market debt.</w:t>
            </w:r>
          </w:p>
        </w:tc>
      </w:tr>
      <w:tr w:rsidR="00A27DE3" w14:paraId="6026723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4F360E3" w14:textId="44B9B165" w:rsidR="00A27DE3" w:rsidRPr="002C384C" w:rsidRDefault="00A27DE3" w:rsidP="00A27DE3">
            <w:pPr>
              <w:spacing w:after="160"/>
              <w:rPr>
                <w:rFonts w:ascii="Arial" w:hAnsi="Arial" w:cs="Arial"/>
                <w:b/>
                <w:color w:val="343433"/>
                <w:sz w:val="16"/>
                <w:szCs w:val="17"/>
              </w:rPr>
            </w:pPr>
            <w:r w:rsidRPr="00FC2692">
              <w:rPr>
                <w:rFonts w:ascii="Arial" w:hAnsi="Arial" w:cs="Arial"/>
                <w:b/>
                <w:color w:val="343433"/>
                <w:sz w:val="16"/>
                <w:szCs w:val="17"/>
              </w:rPr>
              <w:t>Utilities</w:t>
            </w:r>
          </w:p>
        </w:tc>
        <w:tc>
          <w:tcPr>
            <w:tcW w:w="9180" w:type="dxa"/>
            <w:tcBorders>
              <w:top w:val="single" w:sz="4" w:space="0" w:color="E7E6E6"/>
              <w:left w:val="single" w:sz="4" w:space="0" w:color="E7E6E6"/>
              <w:bottom w:val="single" w:sz="4" w:space="0" w:color="E7E6E6"/>
              <w:right w:val="single" w:sz="4" w:space="0" w:color="E7E6E6"/>
            </w:tcBorders>
          </w:tcPr>
          <w:p w14:paraId="47D8B862" w14:textId="20B74EB3" w:rsidR="00A27DE3" w:rsidRPr="002C384C" w:rsidRDefault="00A27DE3" w:rsidP="00A27DE3">
            <w:pPr>
              <w:spacing w:after="160"/>
              <w:rPr>
                <w:rFonts w:ascii="Arial" w:hAnsi="Arial" w:cs="Arial"/>
                <w:color w:val="000000"/>
                <w:sz w:val="16"/>
                <w:szCs w:val="16"/>
              </w:rPr>
            </w:pPr>
            <w:r w:rsidRPr="002812BF">
              <w:rPr>
                <w:rFonts w:ascii="Arial" w:hAnsi="Arial" w:cs="Arial"/>
                <w:b/>
                <w:color w:val="343433"/>
                <w:sz w:val="16"/>
                <w:szCs w:val="17"/>
              </w:rPr>
              <w:t>S&amp;P 500 Sector</w:t>
            </w:r>
            <w:r w:rsidR="00FC2692" w:rsidRPr="002812BF">
              <w:rPr>
                <w:rFonts w:ascii="Arial" w:hAnsi="Arial" w:cs="Arial"/>
                <w:b/>
                <w:color w:val="343433"/>
                <w:sz w:val="16"/>
                <w:szCs w:val="17"/>
              </w:rPr>
              <w:t xml:space="preserve"> Utilities</w:t>
            </w:r>
            <w:r>
              <w:rPr>
                <w:rFonts w:ascii="Arial" w:hAnsi="Arial" w:cs="Arial"/>
                <w:b/>
                <w:color w:val="000000"/>
                <w:sz w:val="16"/>
                <w:szCs w:val="16"/>
              </w:rPr>
              <w:t xml:space="preserve"> - </w:t>
            </w:r>
            <w:r w:rsidR="00FC2692" w:rsidRPr="00FC2692">
              <w:rPr>
                <w:rFonts w:ascii="Arial" w:hAnsi="Arial" w:cs="Arial"/>
                <w:bCs/>
                <w:color w:val="000000"/>
                <w:sz w:val="16"/>
                <w:szCs w:val="16"/>
              </w:rPr>
              <w:t xml:space="preserve">measures the performance of companies that product, generate, transmit or distribute electricity, </w:t>
            </w:r>
            <w:proofErr w:type="gramStart"/>
            <w:r w:rsidR="00FC2692" w:rsidRPr="00FC2692">
              <w:rPr>
                <w:rFonts w:ascii="Arial" w:hAnsi="Arial" w:cs="Arial"/>
                <w:bCs/>
                <w:color w:val="000000"/>
                <w:sz w:val="16"/>
                <w:szCs w:val="16"/>
              </w:rPr>
              <w:t>water</w:t>
            </w:r>
            <w:proofErr w:type="gramEnd"/>
            <w:r w:rsidR="00FC2692" w:rsidRPr="00FC2692">
              <w:rPr>
                <w:rFonts w:ascii="Arial" w:hAnsi="Arial" w:cs="Arial"/>
                <w:bCs/>
                <w:color w:val="000000"/>
                <w:sz w:val="16"/>
                <w:szCs w:val="16"/>
              </w:rPr>
              <w:t xml:space="preserve"> or natural gas, and also includes power producers &amp; energy traders and companies that engage in generation and distribution of electricity using renewable sources</w:t>
            </w:r>
            <w:r w:rsidRPr="00BD5DF5">
              <w:rPr>
                <w:rFonts w:ascii="Arial" w:hAnsi="Arial" w:cs="Arial"/>
                <w:bCs/>
                <w:color w:val="000000"/>
                <w:sz w:val="16"/>
                <w:szCs w:val="16"/>
              </w:rPr>
              <w:t>.</w:t>
            </w:r>
          </w:p>
        </w:tc>
      </w:tr>
      <w:tr w:rsidR="009D6404" w14:paraId="1D54909C"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7442FAE" w14:textId="01AF874C" w:rsidR="009D6404" w:rsidRPr="00FC2692" w:rsidRDefault="009D6404" w:rsidP="00A27DE3">
            <w:pPr>
              <w:spacing w:after="160"/>
              <w:rPr>
                <w:rFonts w:ascii="Arial" w:hAnsi="Arial" w:cs="Arial"/>
                <w:b/>
                <w:color w:val="343433"/>
                <w:sz w:val="16"/>
                <w:szCs w:val="17"/>
              </w:rPr>
            </w:pPr>
            <w:r>
              <w:rPr>
                <w:rFonts w:ascii="Arial" w:hAnsi="Arial" w:cs="Arial"/>
                <w:b/>
                <w:color w:val="343433"/>
                <w:sz w:val="16"/>
                <w:szCs w:val="17"/>
              </w:rPr>
              <w:t>Consumer Staples</w:t>
            </w:r>
          </w:p>
        </w:tc>
        <w:tc>
          <w:tcPr>
            <w:tcW w:w="9180" w:type="dxa"/>
            <w:tcBorders>
              <w:top w:val="single" w:sz="4" w:space="0" w:color="E7E6E6"/>
              <w:left w:val="single" w:sz="4" w:space="0" w:color="E7E6E6"/>
              <w:bottom w:val="single" w:sz="4" w:space="0" w:color="E7E6E6"/>
              <w:right w:val="single" w:sz="4" w:space="0" w:color="E7E6E6"/>
            </w:tcBorders>
          </w:tcPr>
          <w:p w14:paraId="1DE60B84" w14:textId="50D155E1" w:rsidR="009D6404" w:rsidRPr="009D6404" w:rsidRDefault="009D6404" w:rsidP="00A27DE3">
            <w:pPr>
              <w:spacing w:after="160"/>
              <w:rPr>
                <w:rFonts w:ascii="Arial" w:hAnsi="Arial" w:cs="Arial"/>
                <w:bCs/>
                <w:color w:val="343433"/>
                <w:sz w:val="16"/>
                <w:szCs w:val="17"/>
              </w:rPr>
            </w:pPr>
            <w:r w:rsidRPr="009D6404">
              <w:rPr>
                <w:rFonts w:ascii="Arial" w:hAnsi="Arial" w:cs="Arial"/>
                <w:b/>
                <w:color w:val="343433"/>
                <w:sz w:val="16"/>
                <w:szCs w:val="17"/>
              </w:rPr>
              <w:t>S&amp;P 500 Sector Consumer Staples</w:t>
            </w:r>
            <w:r>
              <w:rPr>
                <w:rFonts w:ascii="Arial" w:hAnsi="Arial" w:cs="Arial"/>
                <w:bCs/>
                <w:color w:val="343433"/>
                <w:sz w:val="16"/>
                <w:szCs w:val="17"/>
              </w:rPr>
              <w:t xml:space="preserve"> - </w:t>
            </w:r>
            <w:r w:rsidRPr="009D6404">
              <w:rPr>
                <w:rFonts w:ascii="Arial" w:hAnsi="Arial" w:cs="Arial"/>
                <w:bCs/>
                <w:color w:val="343433"/>
                <w:sz w:val="16"/>
                <w:szCs w:val="17"/>
              </w:rPr>
              <w:t>measures the performance of companies involved in the development and production of consumer products including: food and drug retailing, beverages, food products, tobacco, household products and personal products.</w:t>
            </w:r>
          </w:p>
        </w:tc>
      </w:tr>
      <w:tr w:rsidR="00A27DE3" w14:paraId="19E11C1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B09A424" w14:textId="32663A07" w:rsidR="00A27DE3" w:rsidRDefault="00A27DE3" w:rsidP="00A27DE3">
            <w:pPr>
              <w:spacing w:after="160"/>
              <w:rPr>
                <w:rFonts w:ascii="Arial" w:hAnsi="Arial" w:cs="Arial"/>
                <w:b/>
                <w:color w:val="343433"/>
                <w:sz w:val="16"/>
                <w:szCs w:val="17"/>
              </w:rPr>
            </w:pPr>
            <w:r>
              <w:rPr>
                <w:rFonts w:ascii="Arial" w:hAnsi="Arial" w:cs="Arial"/>
                <w:b/>
                <w:color w:val="343433"/>
                <w:sz w:val="16"/>
                <w:szCs w:val="17"/>
              </w:rPr>
              <w:t>Co</w:t>
            </w:r>
            <w:r w:rsidR="00BB3771">
              <w:rPr>
                <w:rFonts w:ascii="Arial" w:hAnsi="Arial" w:cs="Arial"/>
                <w:b/>
                <w:color w:val="343433"/>
                <w:sz w:val="16"/>
                <w:szCs w:val="17"/>
              </w:rPr>
              <w:t>mmunication Services</w:t>
            </w:r>
          </w:p>
        </w:tc>
        <w:tc>
          <w:tcPr>
            <w:tcW w:w="9180" w:type="dxa"/>
            <w:tcBorders>
              <w:top w:val="single" w:sz="4" w:space="0" w:color="E7E6E6"/>
              <w:left w:val="single" w:sz="4" w:space="0" w:color="E7E6E6"/>
              <w:bottom w:val="single" w:sz="4" w:space="0" w:color="E7E6E6"/>
              <w:right w:val="single" w:sz="4" w:space="0" w:color="E7E6E6"/>
            </w:tcBorders>
          </w:tcPr>
          <w:p w14:paraId="1BEACDAD" w14:textId="096303DA" w:rsidR="00A27DE3" w:rsidRPr="00FC2692" w:rsidRDefault="00FC2692" w:rsidP="00A27DE3">
            <w:pPr>
              <w:spacing w:after="160"/>
              <w:rPr>
                <w:rFonts w:ascii="Arial" w:hAnsi="Arial" w:cs="Arial"/>
                <w:bCs/>
                <w:color w:val="000000"/>
                <w:sz w:val="16"/>
                <w:szCs w:val="16"/>
              </w:rPr>
            </w:pPr>
            <w:r w:rsidRPr="002812BF">
              <w:rPr>
                <w:rFonts w:ascii="Arial" w:hAnsi="Arial" w:cs="Arial"/>
                <w:b/>
                <w:color w:val="343433"/>
                <w:sz w:val="16"/>
                <w:szCs w:val="17"/>
              </w:rPr>
              <w:t>S&amp;P 500 Sector Co</w:t>
            </w:r>
            <w:r w:rsidR="00BB3771" w:rsidRPr="002812BF">
              <w:rPr>
                <w:rFonts w:ascii="Arial" w:hAnsi="Arial" w:cs="Arial"/>
                <w:b/>
                <w:color w:val="343433"/>
                <w:sz w:val="16"/>
                <w:szCs w:val="17"/>
              </w:rPr>
              <w:t>mmunication Services</w:t>
            </w:r>
            <w:r>
              <w:rPr>
                <w:rFonts w:ascii="Arial" w:hAnsi="Arial" w:cs="Arial"/>
                <w:b/>
                <w:color w:val="000000"/>
                <w:sz w:val="16"/>
                <w:szCs w:val="16"/>
              </w:rPr>
              <w:t xml:space="preserve"> - </w:t>
            </w:r>
            <w:r w:rsidR="00BB3771" w:rsidRPr="00BB3771">
              <w:rPr>
                <w:rFonts w:ascii="Arial" w:hAnsi="Arial" w:cs="Arial"/>
                <w:bCs/>
                <w:color w:val="000000"/>
                <w:sz w:val="16"/>
                <w:szCs w:val="16"/>
              </w:rPr>
              <w:t>measures the performance of companies from the media, retailing, and software &amp; services industries in the U.S</w:t>
            </w:r>
            <w:r w:rsidR="00BB3771">
              <w:rPr>
                <w:rFonts w:ascii="Arial" w:hAnsi="Arial" w:cs="Arial"/>
                <w:bCs/>
                <w:color w:val="000000"/>
                <w:sz w:val="16"/>
                <w:szCs w:val="16"/>
              </w:rPr>
              <w:t>.</w:t>
            </w:r>
          </w:p>
        </w:tc>
      </w:tr>
      <w:tr w:rsidR="00A27DE3" w14:paraId="55BBB1A9" w14:textId="77777777" w:rsidTr="00BB3771">
        <w:trPr>
          <w:trHeight w:val="833"/>
        </w:trPr>
        <w:tc>
          <w:tcPr>
            <w:tcW w:w="1615" w:type="dxa"/>
            <w:tcBorders>
              <w:top w:val="single" w:sz="4" w:space="0" w:color="E7E6E6"/>
              <w:left w:val="single" w:sz="4" w:space="0" w:color="E7E6E6"/>
              <w:bottom w:val="single" w:sz="4" w:space="0" w:color="E7E6E6"/>
              <w:right w:val="single" w:sz="4" w:space="0" w:color="E7E6E6"/>
            </w:tcBorders>
          </w:tcPr>
          <w:p w14:paraId="4F870CF7" w14:textId="64AC009D" w:rsidR="00BB3771" w:rsidRPr="009B6440" w:rsidRDefault="00BB3771" w:rsidP="00BB3771">
            <w:pPr>
              <w:spacing w:after="160"/>
              <w:rPr>
                <w:rFonts w:ascii="Arial" w:hAnsi="Arial" w:cs="Arial"/>
                <w:b/>
                <w:color w:val="343433"/>
                <w:sz w:val="16"/>
                <w:szCs w:val="17"/>
              </w:rPr>
            </w:pPr>
            <w:r w:rsidRPr="009B6440">
              <w:rPr>
                <w:rFonts w:ascii="Arial" w:hAnsi="Arial" w:cs="Arial"/>
                <w:b/>
                <w:color w:val="343433"/>
                <w:sz w:val="16"/>
                <w:szCs w:val="17"/>
              </w:rPr>
              <w:t>Consumer Discretionary</w:t>
            </w:r>
          </w:p>
          <w:p w14:paraId="31F6983A" w14:textId="2265F044" w:rsidR="00A27DE3" w:rsidRPr="002C384C" w:rsidRDefault="00A27DE3" w:rsidP="00A27DE3">
            <w:pPr>
              <w:spacing w:after="160"/>
              <w:rPr>
                <w:rFonts w:ascii="Arial" w:hAnsi="Arial" w:cs="Arial"/>
                <w:b/>
                <w:color w:val="343433"/>
                <w:sz w:val="16"/>
                <w:szCs w:val="17"/>
              </w:rPr>
            </w:pPr>
          </w:p>
        </w:tc>
        <w:tc>
          <w:tcPr>
            <w:tcW w:w="9180" w:type="dxa"/>
            <w:tcBorders>
              <w:top w:val="single" w:sz="4" w:space="0" w:color="E7E6E6"/>
              <w:left w:val="single" w:sz="4" w:space="0" w:color="E7E6E6"/>
              <w:bottom w:val="single" w:sz="4" w:space="0" w:color="E7E6E6"/>
              <w:right w:val="single" w:sz="4" w:space="0" w:color="E7E6E6"/>
            </w:tcBorders>
          </w:tcPr>
          <w:p w14:paraId="5C3AC59B" w14:textId="1CBE5CF1" w:rsidR="00A27DE3" w:rsidRPr="002C384C" w:rsidRDefault="00A27DE3" w:rsidP="00BB3771">
            <w:pPr>
              <w:spacing w:after="160"/>
              <w:rPr>
                <w:rFonts w:ascii="Arial" w:hAnsi="Arial" w:cs="Arial"/>
                <w:color w:val="000000"/>
                <w:sz w:val="16"/>
                <w:szCs w:val="16"/>
              </w:rPr>
            </w:pPr>
            <w:r w:rsidRPr="002812BF">
              <w:rPr>
                <w:rFonts w:ascii="Arial" w:hAnsi="Arial" w:cs="Arial"/>
                <w:b/>
                <w:color w:val="343433"/>
                <w:sz w:val="16"/>
                <w:szCs w:val="17"/>
              </w:rPr>
              <w:t xml:space="preserve">S&amp;P 500 </w:t>
            </w:r>
            <w:r w:rsidR="00BB3771" w:rsidRPr="002812BF">
              <w:rPr>
                <w:rFonts w:ascii="Arial" w:hAnsi="Arial" w:cs="Arial"/>
                <w:b/>
                <w:color w:val="343433"/>
                <w:sz w:val="16"/>
                <w:szCs w:val="17"/>
              </w:rPr>
              <w:t>Consumer Discretionary</w:t>
            </w:r>
            <w:r w:rsidRPr="002812BF">
              <w:rPr>
                <w:rFonts w:ascii="Arial" w:hAnsi="Arial" w:cs="Arial"/>
                <w:b/>
                <w:color w:val="343433"/>
                <w:sz w:val="16"/>
                <w:szCs w:val="17"/>
              </w:rPr>
              <w:t xml:space="preserve"> Sector</w:t>
            </w:r>
            <w:r>
              <w:rPr>
                <w:rFonts w:ascii="Arial" w:hAnsi="Arial" w:cs="Arial"/>
                <w:color w:val="000000"/>
                <w:sz w:val="16"/>
                <w:szCs w:val="16"/>
              </w:rPr>
              <w:t xml:space="preserve"> - </w:t>
            </w:r>
            <w:r w:rsidR="00BB3771" w:rsidRPr="00BB3771">
              <w:rPr>
                <w:rFonts w:ascii="Arial" w:hAnsi="Arial" w:cs="Arial"/>
                <w:color w:val="000000"/>
                <w:sz w:val="16"/>
                <w:szCs w:val="16"/>
              </w:rPr>
              <w:t xml:space="preserve">measures the performance of companies involved in industries such as: automobiles and components, consumer durables, apparel, hotels, restaurants, leisure, </w:t>
            </w:r>
            <w:proofErr w:type="gramStart"/>
            <w:r w:rsidR="00BB3771" w:rsidRPr="00BB3771">
              <w:rPr>
                <w:rFonts w:ascii="Arial" w:hAnsi="Arial" w:cs="Arial"/>
                <w:color w:val="000000"/>
                <w:sz w:val="16"/>
                <w:szCs w:val="16"/>
              </w:rPr>
              <w:t>media</w:t>
            </w:r>
            <w:proofErr w:type="gramEnd"/>
            <w:r w:rsidR="00BB3771" w:rsidRPr="00BB3771">
              <w:rPr>
                <w:rFonts w:ascii="Arial" w:hAnsi="Arial" w:cs="Arial"/>
                <w:color w:val="000000"/>
                <w:sz w:val="16"/>
                <w:szCs w:val="16"/>
              </w:rPr>
              <w:t xml:space="preserve"> and retailing.</w:t>
            </w:r>
          </w:p>
        </w:tc>
      </w:tr>
      <w:tr w:rsidR="00A27DE3" w14:paraId="5564DFE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B306A72" w14:textId="12512DD1" w:rsidR="00A27DE3" w:rsidRPr="002C384C" w:rsidRDefault="00A27DE3" w:rsidP="00A27DE3">
            <w:pPr>
              <w:spacing w:after="160"/>
              <w:rPr>
                <w:rFonts w:ascii="Arial" w:hAnsi="Arial" w:cs="Arial"/>
                <w:b/>
                <w:color w:val="343433"/>
                <w:sz w:val="16"/>
                <w:szCs w:val="17"/>
              </w:rPr>
            </w:pPr>
            <w:r w:rsidRPr="00FC2692">
              <w:rPr>
                <w:rFonts w:ascii="Arial" w:hAnsi="Arial" w:cs="Arial"/>
                <w:b/>
                <w:color w:val="343433"/>
                <w:sz w:val="16"/>
                <w:szCs w:val="17"/>
              </w:rPr>
              <w:lastRenderedPageBreak/>
              <w:t>Real Estate</w:t>
            </w:r>
          </w:p>
        </w:tc>
        <w:tc>
          <w:tcPr>
            <w:tcW w:w="9180" w:type="dxa"/>
            <w:tcBorders>
              <w:top w:val="single" w:sz="4" w:space="0" w:color="E7E6E6"/>
              <w:left w:val="single" w:sz="4" w:space="0" w:color="E7E6E6"/>
              <w:bottom w:val="single" w:sz="4" w:space="0" w:color="E7E6E6"/>
              <w:right w:val="single" w:sz="4" w:space="0" w:color="E7E6E6"/>
            </w:tcBorders>
          </w:tcPr>
          <w:p w14:paraId="6B707C7E" w14:textId="380E5F63" w:rsidR="00A27DE3" w:rsidRPr="002C384C" w:rsidRDefault="00A27DE3" w:rsidP="00A27DE3">
            <w:pPr>
              <w:spacing w:after="160"/>
              <w:rPr>
                <w:rFonts w:ascii="Arial" w:hAnsi="Arial" w:cs="Arial"/>
                <w:color w:val="000000"/>
                <w:sz w:val="16"/>
                <w:szCs w:val="16"/>
              </w:rPr>
            </w:pPr>
            <w:r w:rsidRPr="002812BF">
              <w:rPr>
                <w:rFonts w:ascii="Arial" w:hAnsi="Arial" w:cs="Arial"/>
                <w:b/>
                <w:color w:val="343433"/>
                <w:sz w:val="16"/>
                <w:szCs w:val="17"/>
              </w:rPr>
              <w:t xml:space="preserve">S&amp;P 500 Sector </w:t>
            </w:r>
            <w:r w:rsidR="00FC2692" w:rsidRPr="002812BF">
              <w:rPr>
                <w:rFonts w:ascii="Arial" w:hAnsi="Arial" w:cs="Arial"/>
                <w:b/>
                <w:color w:val="343433"/>
                <w:sz w:val="16"/>
                <w:szCs w:val="17"/>
              </w:rPr>
              <w:t>Real Estate</w:t>
            </w:r>
            <w:r>
              <w:rPr>
                <w:rFonts w:ascii="Arial" w:hAnsi="Arial" w:cs="Arial"/>
                <w:color w:val="000000"/>
                <w:sz w:val="16"/>
                <w:szCs w:val="16"/>
              </w:rPr>
              <w:t xml:space="preserve"> - </w:t>
            </w:r>
            <w:r w:rsidR="00FC2692" w:rsidRPr="00FC2692">
              <w:rPr>
                <w:rFonts w:ascii="Arial" w:hAnsi="Arial" w:cs="Arial"/>
                <w:color w:val="000000"/>
                <w:sz w:val="16"/>
                <w:szCs w:val="16"/>
              </w:rPr>
              <w:t>measures the performance of companies from the following industries:  real estate management &amp; development and REITS, excluding mortgage REITS.</w:t>
            </w:r>
          </w:p>
        </w:tc>
      </w:tr>
      <w:tr w:rsidR="00A27DE3" w14:paraId="5B05131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C84B31" w14:textId="3A2DFB09" w:rsidR="00A27DE3" w:rsidRPr="002C384C" w:rsidRDefault="00A27DE3" w:rsidP="00A27DE3">
            <w:pPr>
              <w:spacing w:after="160"/>
              <w:rPr>
                <w:rFonts w:ascii="Arial" w:hAnsi="Arial" w:cs="Arial"/>
                <w:b/>
                <w:color w:val="343433"/>
                <w:sz w:val="16"/>
                <w:szCs w:val="17"/>
              </w:rPr>
            </w:pPr>
            <w:r w:rsidRPr="00FC2692">
              <w:rPr>
                <w:rFonts w:ascii="Arial" w:hAnsi="Arial" w:cs="Arial"/>
                <w:b/>
                <w:color w:val="343433"/>
                <w:sz w:val="16"/>
                <w:szCs w:val="17"/>
              </w:rPr>
              <w:t>Energy</w:t>
            </w:r>
          </w:p>
        </w:tc>
        <w:tc>
          <w:tcPr>
            <w:tcW w:w="9180" w:type="dxa"/>
            <w:tcBorders>
              <w:top w:val="single" w:sz="4" w:space="0" w:color="E7E6E6"/>
              <w:left w:val="single" w:sz="4" w:space="0" w:color="E7E6E6"/>
              <w:bottom w:val="single" w:sz="4" w:space="0" w:color="E7E6E6"/>
              <w:right w:val="single" w:sz="4" w:space="0" w:color="E7E6E6"/>
            </w:tcBorders>
          </w:tcPr>
          <w:p w14:paraId="34F94CD3" w14:textId="2A2A1163" w:rsidR="00FC2692" w:rsidRPr="00FC2692" w:rsidRDefault="00A27DE3" w:rsidP="00A27DE3">
            <w:pPr>
              <w:spacing w:after="160"/>
              <w:rPr>
                <w:rFonts w:ascii="Arial" w:hAnsi="Arial" w:cs="Arial"/>
                <w:bCs/>
                <w:color w:val="343433"/>
                <w:sz w:val="16"/>
                <w:szCs w:val="17"/>
              </w:rPr>
            </w:pPr>
            <w:r>
              <w:rPr>
                <w:rFonts w:ascii="Arial" w:hAnsi="Arial" w:cs="Arial"/>
                <w:b/>
                <w:color w:val="343433"/>
                <w:sz w:val="16"/>
                <w:szCs w:val="17"/>
              </w:rPr>
              <w:t xml:space="preserve">S&amp;P 500 Sector </w:t>
            </w:r>
            <w:r w:rsidR="00FC2692">
              <w:rPr>
                <w:rFonts w:ascii="Arial" w:hAnsi="Arial" w:cs="Arial"/>
                <w:b/>
                <w:color w:val="343433"/>
                <w:sz w:val="16"/>
                <w:szCs w:val="17"/>
              </w:rPr>
              <w:t>Energy</w:t>
            </w:r>
            <w:r>
              <w:rPr>
                <w:rFonts w:ascii="Arial" w:hAnsi="Arial" w:cs="Arial"/>
                <w:b/>
                <w:color w:val="343433"/>
                <w:sz w:val="16"/>
                <w:szCs w:val="17"/>
              </w:rPr>
              <w:t xml:space="preserve"> - </w:t>
            </w:r>
            <w:r w:rsidR="00FC2692" w:rsidRPr="00FC2692">
              <w:rPr>
                <w:rFonts w:ascii="Arial" w:hAnsi="Arial" w:cs="Arial"/>
                <w:bCs/>
                <w:color w:val="343433"/>
                <w:sz w:val="16"/>
                <w:szCs w:val="17"/>
              </w:rPr>
              <w:t>measures the performance of companies involved in the development and production of crude oil, natural gas and provide drilling and other energy-related services</w:t>
            </w:r>
            <w:r w:rsidR="00FC2692">
              <w:rPr>
                <w:rFonts w:ascii="Arial" w:hAnsi="Arial" w:cs="Arial"/>
                <w:bCs/>
                <w:color w:val="343433"/>
                <w:sz w:val="16"/>
                <w:szCs w:val="17"/>
              </w:rPr>
              <w:t>.</w:t>
            </w:r>
          </w:p>
        </w:tc>
      </w:tr>
      <w:tr w:rsidR="00A27DE3" w14:paraId="13EEFDA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96D3D4D" w14:textId="5D0298AD" w:rsidR="00A27DE3" w:rsidRPr="00080D15" w:rsidRDefault="00A27DE3" w:rsidP="00A27DE3">
            <w:pPr>
              <w:spacing w:after="160"/>
              <w:rPr>
                <w:rFonts w:ascii="Arial" w:hAnsi="Arial" w:cs="Arial"/>
                <w:b/>
                <w:color w:val="343433"/>
                <w:sz w:val="16"/>
                <w:szCs w:val="17"/>
              </w:rPr>
            </w:pPr>
            <w:r>
              <w:rPr>
                <w:rFonts w:ascii="Arial" w:hAnsi="Arial" w:cs="Arial"/>
                <w:b/>
                <w:color w:val="343433"/>
                <w:sz w:val="16"/>
                <w:szCs w:val="17"/>
              </w:rPr>
              <w:t>US REITs</w:t>
            </w:r>
          </w:p>
        </w:tc>
        <w:tc>
          <w:tcPr>
            <w:tcW w:w="9180" w:type="dxa"/>
            <w:tcBorders>
              <w:top w:val="single" w:sz="4" w:space="0" w:color="E7E6E6"/>
              <w:left w:val="single" w:sz="4" w:space="0" w:color="E7E6E6"/>
              <w:bottom w:val="single" w:sz="4" w:space="0" w:color="E7E6E6"/>
              <w:right w:val="single" w:sz="4" w:space="0" w:color="E7E6E6"/>
            </w:tcBorders>
          </w:tcPr>
          <w:p w14:paraId="6ED59CD8" w14:textId="12753C87" w:rsidR="00A27DE3" w:rsidRPr="00080D15" w:rsidRDefault="00A27DE3" w:rsidP="00A27DE3">
            <w:pPr>
              <w:spacing w:after="160"/>
              <w:rPr>
                <w:rFonts w:ascii="Arial" w:hAnsi="Arial" w:cs="Arial"/>
                <w:b/>
                <w:color w:val="343433"/>
                <w:sz w:val="16"/>
                <w:szCs w:val="17"/>
              </w:rPr>
            </w:pPr>
            <w:r>
              <w:rPr>
                <w:rFonts w:ascii="Arial" w:hAnsi="Arial" w:cs="Arial"/>
                <w:b/>
                <w:color w:val="343433"/>
                <w:sz w:val="16"/>
                <w:szCs w:val="17"/>
              </w:rPr>
              <w:t xml:space="preserve">FTSE NAREIT All Equity REIT - </w:t>
            </w:r>
            <w:r w:rsidRPr="0086319B">
              <w:rPr>
                <w:rFonts w:ascii="Arial" w:hAnsi="Arial" w:cs="Arial"/>
                <w:color w:val="343433"/>
                <w:sz w:val="16"/>
                <w:szCs w:val="17"/>
              </w:rPr>
              <w:t xml:space="preserve">measures the price of physical commodities futures contracts traded on US exchanges, except aluminum, </w:t>
            </w:r>
            <w:proofErr w:type="gramStart"/>
            <w:r w:rsidRPr="0086319B">
              <w:rPr>
                <w:rFonts w:ascii="Arial" w:hAnsi="Arial" w:cs="Arial"/>
                <w:color w:val="343433"/>
                <w:sz w:val="16"/>
                <w:szCs w:val="17"/>
              </w:rPr>
              <w:t>nickel</w:t>
            </w:r>
            <w:proofErr w:type="gramEnd"/>
            <w:r w:rsidRPr="0086319B">
              <w:rPr>
                <w:rFonts w:ascii="Arial" w:hAnsi="Arial" w:cs="Arial"/>
                <w:color w:val="343433"/>
                <w:sz w:val="16"/>
                <w:szCs w:val="17"/>
              </w:rPr>
              <w:t xml:space="preserve"> and zinc, which trade on the London Metal Exchange. Weightings are determined by rules designed to insure diversified commodity exposure.</w:t>
            </w:r>
          </w:p>
        </w:tc>
      </w:tr>
      <w:tr w:rsidR="00A27DE3" w14:paraId="04E1EFA7" w14:textId="77777777" w:rsidTr="00FC2692">
        <w:trPr>
          <w:trHeight w:val="698"/>
        </w:trPr>
        <w:tc>
          <w:tcPr>
            <w:tcW w:w="1615" w:type="dxa"/>
            <w:tcBorders>
              <w:top w:val="single" w:sz="4" w:space="0" w:color="E7E6E6"/>
              <w:left w:val="single" w:sz="4" w:space="0" w:color="E7E6E6"/>
              <w:bottom w:val="single" w:sz="4" w:space="0" w:color="E7E6E6"/>
              <w:right w:val="single" w:sz="4" w:space="0" w:color="E7E6E6"/>
            </w:tcBorders>
          </w:tcPr>
          <w:p w14:paraId="176B7282" w14:textId="14D1833F" w:rsidR="00A27DE3" w:rsidRDefault="00A27DE3" w:rsidP="00A27DE3">
            <w:pPr>
              <w:spacing w:after="160"/>
              <w:rPr>
                <w:rFonts w:ascii="Arial" w:hAnsi="Arial" w:cs="Arial"/>
                <w:b/>
                <w:color w:val="343433"/>
                <w:sz w:val="16"/>
                <w:szCs w:val="17"/>
              </w:rPr>
            </w:pPr>
            <w:r>
              <w:rPr>
                <w:rFonts w:ascii="Arial" w:hAnsi="Arial" w:cs="Arial"/>
                <w:b/>
                <w:color w:val="343433"/>
                <w:sz w:val="16"/>
                <w:szCs w:val="17"/>
              </w:rPr>
              <w:t>Gold</w:t>
            </w:r>
          </w:p>
        </w:tc>
        <w:tc>
          <w:tcPr>
            <w:tcW w:w="9180" w:type="dxa"/>
            <w:tcBorders>
              <w:top w:val="single" w:sz="4" w:space="0" w:color="E7E6E6"/>
              <w:left w:val="single" w:sz="4" w:space="0" w:color="E7E6E6"/>
              <w:bottom w:val="single" w:sz="4" w:space="0" w:color="E7E6E6"/>
              <w:right w:val="single" w:sz="4" w:space="0" w:color="E7E6E6"/>
            </w:tcBorders>
          </w:tcPr>
          <w:p w14:paraId="1014B149" w14:textId="334B6DB3" w:rsidR="00A27DE3" w:rsidRDefault="00FC2692" w:rsidP="00FC2692">
            <w:pPr>
              <w:spacing w:after="160"/>
              <w:rPr>
                <w:rFonts w:ascii="Arial" w:hAnsi="Arial" w:cs="Arial"/>
                <w:b/>
                <w:color w:val="343433"/>
                <w:sz w:val="16"/>
                <w:szCs w:val="17"/>
              </w:rPr>
            </w:pPr>
            <w:r w:rsidRPr="00FC2692">
              <w:rPr>
                <w:rFonts w:ascii="Arial" w:hAnsi="Arial" w:cs="Arial"/>
                <w:b/>
                <w:color w:val="343433"/>
                <w:sz w:val="16"/>
                <w:szCs w:val="17"/>
              </w:rPr>
              <w:t>Bloomberg Sub Gold</w:t>
            </w:r>
            <w:r>
              <w:rPr>
                <w:rFonts w:ascii="Arial" w:hAnsi="Arial" w:cs="Arial"/>
                <w:b/>
                <w:color w:val="343433"/>
                <w:sz w:val="16"/>
                <w:szCs w:val="17"/>
              </w:rPr>
              <w:t xml:space="preserve"> </w:t>
            </w:r>
            <w:r w:rsidRPr="002812BF">
              <w:rPr>
                <w:rFonts w:ascii="Arial" w:hAnsi="Arial" w:cs="Arial"/>
                <w:bCs/>
                <w:color w:val="343433"/>
                <w:sz w:val="16"/>
                <w:szCs w:val="17"/>
              </w:rPr>
              <w:t xml:space="preserve">- </w:t>
            </w:r>
            <w:r w:rsidRPr="00FC2692">
              <w:rPr>
                <w:rFonts w:ascii="Arial" w:hAnsi="Arial" w:cs="Arial"/>
                <w:bCs/>
                <w:color w:val="343433"/>
                <w:sz w:val="16"/>
                <w:szCs w:val="17"/>
              </w:rPr>
              <w:t>measures the price of gold futures contracts, reflecting the return of underlying commodity futures price movements quoted in USD.</w:t>
            </w:r>
          </w:p>
        </w:tc>
      </w:tr>
      <w:tr w:rsidR="00A27DE3" w14:paraId="062E2EC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7AE7724" w14:textId="7D69DD77" w:rsidR="00A27DE3" w:rsidRDefault="00A27DE3" w:rsidP="00A27DE3">
            <w:pPr>
              <w:spacing w:after="160"/>
              <w:rPr>
                <w:rFonts w:ascii="Arial" w:hAnsi="Arial" w:cs="Arial"/>
                <w:b/>
                <w:color w:val="343433"/>
                <w:sz w:val="16"/>
                <w:szCs w:val="17"/>
              </w:rPr>
            </w:pPr>
            <w:r>
              <w:rPr>
                <w:rFonts w:ascii="Arial" w:hAnsi="Arial" w:cs="Arial"/>
                <w:b/>
                <w:color w:val="343433"/>
                <w:sz w:val="16"/>
                <w:szCs w:val="17"/>
              </w:rPr>
              <w:t>Commodities</w:t>
            </w:r>
          </w:p>
        </w:tc>
        <w:tc>
          <w:tcPr>
            <w:tcW w:w="9180" w:type="dxa"/>
            <w:tcBorders>
              <w:top w:val="single" w:sz="4" w:space="0" w:color="E7E6E6"/>
              <w:left w:val="single" w:sz="4" w:space="0" w:color="E7E6E6"/>
              <w:bottom w:val="single" w:sz="4" w:space="0" w:color="E7E6E6"/>
              <w:right w:val="single" w:sz="4" w:space="0" w:color="E7E6E6"/>
            </w:tcBorders>
          </w:tcPr>
          <w:p w14:paraId="0B1D82C3" w14:textId="2F904A72" w:rsidR="00A27DE3" w:rsidRDefault="00A27DE3" w:rsidP="00A27DE3">
            <w:pPr>
              <w:spacing w:after="160"/>
              <w:rPr>
                <w:rFonts w:ascii="Arial" w:hAnsi="Arial" w:cs="Arial"/>
                <w:b/>
                <w:color w:val="343433"/>
                <w:sz w:val="16"/>
                <w:szCs w:val="17"/>
              </w:rPr>
            </w:pPr>
            <w:r w:rsidRPr="00080D15">
              <w:rPr>
                <w:rFonts w:ascii="Arial" w:hAnsi="Arial" w:cs="Arial"/>
                <w:b/>
                <w:color w:val="343433"/>
                <w:sz w:val="16"/>
                <w:szCs w:val="17"/>
              </w:rPr>
              <w:t xml:space="preserve">Bloomberg </w:t>
            </w:r>
            <w:r>
              <w:rPr>
                <w:rFonts w:ascii="Arial" w:hAnsi="Arial" w:cs="Arial"/>
                <w:b/>
                <w:color w:val="343433"/>
                <w:sz w:val="16"/>
                <w:szCs w:val="17"/>
              </w:rPr>
              <w:t>Commodity</w:t>
            </w:r>
            <w:r>
              <w:rPr>
                <w:rFonts w:ascii="Arial" w:hAnsi="Arial" w:cs="Arial"/>
                <w:color w:val="343433"/>
                <w:sz w:val="16"/>
                <w:szCs w:val="17"/>
              </w:rPr>
              <w:t xml:space="preserve"> - </w:t>
            </w:r>
            <w:r w:rsidRPr="0086319B">
              <w:rPr>
                <w:rFonts w:ascii="Arial" w:hAnsi="Arial" w:cs="Arial"/>
                <w:color w:val="343433"/>
                <w:sz w:val="16"/>
                <w:szCs w:val="17"/>
              </w:rPr>
              <w:t>dynamically rebalances exposure to maintain a 10% volatility target and represents portfolios consisting of the S&amp;P 500 index and a cash component accruing interest.  Uses S&amp;P 500 methodology and overlays algorithms to control the index risk at specific volatility targets.</w:t>
            </w:r>
          </w:p>
        </w:tc>
      </w:tr>
      <w:tr w:rsidR="00FC2692" w14:paraId="0B29C69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6E109AB" w14:textId="15584039" w:rsidR="00FC2692" w:rsidRDefault="00FC2692" w:rsidP="00A27DE3">
            <w:pPr>
              <w:spacing w:after="160"/>
              <w:rPr>
                <w:rFonts w:ascii="Arial" w:hAnsi="Arial" w:cs="Arial"/>
                <w:b/>
                <w:color w:val="343433"/>
                <w:sz w:val="16"/>
                <w:szCs w:val="17"/>
              </w:rPr>
            </w:pPr>
            <w:r>
              <w:rPr>
                <w:rFonts w:ascii="Arial" w:hAnsi="Arial" w:cs="Arial"/>
                <w:b/>
                <w:color w:val="343433"/>
                <w:sz w:val="16"/>
                <w:szCs w:val="17"/>
              </w:rPr>
              <w:t>US Dollar</w:t>
            </w:r>
          </w:p>
        </w:tc>
        <w:tc>
          <w:tcPr>
            <w:tcW w:w="9180" w:type="dxa"/>
            <w:tcBorders>
              <w:top w:val="single" w:sz="4" w:space="0" w:color="E7E6E6"/>
              <w:left w:val="single" w:sz="4" w:space="0" w:color="E7E6E6"/>
              <w:bottom w:val="single" w:sz="4" w:space="0" w:color="E7E6E6"/>
              <w:right w:val="single" w:sz="4" w:space="0" w:color="E7E6E6"/>
            </w:tcBorders>
          </w:tcPr>
          <w:p w14:paraId="223CA244" w14:textId="30F368CC" w:rsidR="00FC2692" w:rsidRPr="00FC2692" w:rsidRDefault="00FC2692" w:rsidP="00A27DE3">
            <w:pPr>
              <w:spacing w:after="160"/>
              <w:rPr>
                <w:rFonts w:ascii="Arial" w:hAnsi="Arial" w:cs="Arial"/>
                <w:bCs/>
                <w:color w:val="343433"/>
                <w:sz w:val="16"/>
                <w:szCs w:val="17"/>
              </w:rPr>
            </w:pPr>
            <w:r w:rsidRPr="00FC2692">
              <w:rPr>
                <w:rFonts w:ascii="Arial" w:hAnsi="Arial" w:cs="Arial"/>
                <w:b/>
                <w:color w:val="343433"/>
                <w:sz w:val="16"/>
                <w:szCs w:val="17"/>
              </w:rPr>
              <w:t>US Dollar Index</w:t>
            </w:r>
            <w:r>
              <w:rPr>
                <w:rFonts w:ascii="Arial" w:hAnsi="Arial" w:cs="Arial"/>
                <w:bCs/>
                <w:color w:val="343433"/>
                <w:sz w:val="16"/>
                <w:szCs w:val="17"/>
              </w:rPr>
              <w:t xml:space="preserve"> - </w:t>
            </w:r>
            <w:r w:rsidRPr="00FC2692">
              <w:rPr>
                <w:rFonts w:ascii="Arial" w:hAnsi="Arial" w:cs="Arial"/>
                <w:bCs/>
                <w:color w:val="343433"/>
                <w:sz w:val="16"/>
                <w:szCs w:val="17"/>
              </w:rPr>
              <w:t xml:space="preserve">measures the value of the US dollar relative to the value of a 'basket' of currencies of </w:t>
            </w:r>
            <w:proofErr w:type="gramStart"/>
            <w:r w:rsidRPr="00FC2692">
              <w:rPr>
                <w:rFonts w:ascii="Arial" w:hAnsi="Arial" w:cs="Arial"/>
                <w:bCs/>
                <w:color w:val="343433"/>
                <w:sz w:val="16"/>
                <w:szCs w:val="17"/>
              </w:rPr>
              <w:t>the majority of</w:t>
            </w:r>
            <w:proofErr w:type="gramEnd"/>
            <w:r w:rsidRPr="00FC2692">
              <w:rPr>
                <w:rFonts w:ascii="Arial" w:hAnsi="Arial" w:cs="Arial"/>
                <w:bCs/>
                <w:color w:val="343433"/>
                <w:sz w:val="16"/>
                <w:szCs w:val="17"/>
              </w:rPr>
              <w:t xml:space="preserve"> the U.S.'s most significant trading partners.  Factors the exchange rates of six major world currencies:  euro, Japanese yen, Canadian dollar, British pound, Swedish </w:t>
            </w:r>
            <w:proofErr w:type="gramStart"/>
            <w:r w:rsidRPr="00FC2692">
              <w:rPr>
                <w:rFonts w:ascii="Arial" w:hAnsi="Arial" w:cs="Arial"/>
                <w:bCs/>
                <w:color w:val="343433"/>
                <w:sz w:val="16"/>
                <w:szCs w:val="17"/>
              </w:rPr>
              <w:t>krona</w:t>
            </w:r>
            <w:proofErr w:type="gramEnd"/>
            <w:r w:rsidRPr="00FC2692">
              <w:rPr>
                <w:rFonts w:ascii="Arial" w:hAnsi="Arial" w:cs="Arial"/>
                <w:bCs/>
                <w:color w:val="343433"/>
                <w:sz w:val="16"/>
                <w:szCs w:val="17"/>
              </w:rPr>
              <w:t xml:space="preserve"> and Swiss franc.</w:t>
            </w:r>
          </w:p>
        </w:tc>
      </w:tr>
    </w:tbl>
    <w:p w14:paraId="6B301E9F" w14:textId="4508A038" w:rsidR="00140F12" w:rsidRDefault="00140F12" w:rsidP="004F6ABF">
      <w:pPr>
        <w:spacing w:after="0" w:line="240" w:lineRule="auto"/>
        <w:rPr>
          <w:rFonts w:ascii="Arial" w:hAnsi="Arial" w:cs="Arial"/>
          <w:color w:val="343433"/>
          <w:sz w:val="16"/>
          <w:szCs w:val="16"/>
        </w:rPr>
      </w:pPr>
    </w:p>
    <w:p w14:paraId="7BC73908" w14:textId="5BFE8381" w:rsidR="00140F12" w:rsidRDefault="00140F12">
      <w:pPr>
        <w:spacing w:after="0" w:line="240" w:lineRule="auto"/>
        <w:rPr>
          <w:rFonts w:ascii="Arial" w:hAnsi="Arial" w:cs="Arial"/>
          <w:color w:val="343433"/>
          <w:sz w:val="16"/>
          <w:szCs w:val="16"/>
        </w:rPr>
      </w:pPr>
    </w:p>
    <w:p w14:paraId="0AAD309A" w14:textId="26CF4DF5" w:rsidR="000F6A69" w:rsidRPr="009F65E5" w:rsidRDefault="000220E6" w:rsidP="004F6ABF">
      <w:pPr>
        <w:spacing w:after="0" w:line="240" w:lineRule="auto"/>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73600" behindDoc="1" locked="0" layoutInCell="1" allowOverlap="1" wp14:anchorId="69F78F6C" wp14:editId="361482BD">
                <wp:simplePos x="0" y="0"/>
                <wp:positionH relativeFrom="margin">
                  <wp:posOffset>-412750</wp:posOffset>
                </wp:positionH>
                <wp:positionV relativeFrom="margin">
                  <wp:posOffset>2235835</wp:posOffset>
                </wp:positionV>
                <wp:extent cx="6826250" cy="5772150"/>
                <wp:effectExtent l="0" t="0" r="0" b="0"/>
                <wp:wrapTight wrapText="bothSides">
                  <wp:wrapPolygon edited="0">
                    <wp:start x="181" y="0"/>
                    <wp:lineTo x="181" y="18606"/>
                    <wp:lineTo x="3858" y="19533"/>
                    <wp:lineTo x="4581" y="19533"/>
                    <wp:lineTo x="4581" y="21529"/>
                    <wp:lineTo x="21399" y="21529"/>
                    <wp:lineTo x="21520" y="143"/>
                    <wp:lineTo x="4220" y="0"/>
                    <wp:lineTo x="181" y="0"/>
                  </wp:wrapPolygon>
                </wp:wrapTight>
                <wp:docPr id="16" name="Group 16"/>
                <wp:cNvGraphicFramePr/>
                <a:graphic xmlns:a="http://schemas.openxmlformats.org/drawingml/2006/main">
                  <a:graphicData uri="http://schemas.microsoft.com/office/word/2010/wordprocessingGroup">
                    <wpg:wgp>
                      <wpg:cNvGrpSpPr/>
                      <wpg:grpSpPr>
                        <a:xfrm>
                          <a:off x="0" y="0"/>
                          <a:ext cx="6826250" cy="5772150"/>
                          <a:chOff x="48634" y="-59958"/>
                          <a:chExt cx="6808934" cy="2240139"/>
                        </a:xfrm>
                      </wpg:grpSpPr>
                      <wps:wsp>
                        <wps:cNvPr id="22" name="Text Box 22"/>
                        <wps:cNvSpPr txBox="1"/>
                        <wps:spPr>
                          <a:xfrm>
                            <a:off x="1439694" y="-56354"/>
                            <a:ext cx="5417874" cy="2236535"/>
                          </a:xfrm>
                          <a:prstGeom prst="rect">
                            <a:avLst/>
                          </a:prstGeom>
                          <a:noFill/>
                          <a:ln w="6350">
                            <a:noFill/>
                          </a:ln>
                        </wps:spPr>
                        <wps:txbx>
                          <w:txbxContent>
                            <w:p w14:paraId="426D23FC" w14:textId="77777777" w:rsidR="004F6ABF" w:rsidRPr="00A57DA9" w:rsidRDefault="004F6ABF" w:rsidP="004F6ABF">
                              <w:pPr>
                                <w:spacing w:after="120" w:line="240" w:lineRule="auto"/>
                                <w:rPr>
                                  <w:rFonts w:ascii="Arial" w:hAnsi="Arial" w:cs="Arial"/>
                                  <w:b/>
                                  <w:sz w:val="16"/>
                                  <w:szCs w:val="16"/>
                                </w:rPr>
                              </w:pPr>
                              <w:bookmarkStart w:id="5" w:name="_Hlk92871284"/>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2A50E528" w14:textId="7FEA174B" w:rsidR="005C1E1B" w:rsidRDefault="00A933B5" w:rsidP="00DD61D1">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t>
                              </w:r>
                              <w:r w:rsidRPr="0069148C">
                                <w:rPr>
                                  <w:rFonts w:ascii="Arial" w:hAnsi="Arial" w:cs="Arial"/>
                                  <w:sz w:val="16"/>
                                  <w:szCs w:val="16"/>
                                </w:rPr>
                                <w:t>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w:t>
                              </w:r>
                            </w:p>
                            <w:p w14:paraId="72FF25FC" w14:textId="261B2174" w:rsidR="00596873" w:rsidRPr="005C1E1B" w:rsidRDefault="005C1E1B" w:rsidP="005C1E1B">
                              <w:pPr>
                                <w:spacing w:after="120" w:line="240" w:lineRule="auto"/>
                                <w:rPr>
                                  <w:rFonts w:ascii="Arial" w:hAnsi="Arial" w:cs="Arial"/>
                                  <w:sz w:val="16"/>
                                  <w:szCs w:val="16"/>
                                </w:rPr>
                              </w:pPr>
                              <w:r w:rsidRPr="005C1E1B">
                                <w:rPr>
                                  <w:rFonts w:ascii="Arial" w:hAnsi="Arial" w:cs="Arial"/>
                                  <w:sz w:val="16"/>
                                  <w:szCs w:val="16"/>
                                </w:rPr>
                                <w:t>Source: 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w:t>
                              </w:r>
                            </w:p>
                            <w:p w14:paraId="57459710" w14:textId="3FCF6ECA" w:rsidR="005C1E1B" w:rsidRDefault="005C1E1B" w:rsidP="005C1E1B">
                              <w:pPr>
                                <w:spacing w:after="120" w:line="240" w:lineRule="auto"/>
                                <w:rPr>
                                  <w:rFonts w:ascii="Arial" w:hAnsi="Arial" w:cs="Arial"/>
                                  <w:sz w:val="16"/>
                                  <w:szCs w:val="16"/>
                                </w:rPr>
                              </w:pPr>
                              <w:r w:rsidRPr="005C1E1B">
                                <w:rPr>
                                  <w:rFonts w:ascii="Arial" w:hAnsi="Arial" w:cs="Arial"/>
                                  <w:sz w:val="16"/>
                                  <w:szCs w:val="16"/>
                                </w:rPr>
                                <w:t xml:space="preserve">Source: MSCI. MSCI information may only be used for your internal use, may not be </w:t>
                              </w:r>
                              <w:proofErr w:type="gramStart"/>
                              <w:r w:rsidRPr="005C1E1B">
                                <w:rPr>
                                  <w:rFonts w:ascii="Arial" w:hAnsi="Arial" w:cs="Arial"/>
                                  <w:sz w:val="16"/>
                                  <w:szCs w:val="16"/>
                                </w:rPr>
                                <w:t>reproduced</w:t>
                              </w:r>
                              <w:proofErr w:type="gramEnd"/>
                              <w:r w:rsidRPr="005C1E1B">
                                <w:rPr>
                                  <w:rFonts w:ascii="Arial" w:hAnsi="Arial" w:cs="Arial"/>
                                  <w:sz w:val="16"/>
                                  <w:szCs w:val="16"/>
                                </w:rPr>
                                <w:t xml:space="preserve"> or re-disseminated in any form and may not be used as a basis for or a component of any financial instruments or products or indices. None of the MSCI information is intended to constitute investment advice or recommendation to make (or refrain from making) any kind of investment decision and may not be relied on as such. Historical data and analysis should not be taken as an indication or guarantee of any future performance. MSCI information is provided on an "as is" basis and the user of this information assumes the entire risk of any use made of this information.  MSCI, each of its affiliates and each other person involved in or related to compiling, </w:t>
                              </w:r>
                              <w:proofErr w:type="gramStart"/>
                              <w:r w:rsidRPr="005C1E1B">
                                <w:rPr>
                                  <w:rFonts w:ascii="Arial" w:hAnsi="Arial" w:cs="Arial"/>
                                  <w:sz w:val="16"/>
                                  <w:szCs w:val="16"/>
                                </w:rPr>
                                <w:t>computing</w:t>
                              </w:r>
                              <w:proofErr w:type="gramEnd"/>
                              <w:r w:rsidRPr="005C1E1B">
                                <w:rPr>
                                  <w:rFonts w:ascii="Arial" w:hAnsi="Arial" w:cs="Arial"/>
                                  <w:sz w:val="16"/>
                                  <w:szCs w:val="16"/>
                                </w:rPr>
                                <w:t xml:space="preserve"> or creating any MSCI information (collectively, the "MSCI Parties") expressly disclaims all warranties with respect to this information. In no event shall any of the MSCI Parties have any liability for any direct, indirect, special, incidental, punitive, consequential (including, without limitation, lost profits) or any other damages. (www.msci.com).</w:t>
                              </w:r>
                            </w:p>
                            <w:p w14:paraId="675CB9D4" w14:textId="7C73F955"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Please read the Terms of Use posted at www.ewealthmanager.com that govern the use of these materials </w:t>
                              </w:r>
                              <w:proofErr w:type="gramStart"/>
                              <w:r w:rsidRPr="0069148C">
                                <w:rPr>
                                  <w:rFonts w:ascii="Arial" w:hAnsi="Arial" w:cs="Arial"/>
                                  <w:sz w:val="16"/>
                                  <w:szCs w:val="16"/>
                                </w:rPr>
                                <w:t>and also</w:t>
                              </w:r>
                              <w:proofErr w:type="gramEnd"/>
                              <w:r w:rsidRPr="0069148C">
                                <w:rPr>
                                  <w:rFonts w:ascii="Arial" w:hAnsi="Arial" w:cs="Arial"/>
                                  <w:sz w:val="16"/>
                                  <w:szCs w:val="16"/>
                                </w:rPr>
                                <w:t xml:space="preserve"> be advised:</w:t>
                              </w:r>
                            </w:p>
                            <w:p w14:paraId="3E7B3BBF" w14:textId="5DAAC38C"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2C78C20E" w14:textId="7B1CA720" w:rsidR="00DD61D1" w:rsidRDefault="00DD61D1" w:rsidP="00DD61D1">
                              <w:pPr>
                                <w:spacing w:after="120" w:line="240" w:lineRule="auto"/>
                                <w:rPr>
                                  <w:rFonts w:ascii="Arial" w:hAnsi="Arial" w:cs="Arial"/>
                                  <w:sz w:val="16"/>
                                  <w:szCs w:val="16"/>
                                </w:rPr>
                              </w:pPr>
                              <w:r w:rsidRPr="0069148C">
                                <w:rPr>
                                  <w:rFonts w:ascii="Arial" w:hAnsi="Arial" w:cs="Arial"/>
                                  <w:sz w:val="16"/>
                                  <w:szCs w:val="16"/>
                                </w:rPr>
                                <w:t xml:space="preserve">You agree not to redistribute the Information to recipients not authorized by AssetMark.  You agree that the Providers </w:t>
                              </w:r>
                              <w:proofErr w:type="gramStart"/>
                              <w:r w:rsidRPr="0069148C">
                                <w:rPr>
                                  <w:rFonts w:ascii="Arial" w:hAnsi="Arial" w:cs="Arial"/>
                                  <w:sz w:val="16"/>
                                  <w:szCs w:val="16"/>
                                </w:rPr>
                                <w:t>are considered to be</w:t>
                              </w:r>
                              <w:proofErr w:type="gramEnd"/>
                              <w:r w:rsidRPr="0069148C">
                                <w:rPr>
                                  <w:rFonts w:ascii="Arial" w:hAnsi="Arial" w:cs="Arial"/>
                                  <w:sz w:val="16"/>
                                  <w:szCs w:val="16"/>
                                </w:rPr>
                                <w:t xml:space="preserve"> third-party beneficiaries of the Terms of Use.</w:t>
                              </w:r>
                            </w:p>
                            <w:p w14:paraId="44D139E2" w14:textId="45221D3C" w:rsidR="00A933B5" w:rsidRDefault="000220E6" w:rsidP="00A933B5">
                              <w:pPr>
                                <w:spacing w:after="120" w:line="240" w:lineRule="auto"/>
                                <w:rPr>
                                  <w:rFonts w:ascii="Arial" w:hAnsi="Arial" w:cs="Arial"/>
                                  <w:sz w:val="16"/>
                                  <w:szCs w:val="16"/>
                                </w:rPr>
                              </w:pPr>
                              <w:r w:rsidRPr="000220E6">
                                <w:rPr>
                                  <w:rFonts w:ascii="Arial" w:hAnsi="Arial" w:cs="Arial"/>
                                  <w:sz w:val="16"/>
                                  <w:szCs w:val="16"/>
                                </w:rPr>
                                <w:t xml:space="preserve">AssetMark, Inc. is an investment adviser registered with the U.S. Securities and Exchange Commission. AssetMark Investment Management, a division of AssetMark, Inc., includes AssetMark, Savos, and </w:t>
                              </w:r>
                              <w:proofErr w:type="gramStart"/>
                              <w:r w:rsidRPr="000220E6">
                                <w:rPr>
                                  <w:rFonts w:ascii="Arial" w:hAnsi="Arial" w:cs="Arial"/>
                                  <w:sz w:val="16"/>
                                  <w:szCs w:val="16"/>
                                </w:rPr>
                                <w:t>Aris</w:t>
                              </w:r>
                              <w:proofErr w:type="gramEnd"/>
                              <w:r w:rsidRPr="000220E6">
                                <w:rPr>
                                  <w:rFonts w:ascii="Arial" w:hAnsi="Arial" w:cs="Arial"/>
                                  <w:sz w:val="16"/>
                                  <w:szCs w:val="16"/>
                                </w:rPr>
                                <w:t xml:space="preserve"> strategies.  </w:t>
                              </w:r>
                              <w:r>
                                <w:rPr>
                                  <w:rFonts w:ascii="Arial" w:hAnsi="Arial" w:cs="Arial"/>
                                  <w:sz w:val="16"/>
                                  <w:szCs w:val="16"/>
                                </w:rPr>
                                <w:br/>
                              </w:r>
                              <w:r w:rsidR="00A933B5">
                                <w:rPr>
                                  <w:rFonts w:ascii="Arial" w:hAnsi="Arial" w:cs="Arial"/>
                                  <w:sz w:val="16"/>
                                  <w:szCs w:val="16"/>
                                </w:rPr>
                                <w:t>©202</w:t>
                              </w:r>
                              <w:r w:rsidR="00252E6F">
                                <w:rPr>
                                  <w:rFonts w:ascii="Arial" w:hAnsi="Arial" w:cs="Arial"/>
                                  <w:sz w:val="16"/>
                                  <w:szCs w:val="16"/>
                                </w:rPr>
                                <w:t>2</w:t>
                              </w:r>
                              <w:r w:rsidR="00A933B5">
                                <w:rPr>
                                  <w:rFonts w:ascii="Arial" w:hAnsi="Arial" w:cs="Arial"/>
                                  <w:sz w:val="16"/>
                                  <w:szCs w:val="16"/>
                                </w:rPr>
                                <w:t xml:space="preserve"> AssetMark, Inc. All rights reserved.</w:t>
                              </w:r>
                            </w:p>
                            <w:p w14:paraId="29A67675" w14:textId="546CD5EF" w:rsidR="00A933B5" w:rsidRDefault="004A6690" w:rsidP="00A933B5">
                              <w:pPr>
                                <w:spacing w:after="120" w:line="240" w:lineRule="auto"/>
                                <w:rPr>
                                  <w:rFonts w:ascii="Arial" w:hAnsi="Arial" w:cs="Arial"/>
                                  <w:sz w:val="16"/>
                                  <w:szCs w:val="16"/>
                                </w:rPr>
                              </w:pPr>
                              <w:bookmarkStart w:id="6" w:name="_Hlk92277838"/>
                              <w:r w:rsidRPr="004A6690">
                                <w:rPr>
                                  <w:rFonts w:ascii="Arial" w:hAnsi="Arial" w:cs="Arial"/>
                                  <w:sz w:val="16"/>
                                  <w:szCs w:val="16"/>
                                </w:rPr>
                                <w:t>104362</w:t>
                              </w:r>
                              <w:r w:rsidR="00A933B5" w:rsidRPr="004A6690">
                                <w:rPr>
                                  <w:rFonts w:ascii="Arial" w:hAnsi="Arial" w:cs="Arial"/>
                                  <w:sz w:val="16"/>
                                  <w:szCs w:val="16"/>
                                </w:rPr>
                                <w:t xml:space="preserve"> | </w:t>
                              </w:r>
                              <w:r w:rsidR="006644EA" w:rsidRPr="004A6690">
                                <w:rPr>
                                  <w:rFonts w:ascii="Arial" w:hAnsi="Arial" w:cs="Arial"/>
                                  <w:sz w:val="16"/>
                                  <w:szCs w:val="16"/>
                                </w:rPr>
                                <w:t>C22-</w:t>
                              </w:r>
                              <w:r w:rsidRPr="004A6690">
                                <w:rPr>
                                  <w:rFonts w:ascii="Arial" w:hAnsi="Arial" w:cs="Arial"/>
                                  <w:sz w:val="16"/>
                                  <w:szCs w:val="16"/>
                                </w:rPr>
                                <w:t>18967</w:t>
                              </w:r>
                              <w:r w:rsidR="006644EA" w:rsidRPr="004A6690">
                                <w:rPr>
                                  <w:rFonts w:ascii="Arial" w:hAnsi="Arial" w:cs="Arial"/>
                                  <w:sz w:val="16"/>
                                  <w:szCs w:val="16"/>
                                </w:rPr>
                                <w:t xml:space="preserve"> </w:t>
                              </w:r>
                              <w:r w:rsidR="00A933B5" w:rsidRPr="004A6690">
                                <w:rPr>
                                  <w:rFonts w:ascii="Arial" w:hAnsi="Arial" w:cs="Arial"/>
                                  <w:sz w:val="16"/>
                                  <w:szCs w:val="16"/>
                                </w:rPr>
                                <w:t xml:space="preserve">| </w:t>
                              </w:r>
                              <w:r w:rsidR="00EA74A5" w:rsidRPr="004A6690">
                                <w:rPr>
                                  <w:rFonts w:ascii="Arial" w:hAnsi="Arial" w:cs="Arial"/>
                                  <w:sz w:val="16"/>
                                  <w:szCs w:val="16"/>
                                </w:rPr>
                                <w:t>0</w:t>
                              </w:r>
                              <w:r w:rsidR="009424B0" w:rsidRPr="004A6690">
                                <w:rPr>
                                  <w:rFonts w:ascii="Arial" w:hAnsi="Arial" w:cs="Arial"/>
                                  <w:sz w:val="16"/>
                                  <w:szCs w:val="16"/>
                                </w:rPr>
                                <w:t>7</w:t>
                              </w:r>
                              <w:r w:rsidR="00A933B5" w:rsidRPr="004A6690">
                                <w:rPr>
                                  <w:rFonts w:ascii="Arial" w:hAnsi="Arial" w:cs="Arial"/>
                                  <w:sz w:val="16"/>
                                  <w:szCs w:val="16"/>
                                </w:rPr>
                                <w:t>/202</w:t>
                              </w:r>
                              <w:r w:rsidR="00EA74A5" w:rsidRPr="004A6690">
                                <w:rPr>
                                  <w:rFonts w:ascii="Arial" w:hAnsi="Arial" w:cs="Arial"/>
                                  <w:sz w:val="16"/>
                                  <w:szCs w:val="16"/>
                                </w:rPr>
                                <w:t>2</w:t>
                              </w:r>
                              <w:r w:rsidR="00A933B5" w:rsidRPr="004A6690">
                                <w:rPr>
                                  <w:rFonts w:ascii="Arial" w:hAnsi="Arial" w:cs="Arial"/>
                                  <w:sz w:val="16"/>
                                  <w:szCs w:val="16"/>
                                </w:rPr>
                                <w:t xml:space="preserve"> | EXP </w:t>
                              </w:r>
                              <w:r w:rsidR="00EA74A5" w:rsidRPr="004A6690">
                                <w:rPr>
                                  <w:rFonts w:ascii="Arial" w:hAnsi="Arial" w:cs="Arial"/>
                                  <w:sz w:val="16"/>
                                  <w:szCs w:val="16"/>
                                </w:rPr>
                                <w:t>0</w:t>
                              </w:r>
                              <w:r w:rsidR="009424B0" w:rsidRPr="004A6690">
                                <w:rPr>
                                  <w:rFonts w:ascii="Arial" w:hAnsi="Arial" w:cs="Arial"/>
                                  <w:sz w:val="16"/>
                                  <w:szCs w:val="16"/>
                                </w:rPr>
                                <w:t>7</w:t>
                              </w:r>
                              <w:r w:rsidR="000656D7" w:rsidRPr="004A6690">
                                <w:rPr>
                                  <w:rFonts w:ascii="Arial" w:hAnsi="Arial" w:cs="Arial"/>
                                  <w:sz w:val="16"/>
                                  <w:szCs w:val="16"/>
                                </w:rPr>
                                <w:t>/31</w:t>
                              </w:r>
                              <w:r w:rsidR="00A933B5" w:rsidRPr="006644EA">
                                <w:rPr>
                                  <w:rFonts w:ascii="Arial" w:hAnsi="Arial" w:cs="Arial"/>
                                  <w:sz w:val="16"/>
                                  <w:szCs w:val="16"/>
                                </w:rPr>
                                <w:t>/202</w:t>
                              </w:r>
                              <w:r w:rsidR="00EA74A5" w:rsidRPr="006644EA">
                                <w:rPr>
                                  <w:rFonts w:ascii="Arial" w:hAnsi="Arial" w:cs="Arial"/>
                                  <w:sz w:val="16"/>
                                  <w:szCs w:val="16"/>
                                </w:rPr>
                                <w:t>4</w:t>
                              </w:r>
                            </w:p>
                            <w:bookmarkEnd w:id="5"/>
                            <w:bookmarkEnd w:id="6"/>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8634" y="-59958"/>
                            <a:ext cx="1390953" cy="1945482"/>
                          </a:xfrm>
                          <a:prstGeom prst="rect">
                            <a:avLst/>
                          </a:prstGeom>
                          <a:noFill/>
                          <a:ln w="6350">
                            <a:noFill/>
                          </a:ln>
                        </wps:spPr>
                        <wps:txb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78F6C" id="Group 16" o:spid="_x0000_s1027" style="position:absolute;margin-left:-32.5pt;margin-top:176.05pt;width:537.5pt;height:454.5pt;z-index:-251642880;mso-position-horizontal-relative:margin;mso-position-vertical-relative:margin;mso-width-relative:margin;mso-height-relative:margin" coordorigin="486,-599" coordsize="6808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">
                <v:shapetype id="_x0000_t202" coordsize="21600,21600" o:spt="202" path="m,l,21600r21600,l21600,xe">
                  <v:stroke joinstyle="miter"/>
                  <v:path gradientshapeok="t" o:connecttype="rect"/>
                </v:shapetype>
                <v:shape id="Text Box 22" o:spid="_x0000_s1028" type="#_x0000_t202" style="position:absolute;left:14396;top:-563;width:54179;height:2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D23FC" w14:textId="77777777" w:rsidR="004F6ABF" w:rsidRPr="00A57DA9" w:rsidRDefault="004F6ABF" w:rsidP="004F6ABF">
                        <w:pPr>
                          <w:spacing w:after="120" w:line="240" w:lineRule="auto"/>
                          <w:rPr>
                            <w:rFonts w:ascii="Arial" w:hAnsi="Arial" w:cs="Arial"/>
                            <w:b/>
                            <w:sz w:val="16"/>
                            <w:szCs w:val="16"/>
                          </w:rPr>
                        </w:pPr>
                        <w:bookmarkStart w:id="7" w:name="_Hlk92871284"/>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2A50E528" w14:textId="7FEA174B" w:rsidR="005C1E1B" w:rsidRDefault="00A933B5" w:rsidP="00DD61D1">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t>
                        </w:r>
                        <w:r w:rsidRPr="0069148C">
                          <w:rPr>
                            <w:rFonts w:ascii="Arial" w:hAnsi="Arial" w:cs="Arial"/>
                            <w:sz w:val="16"/>
                            <w:szCs w:val="16"/>
                          </w:rPr>
                          <w:t>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w:t>
                        </w:r>
                      </w:p>
                      <w:p w14:paraId="72FF25FC" w14:textId="261B2174" w:rsidR="00596873" w:rsidRPr="005C1E1B" w:rsidRDefault="005C1E1B" w:rsidP="005C1E1B">
                        <w:pPr>
                          <w:spacing w:after="120" w:line="240" w:lineRule="auto"/>
                          <w:rPr>
                            <w:rFonts w:ascii="Arial" w:hAnsi="Arial" w:cs="Arial"/>
                            <w:sz w:val="16"/>
                            <w:szCs w:val="16"/>
                          </w:rPr>
                        </w:pPr>
                        <w:r w:rsidRPr="005C1E1B">
                          <w:rPr>
                            <w:rFonts w:ascii="Arial" w:hAnsi="Arial" w:cs="Arial"/>
                            <w:sz w:val="16"/>
                            <w:szCs w:val="16"/>
                          </w:rPr>
                          <w:t>Source: 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w:t>
                        </w:r>
                      </w:p>
                      <w:p w14:paraId="57459710" w14:textId="3FCF6ECA" w:rsidR="005C1E1B" w:rsidRDefault="005C1E1B" w:rsidP="005C1E1B">
                        <w:pPr>
                          <w:spacing w:after="120" w:line="240" w:lineRule="auto"/>
                          <w:rPr>
                            <w:rFonts w:ascii="Arial" w:hAnsi="Arial" w:cs="Arial"/>
                            <w:sz w:val="16"/>
                            <w:szCs w:val="16"/>
                          </w:rPr>
                        </w:pPr>
                        <w:r w:rsidRPr="005C1E1B">
                          <w:rPr>
                            <w:rFonts w:ascii="Arial" w:hAnsi="Arial" w:cs="Arial"/>
                            <w:sz w:val="16"/>
                            <w:szCs w:val="16"/>
                          </w:rPr>
                          <w:t xml:space="preserve">Source: MSCI. MSCI information may only be used for your internal use, may not be </w:t>
                        </w:r>
                        <w:proofErr w:type="gramStart"/>
                        <w:r w:rsidRPr="005C1E1B">
                          <w:rPr>
                            <w:rFonts w:ascii="Arial" w:hAnsi="Arial" w:cs="Arial"/>
                            <w:sz w:val="16"/>
                            <w:szCs w:val="16"/>
                          </w:rPr>
                          <w:t>reproduced</w:t>
                        </w:r>
                        <w:proofErr w:type="gramEnd"/>
                        <w:r w:rsidRPr="005C1E1B">
                          <w:rPr>
                            <w:rFonts w:ascii="Arial" w:hAnsi="Arial" w:cs="Arial"/>
                            <w:sz w:val="16"/>
                            <w:szCs w:val="16"/>
                          </w:rPr>
                          <w:t xml:space="preserve"> or re-disseminated in any form and may not be used as a basis for or a component of any financial instruments or products or indices. None of the MSCI information is intended to constitute investment advice or recommendation to make (or refrain from making) any kind of investment decision and may not be relied on as such. Historical data and analysis should not be taken as an indication or guarantee of any future performance. MSCI information is provided on an "as is" basis and the user of this information assumes the entire risk of any use made of this information.  MSCI, each of its affiliates and each other person involved in or related to compiling, </w:t>
                        </w:r>
                        <w:proofErr w:type="gramStart"/>
                        <w:r w:rsidRPr="005C1E1B">
                          <w:rPr>
                            <w:rFonts w:ascii="Arial" w:hAnsi="Arial" w:cs="Arial"/>
                            <w:sz w:val="16"/>
                            <w:szCs w:val="16"/>
                          </w:rPr>
                          <w:t>computing</w:t>
                        </w:r>
                        <w:proofErr w:type="gramEnd"/>
                        <w:r w:rsidRPr="005C1E1B">
                          <w:rPr>
                            <w:rFonts w:ascii="Arial" w:hAnsi="Arial" w:cs="Arial"/>
                            <w:sz w:val="16"/>
                            <w:szCs w:val="16"/>
                          </w:rPr>
                          <w:t xml:space="preserve"> or creating any MSCI information (collectively, the "MSCI Parties") expressly disclaims all warranties with respect to this information. In no event shall any of the MSCI Parties have any liability for any direct, indirect, special, incidental, punitive, consequential (including, without limitation, lost profits) or any other damages. (www.msci.com).</w:t>
                        </w:r>
                      </w:p>
                      <w:p w14:paraId="675CB9D4" w14:textId="7C73F955"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Please read the Terms of Use posted at www.ewealthmanager.com that govern the use of these materials </w:t>
                        </w:r>
                        <w:proofErr w:type="gramStart"/>
                        <w:r w:rsidRPr="0069148C">
                          <w:rPr>
                            <w:rFonts w:ascii="Arial" w:hAnsi="Arial" w:cs="Arial"/>
                            <w:sz w:val="16"/>
                            <w:szCs w:val="16"/>
                          </w:rPr>
                          <w:t>and also</w:t>
                        </w:r>
                        <w:proofErr w:type="gramEnd"/>
                        <w:r w:rsidRPr="0069148C">
                          <w:rPr>
                            <w:rFonts w:ascii="Arial" w:hAnsi="Arial" w:cs="Arial"/>
                            <w:sz w:val="16"/>
                            <w:szCs w:val="16"/>
                          </w:rPr>
                          <w:t xml:space="preserve"> be advised:</w:t>
                        </w:r>
                      </w:p>
                      <w:p w14:paraId="3E7B3BBF" w14:textId="5DAAC38C"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2C78C20E" w14:textId="7B1CA720" w:rsidR="00DD61D1" w:rsidRDefault="00DD61D1" w:rsidP="00DD61D1">
                        <w:pPr>
                          <w:spacing w:after="120" w:line="240" w:lineRule="auto"/>
                          <w:rPr>
                            <w:rFonts w:ascii="Arial" w:hAnsi="Arial" w:cs="Arial"/>
                            <w:sz w:val="16"/>
                            <w:szCs w:val="16"/>
                          </w:rPr>
                        </w:pPr>
                        <w:r w:rsidRPr="0069148C">
                          <w:rPr>
                            <w:rFonts w:ascii="Arial" w:hAnsi="Arial" w:cs="Arial"/>
                            <w:sz w:val="16"/>
                            <w:szCs w:val="16"/>
                          </w:rPr>
                          <w:t xml:space="preserve">You agree not to redistribute the Information to recipients not authorized by AssetMark.  You agree that the Providers </w:t>
                        </w:r>
                        <w:proofErr w:type="gramStart"/>
                        <w:r w:rsidRPr="0069148C">
                          <w:rPr>
                            <w:rFonts w:ascii="Arial" w:hAnsi="Arial" w:cs="Arial"/>
                            <w:sz w:val="16"/>
                            <w:szCs w:val="16"/>
                          </w:rPr>
                          <w:t>are considered to be</w:t>
                        </w:r>
                        <w:proofErr w:type="gramEnd"/>
                        <w:r w:rsidRPr="0069148C">
                          <w:rPr>
                            <w:rFonts w:ascii="Arial" w:hAnsi="Arial" w:cs="Arial"/>
                            <w:sz w:val="16"/>
                            <w:szCs w:val="16"/>
                          </w:rPr>
                          <w:t xml:space="preserve"> third-party beneficiaries of the Terms of Use.</w:t>
                        </w:r>
                      </w:p>
                      <w:p w14:paraId="44D139E2" w14:textId="45221D3C" w:rsidR="00A933B5" w:rsidRDefault="000220E6" w:rsidP="00A933B5">
                        <w:pPr>
                          <w:spacing w:after="120" w:line="240" w:lineRule="auto"/>
                          <w:rPr>
                            <w:rFonts w:ascii="Arial" w:hAnsi="Arial" w:cs="Arial"/>
                            <w:sz w:val="16"/>
                            <w:szCs w:val="16"/>
                          </w:rPr>
                        </w:pPr>
                        <w:r w:rsidRPr="000220E6">
                          <w:rPr>
                            <w:rFonts w:ascii="Arial" w:hAnsi="Arial" w:cs="Arial"/>
                            <w:sz w:val="16"/>
                            <w:szCs w:val="16"/>
                          </w:rPr>
                          <w:t xml:space="preserve">AssetMark, Inc. is an investment adviser registered with the U.S. Securities and Exchange Commission. AssetMark Investment Management, a division of AssetMark, Inc., includes AssetMark, Savos, and </w:t>
                        </w:r>
                        <w:proofErr w:type="gramStart"/>
                        <w:r w:rsidRPr="000220E6">
                          <w:rPr>
                            <w:rFonts w:ascii="Arial" w:hAnsi="Arial" w:cs="Arial"/>
                            <w:sz w:val="16"/>
                            <w:szCs w:val="16"/>
                          </w:rPr>
                          <w:t>Aris</w:t>
                        </w:r>
                        <w:proofErr w:type="gramEnd"/>
                        <w:r w:rsidRPr="000220E6">
                          <w:rPr>
                            <w:rFonts w:ascii="Arial" w:hAnsi="Arial" w:cs="Arial"/>
                            <w:sz w:val="16"/>
                            <w:szCs w:val="16"/>
                          </w:rPr>
                          <w:t xml:space="preserve"> strategies.  </w:t>
                        </w:r>
                        <w:r>
                          <w:rPr>
                            <w:rFonts w:ascii="Arial" w:hAnsi="Arial" w:cs="Arial"/>
                            <w:sz w:val="16"/>
                            <w:szCs w:val="16"/>
                          </w:rPr>
                          <w:br/>
                        </w:r>
                        <w:r w:rsidR="00A933B5">
                          <w:rPr>
                            <w:rFonts w:ascii="Arial" w:hAnsi="Arial" w:cs="Arial"/>
                            <w:sz w:val="16"/>
                            <w:szCs w:val="16"/>
                          </w:rPr>
                          <w:t>©202</w:t>
                        </w:r>
                        <w:r w:rsidR="00252E6F">
                          <w:rPr>
                            <w:rFonts w:ascii="Arial" w:hAnsi="Arial" w:cs="Arial"/>
                            <w:sz w:val="16"/>
                            <w:szCs w:val="16"/>
                          </w:rPr>
                          <w:t>2</w:t>
                        </w:r>
                        <w:r w:rsidR="00A933B5">
                          <w:rPr>
                            <w:rFonts w:ascii="Arial" w:hAnsi="Arial" w:cs="Arial"/>
                            <w:sz w:val="16"/>
                            <w:szCs w:val="16"/>
                          </w:rPr>
                          <w:t xml:space="preserve"> AssetMark, Inc. All rights reserved.</w:t>
                        </w:r>
                      </w:p>
                      <w:p w14:paraId="29A67675" w14:textId="546CD5EF" w:rsidR="00A933B5" w:rsidRDefault="004A6690" w:rsidP="00A933B5">
                        <w:pPr>
                          <w:spacing w:after="120" w:line="240" w:lineRule="auto"/>
                          <w:rPr>
                            <w:rFonts w:ascii="Arial" w:hAnsi="Arial" w:cs="Arial"/>
                            <w:sz w:val="16"/>
                            <w:szCs w:val="16"/>
                          </w:rPr>
                        </w:pPr>
                        <w:bookmarkStart w:id="8" w:name="_Hlk92277838"/>
                        <w:r w:rsidRPr="004A6690">
                          <w:rPr>
                            <w:rFonts w:ascii="Arial" w:hAnsi="Arial" w:cs="Arial"/>
                            <w:sz w:val="16"/>
                            <w:szCs w:val="16"/>
                          </w:rPr>
                          <w:t>104362</w:t>
                        </w:r>
                        <w:r w:rsidR="00A933B5" w:rsidRPr="004A6690">
                          <w:rPr>
                            <w:rFonts w:ascii="Arial" w:hAnsi="Arial" w:cs="Arial"/>
                            <w:sz w:val="16"/>
                            <w:szCs w:val="16"/>
                          </w:rPr>
                          <w:t xml:space="preserve"> | </w:t>
                        </w:r>
                        <w:r w:rsidR="006644EA" w:rsidRPr="004A6690">
                          <w:rPr>
                            <w:rFonts w:ascii="Arial" w:hAnsi="Arial" w:cs="Arial"/>
                            <w:sz w:val="16"/>
                            <w:szCs w:val="16"/>
                          </w:rPr>
                          <w:t>C22-</w:t>
                        </w:r>
                        <w:r w:rsidRPr="004A6690">
                          <w:rPr>
                            <w:rFonts w:ascii="Arial" w:hAnsi="Arial" w:cs="Arial"/>
                            <w:sz w:val="16"/>
                            <w:szCs w:val="16"/>
                          </w:rPr>
                          <w:t>18967</w:t>
                        </w:r>
                        <w:r w:rsidR="006644EA" w:rsidRPr="004A6690">
                          <w:rPr>
                            <w:rFonts w:ascii="Arial" w:hAnsi="Arial" w:cs="Arial"/>
                            <w:sz w:val="16"/>
                            <w:szCs w:val="16"/>
                          </w:rPr>
                          <w:t xml:space="preserve"> </w:t>
                        </w:r>
                        <w:r w:rsidR="00A933B5" w:rsidRPr="004A6690">
                          <w:rPr>
                            <w:rFonts w:ascii="Arial" w:hAnsi="Arial" w:cs="Arial"/>
                            <w:sz w:val="16"/>
                            <w:szCs w:val="16"/>
                          </w:rPr>
                          <w:t xml:space="preserve">| </w:t>
                        </w:r>
                        <w:r w:rsidR="00EA74A5" w:rsidRPr="004A6690">
                          <w:rPr>
                            <w:rFonts w:ascii="Arial" w:hAnsi="Arial" w:cs="Arial"/>
                            <w:sz w:val="16"/>
                            <w:szCs w:val="16"/>
                          </w:rPr>
                          <w:t>0</w:t>
                        </w:r>
                        <w:r w:rsidR="009424B0" w:rsidRPr="004A6690">
                          <w:rPr>
                            <w:rFonts w:ascii="Arial" w:hAnsi="Arial" w:cs="Arial"/>
                            <w:sz w:val="16"/>
                            <w:szCs w:val="16"/>
                          </w:rPr>
                          <w:t>7</w:t>
                        </w:r>
                        <w:r w:rsidR="00A933B5" w:rsidRPr="004A6690">
                          <w:rPr>
                            <w:rFonts w:ascii="Arial" w:hAnsi="Arial" w:cs="Arial"/>
                            <w:sz w:val="16"/>
                            <w:szCs w:val="16"/>
                          </w:rPr>
                          <w:t>/202</w:t>
                        </w:r>
                        <w:r w:rsidR="00EA74A5" w:rsidRPr="004A6690">
                          <w:rPr>
                            <w:rFonts w:ascii="Arial" w:hAnsi="Arial" w:cs="Arial"/>
                            <w:sz w:val="16"/>
                            <w:szCs w:val="16"/>
                          </w:rPr>
                          <w:t>2</w:t>
                        </w:r>
                        <w:r w:rsidR="00A933B5" w:rsidRPr="004A6690">
                          <w:rPr>
                            <w:rFonts w:ascii="Arial" w:hAnsi="Arial" w:cs="Arial"/>
                            <w:sz w:val="16"/>
                            <w:szCs w:val="16"/>
                          </w:rPr>
                          <w:t xml:space="preserve"> | EXP </w:t>
                        </w:r>
                        <w:r w:rsidR="00EA74A5" w:rsidRPr="004A6690">
                          <w:rPr>
                            <w:rFonts w:ascii="Arial" w:hAnsi="Arial" w:cs="Arial"/>
                            <w:sz w:val="16"/>
                            <w:szCs w:val="16"/>
                          </w:rPr>
                          <w:t>0</w:t>
                        </w:r>
                        <w:r w:rsidR="009424B0" w:rsidRPr="004A6690">
                          <w:rPr>
                            <w:rFonts w:ascii="Arial" w:hAnsi="Arial" w:cs="Arial"/>
                            <w:sz w:val="16"/>
                            <w:szCs w:val="16"/>
                          </w:rPr>
                          <w:t>7</w:t>
                        </w:r>
                        <w:r w:rsidR="000656D7" w:rsidRPr="004A6690">
                          <w:rPr>
                            <w:rFonts w:ascii="Arial" w:hAnsi="Arial" w:cs="Arial"/>
                            <w:sz w:val="16"/>
                            <w:szCs w:val="16"/>
                          </w:rPr>
                          <w:t>/31</w:t>
                        </w:r>
                        <w:r w:rsidR="00A933B5" w:rsidRPr="006644EA">
                          <w:rPr>
                            <w:rFonts w:ascii="Arial" w:hAnsi="Arial" w:cs="Arial"/>
                            <w:sz w:val="16"/>
                            <w:szCs w:val="16"/>
                          </w:rPr>
                          <w:t>/202</w:t>
                        </w:r>
                        <w:r w:rsidR="00EA74A5" w:rsidRPr="006644EA">
                          <w:rPr>
                            <w:rFonts w:ascii="Arial" w:hAnsi="Arial" w:cs="Arial"/>
                            <w:sz w:val="16"/>
                            <w:szCs w:val="16"/>
                          </w:rPr>
                          <w:t>4</w:t>
                        </w:r>
                      </w:p>
                      <w:bookmarkEnd w:id="7"/>
                      <w:bookmarkEnd w:id="8"/>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v:textbox>
                </v:shape>
                <v:shape id="Text Box 23" o:spid="_x0000_s1029" type="#_x0000_t202" style="position:absolute;left:486;top:-599;width:13909;height:19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v:textbox>
                </v:shape>
                <w10:wrap type="tight" anchorx="margin" anchory="margin"/>
              </v:group>
            </w:pict>
          </mc:Fallback>
        </mc:AlternateContent>
      </w:r>
      <w:r w:rsidR="00740E1D" w:rsidRPr="00B376AC">
        <w:rPr>
          <w:rFonts w:ascii="Arial" w:hAnsi="Arial" w:cs="Arial"/>
          <w:noProof/>
          <w:color w:val="343433"/>
          <w:sz w:val="16"/>
          <w:szCs w:val="16"/>
        </w:rPr>
        <mc:AlternateContent>
          <mc:Choice Requires="wps">
            <w:drawing>
              <wp:anchor distT="0" distB="0" distL="114300" distR="114300" simplePos="0" relativeHeight="251667455" behindDoc="0" locked="0" layoutInCell="1" allowOverlap="1" wp14:anchorId="44FFBB46" wp14:editId="35B06415">
                <wp:simplePos x="0" y="0"/>
                <wp:positionH relativeFrom="column">
                  <wp:posOffset>-495300</wp:posOffset>
                </wp:positionH>
                <wp:positionV relativeFrom="paragraph">
                  <wp:posOffset>2083436</wp:posOffset>
                </wp:positionV>
                <wp:extent cx="6965950" cy="5943600"/>
                <wp:effectExtent l="0" t="0" r="6350" b="0"/>
                <wp:wrapNone/>
                <wp:docPr id="2" name="Rectangle 2"/>
                <wp:cNvGraphicFramePr/>
                <a:graphic xmlns:a="http://schemas.openxmlformats.org/drawingml/2006/main">
                  <a:graphicData uri="http://schemas.microsoft.com/office/word/2010/wordprocessingShape">
                    <wps:wsp>
                      <wps:cNvSpPr/>
                      <wps:spPr>
                        <a:xfrm>
                          <a:off x="0" y="0"/>
                          <a:ext cx="6965950" cy="5943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41F1" id="Rectangle 2" o:spid="_x0000_s1026" style="position:absolute;margin-left:-39pt;margin-top:164.05pt;width:548.5pt;height:468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" fillcolor="#f2f2f2" stroked="f" strokeweight="1pt"/>
            </w:pict>
          </mc:Fallback>
        </mc:AlternateContent>
      </w:r>
    </w:p>
    <w:sectPr w:rsidR="000F6A69" w:rsidRPr="009F65E5" w:rsidSect="00890AD2">
      <w:type w:val="continuous"/>
      <w:pgSz w:w="12240" w:h="15840"/>
      <w:pgMar w:top="-1659" w:right="1440" w:bottom="15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DBD6" w14:textId="77777777" w:rsidR="001A6422" w:rsidRDefault="001A6422" w:rsidP="005C1D70">
      <w:pPr>
        <w:spacing w:after="0" w:line="240" w:lineRule="auto"/>
      </w:pPr>
      <w:r>
        <w:separator/>
      </w:r>
    </w:p>
  </w:endnote>
  <w:endnote w:type="continuationSeparator" w:id="0">
    <w:p w14:paraId="492459CC" w14:textId="77777777" w:rsidR="001A6422" w:rsidRDefault="001A6422" w:rsidP="005C1D70">
      <w:pPr>
        <w:spacing w:after="0" w:line="240" w:lineRule="auto"/>
      </w:pPr>
      <w:r>
        <w:continuationSeparator/>
      </w:r>
    </w:p>
  </w:endnote>
  <w:endnote w:id="1">
    <w:p w14:paraId="090659FE" w14:textId="7C2DE6C3" w:rsidR="00405462" w:rsidRPr="000726E2" w:rsidRDefault="00405462">
      <w:pPr>
        <w:pStyle w:val="EndnoteText"/>
        <w:rPr>
          <w:rFonts w:ascii="Arial" w:hAnsi="Arial" w:cs="Arial"/>
          <w:sz w:val="16"/>
          <w:szCs w:val="16"/>
        </w:rPr>
      </w:pPr>
      <w:r w:rsidRPr="000726E2">
        <w:rPr>
          <w:rStyle w:val="EndnoteReference"/>
          <w:rFonts w:ascii="Arial" w:hAnsi="Arial" w:cs="Arial"/>
          <w:sz w:val="16"/>
          <w:szCs w:val="16"/>
        </w:rPr>
        <w:endnoteRef/>
      </w:r>
      <w:r w:rsidRPr="000726E2">
        <w:rPr>
          <w:rFonts w:ascii="Arial" w:hAnsi="Arial" w:cs="Arial"/>
          <w:sz w:val="16"/>
          <w:szCs w:val="16"/>
        </w:rPr>
        <w:t xml:space="preserve"> </w:t>
      </w:r>
      <w:r w:rsidR="00EC1D1C" w:rsidRPr="000726E2">
        <w:rPr>
          <w:rFonts w:ascii="Arial" w:hAnsi="Arial" w:cs="Arial"/>
          <w:sz w:val="16"/>
          <w:szCs w:val="16"/>
        </w:rPr>
        <w:t xml:space="preserve">Source: </w:t>
      </w:r>
      <w:r w:rsidRPr="000726E2">
        <w:rPr>
          <w:rFonts w:ascii="Arial" w:hAnsi="Arial" w:cs="Arial"/>
          <w:sz w:val="16"/>
          <w:szCs w:val="16"/>
        </w:rPr>
        <w:t>Morningstar. 14 Charts on Market’s Second-Quarter Performance</w:t>
      </w:r>
    </w:p>
  </w:endnote>
  <w:endnote w:id="2">
    <w:p w14:paraId="69030011" w14:textId="0C06718C" w:rsidR="00A35B06" w:rsidRDefault="00A35B06">
      <w:pPr>
        <w:pStyle w:val="EndnoteText"/>
      </w:pPr>
      <w:r w:rsidRPr="000726E2">
        <w:rPr>
          <w:rStyle w:val="EndnoteReference"/>
          <w:rFonts w:ascii="Arial" w:hAnsi="Arial" w:cs="Arial"/>
          <w:sz w:val="16"/>
          <w:szCs w:val="16"/>
        </w:rPr>
        <w:endnoteRef/>
      </w:r>
      <w:r w:rsidRPr="000726E2">
        <w:rPr>
          <w:rFonts w:ascii="Arial" w:hAnsi="Arial" w:cs="Arial"/>
          <w:sz w:val="16"/>
          <w:szCs w:val="16"/>
        </w:rPr>
        <w:t xml:space="preserve"> </w:t>
      </w:r>
      <w:r w:rsidR="00EC1D1C" w:rsidRPr="000726E2">
        <w:rPr>
          <w:rFonts w:ascii="Arial" w:hAnsi="Arial" w:cs="Arial"/>
          <w:sz w:val="16"/>
          <w:szCs w:val="16"/>
        </w:rPr>
        <w:t xml:space="preserve">Source: </w:t>
      </w:r>
      <w:r w:rsidRPr="000726E2">
        <w:rPr>
          <w:rFonts w:ascii="Arial" w:hAnsi="Arial" w:cs="Arial"/>
          <w:sz w:val="16"/>
          <w:szCs w:val="16"/>
        </w:rPr>
        <w:t>FactSet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6A74A47C" w14:textId="77777777"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1998"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67BBCF9" w14:textId="77777777"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C146FF">
          <w:rPr>
            <w:rStyle w:val="PageNumber"/>
            <w:rFonts w:ascii="Arial" w:hAnsi="Arial" w:cs="Arial"/>
            <w:noProof/>
            <w:color w:val="767171" w:themeColor="background2" w:themeShade="80"/>
            <w:sz w:val="20"/>
          </w:rPr>
          <w:t>4</w:t>
        </w:r>
        <w:r w:rsidRPr="007C4C9B">
          <w:rPr>
            <w:rStyle w:val="PageNumber"/>
            <w:rFonts w:ascii="Arial" w:hAnsi="Arial" w:cs="Arial"/>
            <w:color w:val="767171" w:themeColor="background2" w:themeShade="80"/>
            <w:sz w:val="20"/>
          </w:rPr>
          <w:fldChar w:fldCharType="end"/>
        </w:r>
      </w:p>
    </w:sdtContent>
  </w:sdt>
  <w:p w14:paraId="340D8F79" w14:textId="77777777"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154F3E05">
              <wp:simplePos x="0" y="0"/>
              <wp:positionH relativeFrom="column">
                <wp:posOffset>-457200</wp:posOffset>
              </wp:positionH>
              <wp:positionV relativeFrom="paragraph">
                <wp:posOffset>78740</wp:posOffset>
              </wp:positionV>
              <wp:extent cx="2743200"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proofErr w:type="gramStart"/>
                          <w:r w:rsidR="00A02EE9">
                            <w:rPr>
                              <w:rFonts w:ascii="Arial" w:hAnsi="Arial" w:cs="Arial"/>
                              <w:color w:val="767171" w:themeColor="background2" w:themeShade="80"/>
                              <w:sz w:val="20"/>
                              <w:szCs w:val="36"/>
                            </w:rPr>
                            <w:t>general public</w:t>
                          </w:r>
                          <w:proofErr w:type="gramEnd"/>
                          <w:r w:rsidR="00A02EE9">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3in;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" filled="f" stroked="f" strokeweight=".5pt">
              <v:textbox inset="0">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A02EE9">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40C14"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C8522BA"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992B9C">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2A9219EE" w14:textId="77777777"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1E349912">
              <wp:simplePos x="0" y="0"/>
              <wp:positionH relativeFrom="column">
                <wp:posOffset>-447040</wp:posOffset>
              </wp:positionH>
              <wp:positionV relativeFrom="paragraph">
                <wp:posOffset>78740</wp:posOffset>
              </wp:positionV>
              <wp:extent cx="2743200"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proofErr w:type="gramStart"/>
                          <w:r w:rsidR="0069692B">
                            <w:rPr>
                              <w:rFonts w:ascii="Arial" w:hAnsi="Arial" w:cs="Arial"/>
                              <w:color w:val="767171" w:themeColor="background2" w:themeShade="80"/>
                              <w:sz w:val="20"/>
                              <w:szCs w:val="36"/>
                            </w:rPr>
                            <w:t>general public</w:t>
                          </w:r>
                          <w:proofErr w:type="gramEnd"/>
                          <w:r w:rsidR="0069692B">
                            <w:rPr>
                              <w:rFonts w:ascii="Arial" w:hAnsi="Arial" w:cs="Arial"/>
                              <w:color w:val="767171" w:themeColor="background2" w:themeShade="80"/>
                              <w:sz w:val="20"/>
                              <w:szCs w:val="36"/>
                            </w:rPr>
                            <w:t xml:space="preserve"> use</w:t>
                          </w:r>
                          <w:r w:rsidR="00FE3FBC">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pt;margin-top:6.2pt;width:3in;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" filled="f" stroked="f" strokeweight=".5pt">
              <v:textbox inset="0">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69692B">
                      <w:rPr>
                        <w:rFonts w:ascii="Arial" w:hAnsi="Arial" w:cs="Arial"/>
                        <w:color w:val="767171" w:themeColor="background2" w:themeShade="80"/>
                        <w:sz w:val="20"/>
                        <w:szCs w:val="36"/>
                      </w:rPr>
                      <w:t>general public use</w:t>
                    </w:r>
                    <w:r w:rsidR="00FE3FBC">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36D8E"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A7C8" w14:textId="77777777" w:rsidR="001A6422" w:rsidRDefault="001A6422" w:rsidP="005C1D70">
      <w:pPr>
        <w:spacing w:after="0" w:line="240" w:lineRule="auto"/>
      </w:pPr>
      <w:r>
        <w:separator/>
      </w:r>
    </w:p>
  </w:footnote>
  <w:footnote w:type="continuationSeparator" w:id="0">
    <w:p w14:paraId="7401759D" w14:textId="77777777" w:rsidR="001A6422" w:rsidRDefault="001A6422"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1D54" w14:textId="77777777"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2F6C1"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85D0" w14:textId="77777777" w:rsidR="00996FBD" w:rsidRDefault="009C020D">
    <w:pPr>
      <w:pStyle w:val="Header"/>
    </w:pPr>
    <w:r w:rsidRPr="00996FBD">
      <w:rPr>
        <w:noProof/>
      </w:rPr>
      <mc:AlternateContent>
        <mc:Choice Requires="wps">
          <w:drawing>
            <wp:anchor distT="0" distB="0" distL="114300" distR="114300" simplePos="0" relativeHeight="251673600" behindDoc="0" locked="0" layoutInCell="1" allowOverlap="1" wp14:anchorId="315F954A" wp14:editId="74D19A43">
              <wp:simplePos x="0" y="0"/>
              <wp:positionH relativeFrom="column">
                <wp:posOffset>-457201</wp:posOffset>
              </wp:positionH>
              <wp:positionV relativeFrom="paragraph">
                <wp:posOffset>152400</wp:posOffset>
              </wp:positionV>
              <wp:extent cx="1299633" cy="2514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9633" cy="251460"/>
                      </a:xfrm>
                      <a:prstGeom prst="rect">
                        <a:avLst/>
                      </a:prstGeom>
                      <a:noFill/>
                      <a:ln w="6350">
                        <a:noFill/>
                      </a:ln>
                    </wps:spPr>
                    <wps:txbx>
                      <w:txbxContent>
                        <w:p w14:paraId="118167A3" w14:textId="198C25C8" w:rsidR="00996FBD" w:rsidRPr="00331075" w:rsidRDefault="00405462" w:rsidP="00996FBD">
                          <w:pPr>
                            <w:rPr>
                              <w:rFonts w:ascii="Arial" w:hAnsi="Arial" w:cs="Arial"/>
                              <w:color w:val="AEAAAA" w:themeColor="background2" w:themeShade="BF"/>
                              <w:sz w:val="18"/>
                            </w:rPr>
                          </w:pPr>
                          <w:r>
                            <w:rPr>
                              <w:rFonts w:ascii="Arial" w:hAnsi="Arial" w:cs="Arial"/>
                              <w:color w:val="AEAAAA" w:themeColor="background2" w:themeShade="BF"/>
                              <w:sz w:val="20"/>
                              <w:szCs w:val="36"/>
                            </w:rPr>
                            <w:t>June</w:t>
                          </w:r>
                          <w:r w:rsidR="00B42A03">
                            <w:rPr>
                              <w:rFonts w:ascii="Arial" w:hAnsi="Arial" w:cs="Arial"/>
                              <w:color w:val="AEAAAA" w:themeColor="background2" w:themeShade="BF"/>
                              <w:sz w:val="20"/>
                              <w:szCs w:val="36"/>
                            </w:rPr>
                            <w:t xml:space="preserve"> </w:t>
                          </w:r>
                          <w:r w:rsidR="006C4671">
                            <w:rPr>
                              <w:rFonts w:ascii="Arial" w:hAnsi="Arial" w:cs="Arial"/>
                              <w:color w:val="AEAAAA" w:themeColor="background2" w:themeShade="BF"/>
                              <w:sz w:val="20"/>
                              <w:szCs w:val="36"/>
                            </w:rPr>
                            <w:t>202</w:t>
                          </w:r>
                          <w:r w:rsidR="004F4FB0">
                            <w:rPr>
                              <w:rFonts w:ascii="Arial" w:hAnsi="Arial" w:cs="Arial"/>
                              <w:color w:val="AEAAAA" w:themeColor="background2" w:themeShade="BF"/>
                              <w:sz w:val="20"/>
                              <w:szCs w:val="36"/>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3" type="#_x0000_t202" style="position:absolute;margin-left:-36pt;margin-top:12pt;width:102.3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" filled="f" stroked="f" strokeweight=".5pt">
              <v:textbox inset="0">
                <w:txbxContent>
                  <w:p w14:paraId="118167A3" w14:textId="198C25C8" w:rsidR="00996FBD" w:rsidRPr="00331075" w:rsidRDefault="00405462" w:rsidP="00996FBD">
                    <w:pPr>
                      <w:rPr>
                        <w:rFonts w:ascii="Arial" w:hAnsi="Arial" w:cs="Arial"/>
                        <w:color w:val="AEAAAA" w:themeColor="background2" w:themeShade="BF"/>
                        <w:sz w:val="18"/>
                      </w:rPr>
                    </w:pPr>
                    <w:r>
                      <w:rPr>
                        <w:rFonts w:ascii="Arial" w:hAnsi="Arial" w:cs="Arial"/>
                        <w:color w:val="AEAAAA" w:themeColor="background2" w:themeShade="BF"/>
                        <w:sz w:val="20"/>
                        <w:szCs w:val="36"/>
                      </w:rPr>
                      <w:t>June</w:t>
                    </w:r>
                    <w:r w:rsidR="00B42A03">
                      <w:rPr>
                        <w:rFonts w:ascii="Arial" w:hAnsi="Arial" w:cs="Arial"/>
                        <w:color w:val="AEAAAA" w:themeColor="background2" w:themeShade="BF"/>
                        <w:sz w:val="20"/>
                        <w:szCs w:val="36"/>
                      </w:rPr>
                      <w:t xml:space="preserve"> </w:t>
                    </w:r>
                    <w:r w:rsidR="006C4671">
                      <w:rPr>
                        <w:rFonts w:ascii="Arial" w:hAnsi="Arial" w:cs="Arial"/>
                        <w:color w:val="AEAAAA" w:themeColor="background2" w:themeShade="BF"/>
                        <w:sz w:val="20"/>
                        <w:szCs w:val="36"/>
                      </w:rPr>
                      <w:t>202</w:t>
                    </w:r>
                    <w:r w:rsidR="004F4FB0">
                      <w:rPr>
                        <w:rFonts w:ascii="Arial" w:hAnsi="Arial" w:cs="Arial"/>
                        <w:color w:val="AEAAAA" w:themeColor="background2" w:themeShade="BF"/>
                        <w:sz w:val="20"/>
                        <w:szCs w:val="36"/>
                      </w:rPr>
                      <w:t>2</w:t>
                    </w:r>
                  </w:p>
                </w:txbxContent>
              </v:textbox>
            </v:shape>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B83F65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5CB" id="Text Box 9" o:spid="_x0000_s1034"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r w:rsidR="00777E17" w:rsidRPr="00996FBD">
      <w:rPr>
        <w:noProof/>
      </w:rPr>
      <mc:AlternateContent>
        <mc:Choice Requires="wps">
          <w:drawing>
            <wp:anchor distT="0" distB="0" distL="114300" distR="114300" simplePos="0" relativeHeight="251670528" behindDoc="0" locked="0" layoutInCell="1" allowOverlap="1" wp14:anchorId="103FBA55" wp14:editId="72F0F13E">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03A65" id="Rectangle 8" o:spid="_x0000_s1026" style="position:absolute;margin-left:-71.2pt;margin-top:98.45pt;width:612pt;height:2.8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C77"/>
    <w:multiLevelType w:val="hybridMultilevel"/>
    <w:tmpl w:val="79F8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078A2"/>
    <w:multiLevelType w:val="hybridMultilevel"/>
    <w:tmpl w:val="60F4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C22"/>
    <w:multiLevelType w:val="multilevel"/>
    <w:tmpl w:val="DF3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46A22"/>
    <w:multiLevelType w:val="hybridMultilevel"/>
    <w:tmpl w:val="C5C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731C4"/>
    <w:multiLevelType w:val="multilevel"/>
    <w:tmpl w:val="C44E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MzE3NDeyMLMwNDdU0lEKTi0uzszPAymwqAUANWxltSwAAAA="/>
  </w:docVars>
  <w:rsids>
    <w:rsidRoot w:val="005C1D70"/>
    <w:rsid w:val="00001A1B"/>
    <w:rsid w:val="00007A7E"/>
    <w:rsid w:val="00016B9E"/>
    <w:rsid w:val="00016C1C"/>
    <w:rsid w:val="0002108F"/>
    <w:rsid w:val="000220E6"/>
    <w:rsid w:val="00023357"/>
    <w:rsid w:val="00024E19"/>
    <w:rsid w:val="000251BF"/>
    <w:rsid w:val="00027F34"/>
    <w:rsid w:val="0003123B"/>
    <w:rsid w:val="00032AC6"/>
    <w:rsid w:val="00036F62"/>
    <w:rsid w:val="00042261"/>
    <w:rsid w:val="00042F07"/>
    <w:rsid w:val="00043616"/>
    <w:rsid w:val="000469F1"/>
    <w:rsid w:val="00051972"/>
    <w:rsid w:val="00062EA0"/>
    <w:rsid w:val="000632EA"/>
    <w:rsid w:val="000656D7"/>
    <w:rsid w:val="0007231D"/>
    <w:rsid w:val="000726E2"/>
    <w:rsid w:val="00075C34"/>
    <w:rsid w:val="00076B71"/>
    <w:rsid w:val="000800E3"/>
    <w:rsid w:val="00080D15"/>
    <w:rsid w:val="00082B70"/>
    <w:rsid w:val="00085ABF"/>
    <w:rsid w:val="00086CF0"/>
    <w:rsid w:val="00090420"/>
    <w:rsid w:val="000A7E8D"/>
    <w:rsid w:val="000B2407"/>
    <w:rsid w:val="000C0521"/>
    <w:rsid w:val="000C6F98"/>
    <w:rsid w:val="000D0ED5"/>
    <w:rsid w:val="000D435A"/>
    <w:rsid w:val="000D4FD7"/>
    <w:rsid w:val="000E4CDF"/>
    <w:rsid w:val="000E638D"/>
    <w:rsid w:val="000E6BC0"/>
    <w:rsid w:val="000E6EEC"/>
    <w:rsid w:val="000F263F"/>
    <w:rsid w:val="000F6A69"/>
    <w:rsid w:val="000F6F26"/>
    <w:rsid w:val="00102089"/>
    <w:rsid w:val="0010409D"/>
    <w:rsid w:val="00112B2B"/>
    <w:rsid w:val="00112B7D"/>
    <w:rsid w:val="00113623"/>
    <w:rsid w:val="001145DB"/>
    <w:rsid w:val="001235D7"/>
    <w:rsid w:val="00130A7C"/>
    <w:rsid w:val="00140F12"/>
    <w:rsid w:val="00152CB7"/>
    <w:rsid w:val="00154966"/>
    <w:rsid w:val="00156C65"/>
    <w:rsid w:val="00156E9F"/>
    <w:rsid w:val="00165DF6"/>
    <w:rsid w:val="001672AE"/>
    <w:rsid w:val="00173730"/>
    <w:rsid w:val="00174AD5"/>
    <w:rsid w:val="00182D23"/>
    <w:rsid w:val="0018529C"/>
    <w:rsid w:val="00186595"/>
    <w:rsid w:val="00190DA5"/>
    <w:rsid w:val="00191601"/>
    <w:rsid w:val="00191B06"/>
    <w:rsid w:val="0019254E"/>
    <w:rsid w:val="00193843"/>
    <w:rsid w:val="0019776F"/>
    <w:rsid w:val="001A3F7E"/>
    <w:rsid w:val="001A6422"/>
    <w:rsid w:val="001A6B17"/>
    <w:rsid w:val="001A7EE6"/>
    <w:rsid w:val="001B4F72"/>
    <w:rsid w:val="001B5E8D"/>
    <w:rsid w:val="001B6F30"/>
    <w:rsid w:val="001C1491"/>
    <w:rsid w:val="001C2475"/>
    <w:rsid w:val="001D39CF"/>
    <w:rsid w:val="001D3BE8"/>
    <w:rsid w:val="001D6282"/>
    <w:rsid w:val="001D64BA"/>
    <w:rsid w:val="001E2992"/>
    <w:rsid w:val="001F0069"/>
    <w:rsid w:val="001F3C33"/>
    <w:rsid w:val="00203FA8"/>
    <w:rsid w:val="00211863"/>
    <w:rsid w:val="002226E5"/>
    <w:rsid w:val="002243CA"/>
    <w:rsid w:val="002266CE"/>
    <w:rsid w:val="0023363B"/>
    <w:rsid w:val="002367F8"/>
    <w:rsid w:val="00243327"/>
    <w:rsid w:val="00252E6F"/>
    <w:rsid w:val="00255EB5"/>
    <w:rsid w:val="00257CA6"/>
    <w:rsid w:val="00266348"/>
    <w:rsid w:val="00271CE3"/>
    <w:rsid w:val="002812BF"/>
    <w:rsid w:val="002824DF"/>
    <w:rsid w:val="002943BB"/>
    <w:rsid w:val="002968FA"/>
    <w:rsid w:val="002A13F1"/>
    <w:rsid w:val="002A5331"/>
    <w:rsid w:val="002A5768"/>
    <w:rsid w:val="002B19B9"/>
    <w:rsid w:val="002B2B45"/>
    <w:rsid w:val="002B3AF0"/>
    <w:rsid w:val="002C2B2D"/>
    <w:rsid w:val="002C3172"/>
    <w:rsid w:val="002C384C"/>
    <w:rsid w:val="002D2F4C"/>
    <w:rsid w:val="002D3936"/>
    <w:rsid w:val="002D3AD1"/>
    <w:rsid w:val="002D47CD"/>
    <w:rsid w:val="002D792A"/>
    <w:rsid w:val="002D7BC0"/>
    <w:rsid w:val="002E1DE1"/>
    <w:rsid w:val="002E5339"/>
    <w:rsid w:val="002F0D59"/>
    <w:rsid w:val="0030590B"/>
    <w:rsid w:val="003110DE"/>
    <w:rsid w:val="003111A1"/>
    <w:rsid w:val="0031343F"/>
    <w:rsid w:val="00313B78"/>
    <w:rsid w:val="0031483A"/>
    <w:rsid w:val="00324B21"/>
    <w:rsid w:val="003271BF"/>
    <w:rsid w:val="0033033B"/>
    <w:rsid w:val="00331075"/>
    <w:rsid w:val="003321F1"/>
    <w:rsid w:val="003348C1"/>
    <w:rsid w:val="00334AF7"/>
    <w:rsid w:val="003368F3"/>
    <w:rsid w:val="003433B1"/>
    <w:rsid w:val="00345783"/>
    <w:rsid w:val="00350C5E"/>
    <w:rsid w:val="00355C35"/>
    <w:rsid w:val="00362ADF"/>
    <w:rsid w:val="00363339"/>
    <w:rsid w:val="00363C9F"/>
    <w:rsid w:val="00367858"/>
    <w:rsid w:val="00373226"/>
    <w:rsid w:val="0038286B"/>
    <w:rsid w:val="00382DA1"/>
    <w:rsid w:val="00383327"/>
    <w:rsid w:val="00390879"/>
    <w:rsid w:val="00392FF8"/>
    <w:rsid w:val="00397AF7"/>
    <w:rsid w:val="003A6020"/>
    <w:rsid w:val="003B01AC"/>
    <w:rsid w:val="003B11D4"/>
    <w:rsid w:val="003B12C1"/>
    <w:rsid w:val="003B1AE9"/>
    <w:rsid w:val="003C0A03"/>
    <w:rsid w:val="003D217E"/>
    <w:rsid w:val="003D2327"/>
    <w:rsid w:val="003F2CFB"/>
    <w:rsid w:val="003F76DF"/>
    <w:rsid w:val="003F7A98"/>
    <w:rsid w:val="00405462"/>
    <w:rsid w:val="00405610"/>
    <w:rsid w:val="00411AAA"/>
    <w:rsid w:val="00413355"/>
    <w:rsid w:val="004169FC"/>
    <w:rsid w:val="00416E91"/>
    <w:rsid w:val="00417473"/>
    <w:rsid w:val="00420FAA"/>
    <w:rsid w:val="00422ED2"/>
    <w:rsid w:val="00427C80"/>
    <w:rsid w:val="00431ABC"/>
    <w:rsid w:val="00444BDF"/>
    <w:rsid w:val="00445A4C"/>
    <w:rsid w:val="004464DA"/>
    <w:rsid w:val="00450995"/>
    <w:rsid w:val="00451267"/>
    <w:rsid w:val="00460169"/>
    <w:rsid w:val="004702F1"/>
    <w:rsid w:val="004767CA"/>
    <w:rsid w:val="00482C76"/>
    <w:rsid w:val="00482D02"/>
    <w:rsid w:val="004839D8"/>
    <w:rsid w:val="00483E53"/>
    <w:rsid w:val="004915F5"/>
    <w:rsid w:val="00497314"/>
    <w:rsid w:val="00497819"/>
    <w:rsid w:val="004A6690"/>
    <w:rsid w:val="004A70CE"/>
    <w:rsid w:val="004B1C5E"/>
    <w:rsid w:val="004B3059"/>
    <w:rsid w:val="004B30E3"/>
    <w:rsid w:val="004C0A78"/>
    <w:rsid w:val="004C0D0C"/>
    <w:rsid w:val="004C16D2"/>
    <w:rsid w:val="004C4325"/>
    <w:rsid w:val="004C45B2"/>
    <w:rsid w:val="004C4F52"/>
    <w:rsid w:val="004C52F8"/>
    <w:rsid w:val="004C74CC"/>
    <w:rsid w:val="004D2F5A"/>
    <w:rsid w:val="004D7D95"/>
    <w:rsid w:val="004E0975"/>
    <w:rsid w:val="004E24A0"/>
    <w:rsid w:val="004E2AC7"/>
    <w:rsid w:val="004E31E5"/>
    <w:rsid w:val="004F2623"/>
    <w:rsid w:val="004F4FB0"/>
    <w:rsid w:val="004F532A"/>
    <w:rsid w:val="004F6ABF"/>
    <w:rsid w:val="0050199E"/>
    <w:rsid w:val="00505A79"/>
    <w:rsid w:val="00505C31"/>
    <w:rsid w:val="005123A9"/>
    <w:rsid w:val="00517C22"/>
    <w:rsid w:val="00521AD6"/>
    <w:rsid w:val="00521E72"/>
    <w:rsid w:val="0052221A"/>
    <w:rsid w:val="0052558D"/>
    <w:rsid w:val="00525FA1"/>
    <w:rsid w:val="005314A5"/>
    <w:rsid w:val="005333FB"/>
    <w:rsid w:val="005371DC"/>
    <w:rsid w:val="00550B80"/>
    <w:rsid w:val="00552D96"/>
    <w:rsid w:val="0055528E"/>
    <w:rsid w:val="005615BF"/>
    <w:rsid w:val="00564DCE"/>
    <w:rsid w:val="00570FFA"/>
    <w:rsid w:val="0057379A"/>
    <w:rsid w:val="0057733A"/>
    <w:rsid w:val="005817B5"/>
    <w:rsid w:val="00584389"/>
    <w:rsid w:val="005851A4"/>
    <w:rsid w:val="00585578"/>
    <w:rsid w:val="0059459B"/>
    <w:rsid w:val="00596873"/>
    <w:rsid w:val="00597164"/>
    <w:rsid w:val="00597B1A"/>
    <w:rsid w:val="005A1ECC"/>
    <w:rsid w:val="005A26B5"/>
    <w:rsid w:val="005A3BEF"/>
    <w:rsid w:val="005A6987"/>
    <w:rsid w:val="005B192D"/>
    <w:rsid w:val="005B40BF"/>
    <w:rsid w:val="005B43A6"/>
    <w:rsid w:val="005C0619"/>
    <w:rsid w:val="005C0FFC"/>
    <w:rsid w:val="005C1D70"/>
    <w:rsid w:val="005C1E1B"/>
    <w:rsid w:val="005C3098"/>
    <w:rsid w:val="005C3E87"/>
    <w:rsid w:val="005C53B9"/>
    <w:rsid w:val="005C7319"/>
    <w:rsid w:val="005D098B"/>
    <w:rsid w:val="005D65A6"/>
    <w:rsid w:val="005E7352"/>
    <w:rsid w:val="005F1E92"/>
    <w:rsid w:val="005F702C"/>
    <w:rsid w:val="005F73BE"/>
    <w:rsid w:val="006017F2"/>
    <w:rsid w:val="00605D2B"/>
    <w:rsid w:val="00610734"/>
    <w:rsid w:val="00611139"/>
    <w:rsid w:val="00612902"/>
    <w:rsid w:val="00623175"/>
    <w:rsid w:val="0062573E"/>
    <w:rsid w:val="00632101"/>
    <w:rsid w:val="00632FC2"/>
    <w:rsid w:val="006334C0"/>
    <w:rsid w:val="0063435D"/>
    <w:rsid w:val="00642CE5"/>
    <w:rsid w:val="0065139C"/>
    <w:rsid w:val="006644EA"/>
    <w:rsid w:val="0067047A"/>
    <w:rsid w:val="00671395"/>
    <w:rsid w:val="006714C7"/>
    <w:rsid w:val="0068795F"/>
    <w:rsid w:val="00687F87"/>
    <w:rsid w:val="00691113"/>
    <w:rsid w:val="0069148C"/>
    <w:rsid w:val="00693B66"/>
    <w:rsid w:val="0069473F"/>
    <w:rsid w:val="0069692B"/>
    <w:rsid w:val="006A33FA"/>
    <w:rsid w:val="006A6909"/>
    <w:rsid w:val="006A6FEF"/>
    <w:rsid w:val="006A733A"/>
    <w:rsid w:val="006A7692"/>
    <w:rsid w:val="006C02FF"/>
    <w:rsid w:val="006C41A4"/>
    <w:rsid w:val="006C4671"/>
    <w:rsid w:val="006C72D3"/>
    <w:rsid w:val="006D25C2"/>
    <w:rsid w:val="006E0FD7"/>
    <w:rsid w:val="006E1B58"/>
    <w:rsid w:val="006E4153"/>
    <w:rsid w:val="006E6DB4"/>
    <w:rsid w:val="006E7715"/>
    <w:rsid w:val="006F17A7"/>
    <w:rsid w:val="006F2EB0"/>
    <w:rsid w:val="00702373"/>
    <w:rsid w:val="00704848"/>
    <w:rsid w:val="00707AB4"/>
    <w:rsid w:val="0073256E"/>
    <w:rsid w:val="00732B11"/>
    <w:rsid w:val="00740E1D"/>
    <w:rsid w:val="00741A0D"/>
    <w:rsid w:val="00742606"/>
    <w:rsid w:val="00750B4D"/>
    <w:rsid w:val="00751874"/>
    <w:rsid w:val="00753722"/>
    <w:rsid w:val="00755B2E"/>
    <w:rsid w:val="00762B2D"/>
    <w:rsid w:val="00765291"/>
    <w:rsid w:val="00766644"/>
    <w:rsid w:val="00767F19"/>
    <w:rsid w:val="00777E17"/>
    <w:rsid w:val="007A1E85"/>
    <w:rsid w:val="007A213A"/>
    <w:rsid w:val="007A3C54"/>
    <w:rsid w:val="007A4A74"/>
    <w:rsid w:val="007A6091"/>
    <w:rsid w:val="007B5507"/>
    <w:rsid w:val="007B5745"/>
    <w:rsid w:val="007B706A"/>
    <w:rsid w:val="007C0A81"/>
    <w:rsid w:val="007C3288"/>
    <w:rsid w:val="007C4C9B"/>
    <w:rsid w:val="007D272C"/>
    <w:rsid w:val="007D3263"/>
    <w:rsid w:val="007D74B2"/>
    <w:rsid w:val="007D74EA"/>
    <w:rsid w:val="007E3C8B"/>
    <w:rsid w:val="007E6121"/>
    <w:rsid w:val="007F020C"/>
    <w:rsid w:val="007F5759"/>
    <w:rsid w:val="008003B4"/>
    <w:rsid w:val="00805B99"/>
    <w:rsid w:val="00806E04"/>
    <w:rsid w:val="008106A5"/>
    <w:rsid w:val="00810B5B"/>
    <w:rsid w:val="008125A5"/>
    <w:rsid w:val="0082064B"/>
    <w:rsid w:val="00824465"/>
    <w:rsid w:val="00841CF9"/>
    <w:rsid w:val="00843DEF"/>
    <w:rsid w:val="008504DC"/>
    <w:rsid w:val="00851EA8"/>
    <w:rsid w:val="008611A4"/>
    <w:rsid w:val="0086319B"/>
    <w:rsid w:val="00870B75"/>
    <w:rsid w:val="00876998"/>
    <w:rsid w:val="00877654"/>
    <w:rsid w:val="00877757"/>
    <w:rsid w:val="00877CF2"/>
    <w:rsid w:val="0088148B"/>
    <w:rsid w:val="008844FC"/>
    <w:rsid w:val="0088496E"/>
    <w:rsid w:val="00890AD2"/>
    <w:rsid w:val="008971DD"/>
    <w:rsid w:val="008A3AA6"/>
    <w:rsid w:val="008B3A8C"/>
    <w:rsid w:val="008B4943"/>
    <w:rsid w:val="008B55C9"/>
    <w:rsid w:val="008B6A1B"/>
    <w:rsid w:val="008D79E6"/>
    <w:rsid w:val="008D7EC8"/>
    <w:rsid w:val="008E24AD"/>
    <w:rsid w:val="008E55AC"/>
    <w:rsid w:val="008E5DB5"/>
    <w:rsid w:val="008E63A3"/>
    <w:rsid w:val="008F1C4A"/>
    <w:rsid w:val="008F63B8"/>
    <w:rsid w:val="008F6E96"/>
    <w:rsid w:val="008F7FA8"/>
    <w:rsid w:val="00906205"/>
    <w:rsid w:val="00907CE8"/>
    <w:rsid w:val="0092380D"/>
    <w:rsid w:val="009263EC"/>
    <w:rsid w:val="00934AC9"/>
    <w:rsid w:val="00934B0C"/>
    <w:rsid w:val="00935F62"/>
    <w:rsid w:val="00940214"/>
    <w:rsid w:val="00940C5A"/>
    <w:rsid w:val="00940FAD"/>
    <w:rsid w:val="009424B0"/>
    <w:rsid w:val="009443D8"/>
    <w:rsid w:val="0094553F"/>
    <w:rsid w:val="00954C6D"/>
    <w:rsid w:val="0096229D"/>
    <w:rsid w:val="00965F92"/>
    <w:rsid w:val="00970EC4"/>
    <w:rsid w:val="009725DF"/>
    <w:rsid w:val="00972C34"/>
    <w:rsid w:val="0097540F"/>
    <w:rsid w:val="009759E1"/>
    <w:rsid w:val="0097743B"/>
    <w:rsid w:val="00977850"/>
    <w:rsid w:val="0098285B"/>
    <w:rsid w:val="00982ED3"/>
    <w:rsid w:val="00983896"/>
    <w:rsid w:val="00984A6A"/>
    <w:rsid w:val="00984D0E"/>
    <w:rsid w:val="009867A6"/>
    <w:rsid w:val="009879A1"/>
    <w:rsid w:val="00992B9C"/>
    <w:rsid w:val="00992E7E"/>
    <w:rsid w:val="00996FBD"/>
    <w:rsid w:val="009A3768"/>
    <w:rsid w:val="009A7096"/>
    <w:rsid w:val="009B0789"/>
    <w:rsid w:val="009B483F"/>
    <w:rsid w:val="009B6440"/>
    <w:rsid w:val="009B73D0"/>
    <w:rsid w:val="009C020D"/>
    <w:rsid w:val="009D370D"/>
    <w:rsid w:val="009D580D"/>
    <w:rsid w:val="009D5C86"/>
    <w:rsid w:val="009D6404"/>
    <w:rsid w:val="009D6CF3"/>
    <w:rsid w:val="009D7C0F"/>
    <w:rsid w:val="009E120F"/>
    <w:rsid w:val="009E4E50"/>
    <w:rsid w:val="009E79CF"/>
    <w:rsid w:val="009F2B80"/>
    <w:rsid w:val="009F32DA"/>
    <w:rsid w:val="009F65E5"/>
    <w:rsid w:val="00A02EE9"/>
    <w:rsid w:val="00A06210"/>
    <w:rsid w:val="00A0758A"/>
    <w:rsid w:val="00A07E2D"/>
    <w:rsid w:val="00A10AFA"/>
    <w:rsid w:val="00A15B59"/>
    <w:rsid w:val="00A21D04"/>
    <w:rsid w:val="00A26FC7"/>
    <w:rsid w:val="00A27DE3"/>
    <w:rsid w:val="00A3005B"/>
    <w:rsid w:val="00A30E04"/>
    <w:rsid w:val="00A31101"/>
    <w:rsid w:val="00A35B06"/>
    <w:rsid w:val="00A35F97"/>
    <w:rsid w:val="00A57DA9"/>
    <w:rsid w:val="00A63433"/>
    <w:rsid w:val="00A70518"/>
    <w:rsid w:val="00A71C0F"/>
    <w:rsid w:val="00A720C3"/>
    <w:rsid w:val="00A73A76"/>
    <w:rsid w:val="00A81664"/>
    <w:rsid w:val="00A83341"/>
    <w:rsid w:val="00A930E4"/>
    <w:rsid w:val="00A933B5"/>
    <w:rsid w:val="00A93FE9"/>
    <w:rsid w:val="00AA2BDE"/>
    <w:rsid w:val="00AA54FF"/>
    <w:rsid w:val="00AB49F3"/>
    <w:rsid w:val="00AB70CC"/>
    <w:rsid w:val="00AC0D63"/>
    <w:rsid w:val="00AC6A69"/>
    <w:rsid w:val="00AD0C21"/>
    <w:rsid w:val="00AD2DFD"/>
    <w:rsid w:val="00AD48F0"/>
    <w:rsid w:val="00AD5F1A"/>
    <w:rsid w:val="00AE05E9"/>
    <w:rsid w:val="00AE3FA2"/>
    <w:rsid w:val="00AE3FA3"/>
    <w:rsid w:val="00AF6065"/>
    <w:rsid w:val="00B07DBA"/>
    <w:rsid w:val="00B14156"/>
    <w:rsid w:val="00B16564"/>
    <w:rsid w:val="00B2167E"/>
    <w:rsid w:val="00B2619E"/>
    <w:rsid w:val="00B36FEF"/>
    <w:rsid w:val="00B42A03"/>
    <w:rsid w:val="00B42E2A"/>
    <w:rsid w:val="00B45DC5"/>
    <w:rsid w:val="00B5385F"/>
    <w:rsid w:val="00B55385"/>
    <w:rsid w:val="00B5675C"/>
    <w:rsid w:val="00B56C04"/>
    <w:rsid w:val="00B61730"/>
    <w:rsid w:val="00B62001"/>
    <w:rsid w:val="00B63131"/>
    <w:rsid w:val="00B632FA"/>
    <w:rsid w:val="00B7710C"/>
    <w:rsid w:val="00B81FB1"/>
    <w:rsid w:val="00B9438E"/>
    <w:rsid w:val="00BA0BB5"/>
    <w:rsid w:val="00BA379B"/>
    <w:rsid w:val="00BA731C"/>
    <w:rsid w:val="00BB25AB"/>
    <w:rsid w:val="00BB3771"/>
    <w:rsid w:val="00BB41EB"/>
    <w:rsid w:val="00BB7ED5"/>
    <w:rsid w:val="00BC0660"/>
    <w:rsid w:val="00BC5122"/>
    <w:rsid w:val="00BC6028"/>
    <w:rsid w:val="00BD08E0"/>
    <w:rsid w:val="00BD203B"/>
    <w:rsid w:val="00BD4A88"/>
    <w:rsid w:val="00BD5136"/>
    <w:rsid w:val="00BD5DF5"/>
    <w:rsid w:val="00BD5E4A"/>
    <w:rsid w:val="00BD764A"/>
    <w:rsid w:val="00BE5212"/>
    <w:rsid w:val="00C01F81"/>
    <w:rsid w:val="00C0293D"/>
    <w:rsid w:val="00C03C9F"/>
    <w:rsid w:val="00C10389"/>
    <w:rsid w:val="00C12D1C"/>
    <w:rsid w:val="00C146FF"/>
    <w:rsid w:val="00C14AC3"/>
    <w:rsid w:val="00C1725B"/>
    <w:rsid w:val="00C17C8D"/>
    <w:rsid w:val="00C17D03"/>
    <w:rsid w:val="00C21186"/>
    <w:rsid w:val="00C21ED4"/>
    <w:rsid w:val="00C27425"/>
    <w:rsid w:val="00C324AD"/>
    <w:rsid w:val="00C33864"/>
    <w:rsid w:val="00C3563C"/>
    <w:rsid w:val="00C37A8A"/>
    <w:rsid w:val="00C42F61"/>
    <w:rsid w:val="00C533BE"/>
    <w:rsid w:val="00C60EE6"/>
    <w:rsid w:val="00C62E1A"/>
    <w:rsid w:val="00C665E2"/>
    <w:rsid w:val="00C66930"/>
    <w:rsid w:val="00C67F5F"/>
    <w:rsid w:val="00C71D62"/>
    <w:rsid w:val="00C734A3"/>
    <w:rsid w:val="00C7470C"/>
    <w:rsid w:val="00C74A3D"/>
    <w:rsid w:val="00C86D58"/>
    <w:rsid w:val="00C876D4"/>
    <w:rsid w:val="00C87FA0"/>
    <w:rsid w:val="00C91248"/>
    <w:rsid w:val="00C9777E"/>
    <w:rsid w:val="00CA0E31"/>
    <w:rsid w:val="00CA1D4E"/>
    <w:rsid w:val="00CA260E"/>
    <w:rsid w:val="00CA2A62"/>
    <w:rsid w:val="00CA347D"/>
    <w:rsid w:val="00CA6A69"/>
    <w:rsid w:val="00CC3FB2"/>
    <w:rsid w:val="00CD14D2"/>
    <w:rsid w:val="00CD2CA5"/>
    <w:rsid w:val="00CD3321"/>
    <w:rsid w:val="00CD5413"/>
    <w:rsid w:val="00CF29CB"/>
    <w:rsid w:val="00CF7C1E"/>
    <w:rsid w:val="00D027B1"/>
    <w:rsid w:val="00D03449"/>
    <w:rsid w:val="00D170DD"/>
    <w:rsid w:val="00D17BCA"/>
    <w:rsid w:val="00D46035"/>
    <w:rsid w:val="00D5075A"/>
    <w:rsid w:val="00D61DB9"/>
    <w:rsid w:val="00D61E40"/>
    <w:rsid w:val="00D67B86"/>
    <w:rsid w:val="00D760C5"/>
    <w:rsid w:val="00D854B6"/>
    <w:rsid w:val="00D92610"/>
    <w:rsid w:val="00DA3508"/>
    <w:rsid w:val="00DA443A"/>
    <w:rsid w:val="00DA45EF"/>
    <w:rsid w:val="00DA7D5E"/>
    <w:rsid w:val="00DB50E5"/>
    <w:rsid w:val="00DB600E"/>
    <w:rsid w:val="00DC2650"/>
    <w:rsid w:val="00DC475D"/>
    <w:rsid w:val="00DC5C72"/>
    <w:rsid w:val="00DD1D99"/>
    <w:rsid w:val="00DD61D1"/>
    <w:rsid w:val="00DD6A5B"/>
    <w:rsid w:val="00DE10C6"/>
    <w:rsid w:val="00DE2A0C"/>
    <w:rsid w:val="00DF0BFE"/>
    <w:rsid w:val="00DF486B"/>
    <w:rsid w:val="00DF67BB"/>
    <w:rsid w:val="00E0678B"/>
    <w:rsid w:val="00E06DEC"/>
    <w:rsid w:val="00E22F8C"/>
    <w:rsid w:val="00E23CC8"/>
    <w:rsid w:val="00E24606"/>
    <w:rsid w:val="00E35620"/>
    <w:rsid w:val="00E35710"/>
    <w:rsid w:val="00E37122"/>
    <w:rsid w:val="00E44571"/>
    <w:rsid w:val="00E44BEC"/>
    <w:rsid w:val="00E45713"/>
    <w:rsid w:val="00E50814"/>
    <w:rsid w:val="00E56C4C"/>
    <w:rsid w:val="00E6017C"/>
    <w:rsid w:val="00E70BFB"/>
    <w:rsid w:val="00E71242"/>
    <w:rsid w:val="00E74D75"/>
    <w:rsid w:val="00E80AAA"/>
    <w:rsid w:val="00E826D9"/>
    <w:rsid w:val="00E844C6"/>
    <w:rsid w:val="00E84DE0"/>
    <w:rsid w:val="00E866E1"/>
    <w:rsid w:val="00E901D5"/>
    <w:rsid w:val="00E93AD4"/>
    <w:rsid w:val="00EA117B"/>
    <w:rsid w:val="00EA336A"/>
    <w:rsid w:val="00EA4649"/>
    <w:rsid w:val="00EA5C29"/>
    <w:rsid w:val="00EA69BC"/>
    <w:rsid w:val="00EA74A5"/>
    <w:rsid w:val="00EA7AEB"/>
    <w:rsid w:val="00EB0B34"/>
    <w:rsid w:val="00EC0FE8"/>
    <w:rsid w:val="00EC1D1C"/>
    <w:rsid w:val="00EC2A2E"/>
    <w:rsid w:val="00EC47E9"/>
    <w:rsid w:val="00EC6AD3"/>
    <w:rsid w:val="00ED0D09"/>
    <w:rsid w:val="00ED0EB3"/>
    <w:rsid w:val="00EE0CBE"/>
    <w:rsid w:val="00EE303D"/>
    <w:rsid w:val="00EE7C3F"/>
    <w:rsid w:val="00EF0E10"/>
    <w:rsid w:val="00EF0EA5"/>
    <w:rsid w:val="00F03AE6"/>
    <w:rsid w:val="00F077B9"/>
    <w:rsid w:val="00F12383"/>
    <w:rsid w:val="00F13E1C"/>
    <w:rsid w:val="00F14738"/>
    <w:rsid w:val="00F16212"/>
    <w:rsid w:val="00F165CF"/>
    <w:rsid w:val="00F2102C"/>
    <w:rsid w:val="00F21B59"/>
    <w:rsid w:val="00F27DFC"/>
    <w:rsid w:val="00F30B7F"/>
    <w:rsid w:val="00F344D2"/>
    <w:rsid w:val="00F3503A"/>
    <w:rsid w:val="00F35256"/>
    <w:rsid w:val="00F4423A"/>
    <w:rsid w:val="00F62D08"/>
    <w:rsid w:val="00F635B2"/>
    <w:rsid w:val="00F710F4"/>
    <w:rsid w:val="00F74B4B"/>
    <w:rsid w:val="00F7794F"/>
    <w:rsid w:val="00F805BF"/>
    <w:rsid w:val="00F9014D"/>
    <w:rsid w:val="00F9055C"/>
    <w:rsid w:val="00F91628"/>
    <w:rsid w:val="00F93B24"/>
    <w:rsid w:val="00F961B8"/>
    <w:rsid w:val="00F97115"/>
    <w:rsid w:val="00FA3F6B"/>
    <w:rsid w:val="00FA52A1"/>
    <w:rsid w:val="00FA530C"/>
    <w:rsid w:val="00FA6429"/>
    <w:rsid w:val="00FA6F2C"/>
    <w:rsid w:val="00FA7B4D"/>
    <w:rsid w:val="00FB1955"/>
    <w:rsid w:val="00FB2425"/>
    <w:rsid w:val="00FB3AA2"/>
    <w:rsid w:val="00FB549A"/>
    <w:rsid w:val="00FB7479"/>
    <w:rsid w:val="00FB7579"/>
    <w:rsid w:val="00FC2692"/>
    <w:rsid w:val="00FC74B7"/>
    <w:rsid w:val="00FD22B2"/>
    <w:rsid w:val="00FD495F"/>
    <w:rsid w:val="00FE164E"/>
    <w:rsid w:val="00FE3132"/>
    <w:rsid w:val="00FE3FBC"/>
    <w:rsid w:val="00FF1C22"/>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E1648"/>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table" w:styleId="TableGrid">
    <w:name w:val="Table Grid"/>
    <w:basedOn w:val="TableNormal"/>
    <w:uiPriority w:val="39"/>
    <w:rsid w:val="00C2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20D"/>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AC6A6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C6A69"/>
    <w:rPr>
      <w:sz w:val="20"/>
      <w:szCs w:val="20"/>
    </w:rPr>
  </w:style>
  <w:style w:type="character" w:styleId="EndnoteReference">
    <w:name w:val="endnote reference"/>
    <w:basedOn w:val="DefaultParagraphFont"/>
    <w:uiPriority w:val="99"/>
    <w:semiHidden/>
    <w:unhideWhenUsed/>
    <w:rsid w:val="00AC6A69"/>
    <w:rPr>
      <w:vertAlign w:val="superscript"/>
    </w:rPr>
  </w:style>
  <w:style w:type="character" w:styleId="Emphasis">
    <w:name w:val="Emphasis"/>
    <w:basedOn w:val="DefaultParagraphFont"/>
    <w:uiPriority w:val="20"/>
    <w:qFormat/>
    <w:rsid w:val="00940C5A"/>
    <w:rPr>
      <w:i/>
      <w:iCs/>
    </w:rPr>
  </w:style>
  <w:style w:type="paragraph" w:styleId="NormalWeb">
    <w:name w:val="Normal (Web)"/>
    <w:basedOn w:val="Normal"/>
    <w:uiPriority w:val="99"/>
    <w:semiHidden/>
    <w:unhideWhenUsed/>
    <w:rsid w:val="00DF48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311">
      <w:bodyDiv w:val="1"/>
      <w:marLeft w:val="0"/>
      <w:marRight w:val="0"/>
      <w:marTop w:val="0"/>
      <w:marBottom w:val="0"/>
      <w:divBdr>
        <w:top w:val="none" w:sz="0" w:space="0" w:color="auto"/>
        <w:left w:val="none" w:sz="0" w:space="0" w:color="auto"/>
        <w:bottom w:val="none" w:sz="0" w:space="0" w:color="auto"/>
        <w:right w:val="none" w:sz="0" w:space="0" w:color="auto"/>
      </w:divBdr>
    </w:div>
    <w:div w:id="91248314">
      <w:bodyDiv w:val="1"/>
      <w:marLeft w:val="0"/>
      <w:marRight w:val="0"/>
      <w:marTop w:val="0"/>
      <w:marBottom w:val="0"/>
      <w:divBdr>
        <w:top w:val="none" w:sz="0" w:space="0" w:color="auto"/>
        <w:left w:val="none" w:sz="0" w:space="0" w:color="auto"/>
        <w:bottom w:val="none" w:sz="0" w:space="0" w:color="auto"/>
        <w:right w:val="none" w:sz="0" w:space="0" w:color="auto"/>
      </w:divBdr>
    </w:div>
    <w:div w:id="268313710">
      <w:bodyDiv w:val="1"/>
      <w:marLeft w:val="0"/>
      <w:marRight w:val="0"/>
      <w:marTop w:val="0"/>
      <w:marBottom w:val="0"/>
      <w:divBdr>
        <w:top w:val="none" w:sz="0" w:space="0" w:color="auto"/>
        <w:left w:val="none" w:sz="0" w:space="0" w:color="auto"/>
        <w:bottom w:val="none" w:sz="0" w:space="0" w:color="auto"/>
        <w:right w:val="none" w:sz="0" w:space="0" w:color="auto"/>
      </w:divBdr>
    </w:div>
    <w:div w:id="299653796">
      <w:bodyDiv w:val="1"/>
      <w:marLeft w:val="0"/>
      <w:marRight w:val="0"/>
      <w:marTop w:val="0"/>
      <w:marBottom w:val="0"/>
      <w:divBdr>
        <w:top w:val="none" w:sz="0" w:space="0" w:color="auto"/>
        <w:left w:val="none" w:sz="0" w:space="0" w:color="auto"/>
        <w:bottom w:val="none" w:sz="0" w:space="0" w:color="auto"/>
        <w:right w:val="none" w:sz="0" w:space="0" w:color="auto"/>
      </w:divBdr>
    </w:div>
    <w:div w:id="337932078">
      <w:bodyDiv w:val="1"/>
      <w:marLeft w:val="0"/>
      <w:marRight w:val="0"/>
      <w:marTop w:val="0"/>
      <w:marBottom w:val="0"/>
      <w:divBdr>
        <w:top w:val="none" w:sz="0" w:space="0" w:color="auto"/>
        <w:left w:val="none" w:sz="0" w:space="0" w:color="auto"/>
        <w:bottom w:val="none" w:sz="0" w:space="0" w:color="auto"/>
        <w:right w:val="none" w:sz="0" w:space="0" w:color="auto"/>
      </w:divBdr>
    </w:div>
    <w:div w:id="356660077">
      <w:bodyDiv w:val="1"/>
      <w:marLeft w:val="0"/>
      <w:marRight w:val="0"/>
      <w:marTop w:val="0"/>
      <w:marBottom w:val="0"/>
      <w:divBdr>
        <w:top w:val="none" w:sz="0" w:space="0" w:color="auto"/>
        <w:left w:val="none" w:sz="0" w:space="0" w:color="auto"/>
        <w:bottom w:val="none" w:sz="0" w:space="0" w:color="auto"/>
        <w:right w:val="none" w:sz="0" w:space="0" w:color="auto"/>
      </w:divBdr>
    </w:div>
    <w:div w:id="493033303">
      <w:bodyDiv w:val="1"/>
      <w:marLeft w:val="0"/>
      <w:marRight w:val="0"/>
      <w:marTop w:val="0"/>
      <w:marBottom w:val="0"/>
      <w:divBdr>
        <w:top w:val="none" w:sz="0" w:space="0" w:color="auto"/>
        <w:left w:val="none" w:sz="0" w:space="0" w:color="auto"/>
        <w:bottom w:val="none" w:sz="0" w:space="0" w:color="auto"/>
        <w:right w:val="none" w:sz="0" w:space="0" w:color="auto"/>
      </w:divBdr>
    </w:div>
    <w:div w:id="580452723">
      <w:bodyDiv w:val="1"/>
      <w:marLeft w:val="0"/>
      <w:marRight w:val="0"/>
      <w:marTop w:val="0"/>
      <w:marBottom w:val="0"/>
      <w:divBdr>
        <w:top w:val="none" w:sz="0" w:space="0" w:color="auto"/>
        <w:left w:val="none" w:sz="0" w:space="0" w:color="auto"/>
        <w:bottom w:val="none" w:sz="0" w:space="0" w:color="auto"/>
        <w:right w:val="none" w:sz="0" w:space="0" w:color="auto"/>
      </w:divBdr>
    </w:div>
    <w:div w:id="643854818">
      <w:bodyDiv w:val="1"/>
      <w:marLeft w:val="0"/>
      <w:marRight w:val="0"/>
      <w:marTop w:val="0"/>
      <w:marBottom w:val="0"/>
      <w:divBdr>
        <w:top w:val="none" w:sz="0" w:space="0" w:color="auto"/>
        <w:left w:val="none" w:sz="0" w:space="0" w:color="auto"/>
        <w:bottom w:val="none" w:sz="0" w:space="0" w:color="auto"/>
        <w:right w:val="none" w:sz="0" w:space="0" w:color="auto"/>
      </w:divBdr>
    </w:div>
    <w:div w:id="649408801">
      <w:bodyDiv w:val="1"/>
      <w:marLeft w:val="0"/>
      <w:marRight w:val="0"/>
      <w:marTop w:val="0"/>
      <w:marBottom w:val="0"/>
      <w:divBdr>
        <w:top w:val="none" w:sz="0" w:space="0" w:color="auto"/>
        <w:left w:val="none" w:sz="0" w:space="0" w:color="auto"/>
        <w:bottom w:val="none" w:sz="0" w:space="0" w:color="auto"/>
        <w:right w:val="none" w:sz="0" w:space="0" w:color="auto"/>
      </w:divBdr>
    </w:div>
    <w:div w:id="662970860">
      <w:bodyDiv w:val="1"/>
      <w:marLeft w:val="0"/>
      <w:marRight w:val="0"/>
      <w:marTop w:val="0"/>
      <w:marBottom w:val="0"/>
      <w:divBdr>
        <w:top w:val="none" w:sz="0" w:space="0" w:color="auto"/>
        <w:left w:val="none" w:sz="0" w:space="0" w:color="auto"/>
        <w:bottom w:val="none" w:sz="0" w:space="0" w:color="auto"/>
        <w:right w:val="none" w:sz="0" w:space="0" w:color="auto"/>
      </w:divBdr>
    </w:div>
    <w:div w:id="696930849">
      <w:bodyDiv w:val="1"/>
      <w:marLeft w:val="0"/>
      <w:marRight w:val="0"/>
      <w:marTop w:val="0"/>
      <w:marBottom w:val="0"/>
      <w:divBdr>
        <w:top w:val="none" w:sz="0" w:space="0" w:color="auto"/>
        <w:left w:val="none" w:sz="0" w:space="0" w:color="auto"/>
        <w:bottom w:val="none" w:sz="0" w:space="0" w:color="auto"/>
        <w:right w:val="none" w:sz="0" w:space="0" w:color="auto"/>
      </w:divBdr>
    </w:div>
    <w:div w:id="720711095">
      <w:bodyDiv w:val="1"/>
      <w:marLeft w:val="0"/>
      <w:marRight w:val="0"/>
      <w:marTop w:val="0"/>
      <w:marBottom w:val="0"/>
      <w:divBdr>
        <w:top w:val="none" w:sz="0" w:space="0" w:color="auto"/>
        <w:left w:val="none" w:sz="0" w:space="0" w:color="auto"/>
        <w:bottom w:val="none" w:sz="0" w:space="0" w:color="auto"/>
        <w:right w:val="none" w:sz="0" w:space="0" w:color="auto"/>
      </w:divBdr>
    </w:div>
    <w:div w:id="740447421">
      <w:bodyDiv w:val="1"/>
      <w:marLeft w:val="0"/>
      <w:marRight w:val="0"/>
      <w:marTop w:val="0"/>
      <w:marBottom w:val="0"/>
      <w:divBdr>
        <w:top w:val="none" w:sz="0" w:space="0" w:color="auto"/>
        <w:left w:val="none" w:sz="0" w:space="0" w:color="auto"/>
        <w:bottom w:val="none" w:sz="0" w:space="0" w:color="auto"/>
        <w:right w:val="none" w:sz="0" w:space="0" w:color="auto"/>
      </w:divBdr>
    </w:div>
    <w:div w:id="783235595">
      <w:bodyDiv w:val="1"/>
      <w:marLeft w:val="0"/>
      <w:marRight w:val="0"/>
      <w:marTop w:val="0"/>
      <w:marBottom w:val="0"/>
      <w:divBdr>
        <w:top w:val="none" w:sz="0" w:space="0" w:color="auto"/>
        <w:left w:val="none" w:sz="0" w:space="0" w:color="auto"/>
        <w:bottom w:val="none" w:sz="0" w:space="0" w:color="auto"/>
        <w:right w:val="none" w:sz="0" w:space="0" w:color="auto"/>
      </w:divBdr>
    </w:div>
    <w:div w:id="803891492">
      <w:bodyDiv w:val="1"/>
      <w:marLeft w:val="0"/>
      <w:marRight w:val="0"/>
      <w:marTop w:val="0"/>
      <w:marBottom w:val="0"/>
      <w:divBdr>
        <w:top w:val="none" w:sz="0" w:space="0" w:color="auto"/>
        <w:left w:val="none" w:sz="0" w:space="0" w:color="auto"/>
        <w:bottom w:val="none" w:sz="0" w:space="0" w:color="auto"/>
        <w:right w:val="none" w:sz="0" w:space="0" w:color="auto"/>
      </w:divBdr>
    </w:div>
    <w:div w:id="883371701">
      <w:bodyDiv w:val="1"/>
      <w:marLeft w:val="0"/>
      <w:marRight w:val="0"/>
      <w:marTop w:val="0"/>
      <w:marBottom w:val="0"/>
      <w:divBdr>
        <w:top w:val="none" w:sz="0" w:space="0" w:color="auto"/>
        <w:left w:val="none" w:sz="0" w:space="0" w:color="auto"/>
        <w:bottom w:val="none" w:sz="0" w:space="0" w:color="auto"/>
        <w:right w:val="none" w:sz="0" w:space="0" w:color="auto"/>
      </w:divBdr>
    </w:div>
    <w:div w:id="968583458">
      <w:bodyDiv w:val="1"/>
      <w:marLeft w:val="0"/>
      <w:marRight w:val="0"/>
      <w:marTop w:val="0"/>
      <w:marBottom w:val="0"/>
      <w:divBdr>
        <w:top w:val="none" w:sz="0" w:space="0" w:color="auto"/>
        <w:left w:val="none" w:sz="0" w:space="0" w:color="auto"/>
        <w:bottom w:val="none" w:sz="0" w:space="0" w:color="auto"/>
        <w:right w:val="none" w:sz="0" w:space="0" w:color="auto"/>
      </w:divBdr>
    </w:div>
    <w:div w:id="1013072291">
      <w:bodyDiv w:val="1"/>
      <w:marLeft w:val="0"/>
      <w:marRight w:val="0"/>
      <w:marTop w:val="0"/>
      <w:marBottom w:val="0"/>
      <w:divBdr>
        <w:top w:val="none" w:sz="0" w:space="0" w:color="auto"/>
        <w:left w:val="none" w:sz="0" w:space="0" w:color="auto"/>
        <w:bottom w:val="none" w:sz="0" w:space="0" w:color="auto"/>
        <w:right w:val="none" w:sz="0" w:space="0" w:color="auto"/>
      </w:divBdr>
    </w:div>
    <w:div w:id="1030187785">
      <w:bodyDiv w:val="1"/>
      <w:marLeft w:val="0"/>
      <w:marRight w:val="0"/>
      <w:marTop w:val="0"/>
      <w:marBottom w:val="0"/>
      <w:divBdr>
        <w:top w:val="none" w:sz="0" w:space="0" w:color="auto"/>
        <w:left w:val="none" w:sz="0" w:space="0" w:color="auto"/>
        <w:bottom w:val="none" w:sz="0" w:space="0" w:color="auto"/>
        <w:right w:val="none" w:sz="0" w:space="0" w:color="auto"/>
      </w:divBdr>
    </w:div>
    <w:div w:id="1088233270">
      <w:bodyDiv w:val="1"/>
      <w:marLeft w:val="0"/>
      <w:marRight w:val="0"/>
      <w:marTop w:val="0"/>
      <w:marBottom w:val="0"/>
      <w:divBdr>
        <w:top w:val="none" w:sz="0" w:space="0" w:color="auto"/>
        <w:left w:val="none" w:sz="0" w:space="0" w:color="auto"/>
        <w:bottom w:val="none" w:sz="0" w:space="0" w:color="auto"/>
        <w:right w:val="none" w:sz="0" w:space="0" w:color="auto"/>
      </w:divBdr>
    </w:div>
    <w:div w:id="1113280125">
      <w:bodyDiv w:val="1"/>
      <w:marLeft w:val="0"/>
      <w:marRight w:val="0"/>
      <w:marTop w:val="0"/>
      <w:marBottom w:val="0"/>
      <w:divBdr>
        <w:top w:val="none" w:sz="0" w:space="0" w:color="auto"/>
        <w:left w:val="none" w:sz="0" w:space="0" w:color="auto"/>
        <w:bottom w:val="none" w:sz="0" w:space="0" w:color="auto"/>
        <w:right w:val="none" w:sz="0" w:space="0" w:color="auto"/>
      </w:divBdr>
    </w:div>
    <w:div w:id="1249118033">
      <w:bodyDiv w:val="1"/>
      <w:marLeft w:val="0"/>
      <w:marRight w:val="0"/>
      <w:marTop w:val="0"/>
      <w:marBottom w:val="0"/>
      <w:divBdr>
        <w:top w:val="none" w:sz="0" w:space="0" w:color="auto"/>
        <w:left w:val="none" w:sz="0" w:space="0" w:color="auto"/>
        <w:bottom w:val="none" w:sz="0" w:space="0" w:color="auto"/>
        <w:right w:val="none" w:sz="0" w:space="0" w:color="auto"/>
      </w:divBdr>
    </w:div>
    <w:div w:id="1403021539">
      <w:bodyDiv w:val="1"/>
      <w:marLeft w:val="0"/>
      <w:marRight w:val="0"/>
      <w:marTop w:val="0"/>
      <w:marBottom w:val="0"/>
      <w:divBdr>
        <w:top w:val="none" w:sz="0" w:space="0" w:color="auto"/>
        <w:left w:val="none" w:sz="0" w:space="0" w:color="auto"/>
        <w:bottom w:val="none" w:sz="0" w:space="0" w:color="auto"/>
        <w:right w:val="none" w:sz="0" w:space="0" w:color="auto"/>
      </w:divBdr>
    </w:div>
    <w:div w:id="1417747175">
      <w:bodyDiv w:val="1"/>
      <w:marLeft w:val="0"/>
      <w:marRight w:val="0"/>
      <w:marTop w:val="0"/>
      <w:marBottom w:val="0"/>
      <w:divBdr>
        <w:top w:val="none" w:sz="0" w:space="0" w:color="auto"/>
        <w:left w:val="none" w:sz="0" w:space="0" w:color="auto"/>
        <w:bottom w:val="none" w:sz="0" w:space="0" w:color="auto"/>
        <w:right w:val="none" w:sz="0" w:space="0" w:color="auto"/>
      </w:divBdr>
    </w:div>
    <w:div w:id="1441874967">
      <w:bodyDiv w:val="1"/>
      <w:marLeft w:val="0"/>
      <w:marRight w:val="0"/>
      <w:marTop w:val="0"/>
      <w:marBottom w:val="0"/>
      <w:divBdr>
        <w:top w:val="none" w:sz="0" w:space="0" w:color="auto"/>
        <w:left w:val="none" w:sz="0" w:space="0" w:color="auto"/>
        <w:bottom w:val="none" w:sz="0" w:space="0" w:color="auto"/>
        <w:right w:val="none" w:sz="0" w:space="0" w:color="auto"/>
      </w:divBdr>
    </w:div>
    <w:div w:id="1463958888">
      <w:bodyDiv w:val="1"/>
      <w:marLeft w:val="0"/>
      <w:marRight w:val="0"/>
      <w:marTop w:val="0"/>
      <w:marBottom w:val="0"/>
      <w:divBdr>
        <w:top w:val="none" w:sz="0" w:space="0" w:color="auto"/>
        <w:left w:val="none" w:sz="0" w:space="0" w:color="auto"/>
        <w:bottom w:val="none" w:sz="0" w:space="0" w:color="auto"/>
        <w:right w:val="none" w:sz="0" w:space="0" w:color="auto"/>
      </w:divBdr>
    </w:div>
    <w:div w:id="1529374129">
      <w:bodyDiv w:val="1"/>
      <w:marLeft w:val="0"/>
      <w:marRight w:val="0"/>
      <w:marTop w:val="0"/>
      <w:marBottom w:val="0"/>
      <w:divBdr>
        <w:top w:val="none" w:sz="0" w:space="0" w:color="auto"/>
        <w:left w:val="none" w:sz="0" w:space="0" w:color="auto"/>
        <w:bottom w:val="none" w:sz="0" w:space="0" w:color="auto"/>
        <w:right w:val="none" w:sz="0" w:space="0" w:color="auto"/>
      </w:divBdr>
    </w:div>
    <w:div w:id="1614481161">
      <w:bodyDiv w:val="1"/>
      <w:marLeft w:val="0"/>
      <w:marRight w:val="0"/>
      <w:marTop w:val="0"/>
      <w:marBottom w:val="0"/>
      <w:divBdr>
        <w:top w:val="none" w:sz="0" w:space="0" w:color="auto"/>
        <w:left w:val="none" w:sz="0" w:space="0" w:color="auto"/>
        <w:bottom w:val="none" w:sz="0" w:space="0" w:color="auto"/>
        <w:right w:val="none" w:sz="0" w:space="0" w:color="auto"/>
      </w:divBdr>
    </w:div>
    <w:div w:id="1765763137">
      <w:bodyDiv w:val="1"/>
      <w:marLeft w:val="0"/>
      <w:marRight w:val="0"/>
      <w:marTop w:val="0"/>
      <w:marBottom w:val="0"/>
      <w:divBdr>
        <w:top w:val="none" w:sz="0" w:space="0" w:color="auto"/>
        <w:left w:val="none" w:sz="0" w:space="0" w:color="auto"/>
        <w:bottom w:val="none" w:sz="0" w:space="0" w:color="auto"/>
        <w:right w:val="none" w:sz="0" w:space="0" w:color="auto"/>
      </w:divBdr>
    </w:div>
    <w:div w:id="1899783674">
      <w:bodyDiv w:val="1"/>
      <w:marLeft w:val="0"/>
      <w:marRight w:val="0"/>
      <w:marTop w:val="0"/>
      <w:marBottom w:val="0"/>
      <w:divBdr>
        <w:top w:val="none" w:sz="0" w:space="0" w:color="auto"/>
        <w:left w:val="none" w:sz="0" w:space="0" w:color="auto"/>
        <w:bottom w:val="none" w:sz="0" w:space="0" w:color="auto"/>
        <w:right w:val="none" w:sz="0" w:space="0" w:color="auto"/>
      </w:divBdr>
    </w:div>
    <w:div w:id="1908759350">
      <w:bodyDiv w:val="1"/>
      <w:marLeft w:val="0"/>
      <w:marRight w:val="0"/>
      <w:marTop w:val="0"/>
      <w:marBottom w:val="0"/>
      <w:divBdr>
        <w:top w:val="none" w:sz="0" w:space="0" w:color="auto"/>
        <w:left w:val="none" w:sz="0" w:space="0" w:color="auto"/>
        <w:bottom w:val="none" w:sz="0" w:space="0" w:color="auto"/>
        <w:right w:val="none" w:sz="0" w:space="0" w:color="auto"/>
      </w:divBdr>
    </w:div>
    <w:div w:id="1982618087">
      <w:bodyDiv w:val="1"/>
      <w:marLeft w:val="0"/>
      <w:marRight w:val="0"/>
      <w:marTop w:val="0"/>
      <w:marBottom w:val="0"/>
      <w:divBdr>
        <w:top w:val="none" w:sz="0" w:space="0" w:color="auto"/>
        <w:left w:val="none" w:sz="0" w:space="0" w:color="auto"/>
        <w:bottom w:val="none" w:sz="0" w:space="0" w:color="auto"/>
        <w:right w:val="none" w:sz="0" w:space="0" w:color="auto"/>
      </w:divBdr>
    </w:div>
    <w:div w:id="2025863374">
      <w:bodyDiv w:val="1"/>
      <w:marLeft w:val="0"/>
      <w:marRight w:val="0"/>
      <w:marTop w:val="0"/>
      <w:marBottom w:val="0"/>
      <w:divBdr>
        <w:top w:val="none" w:sz="0" w:space="0" w:color="auto"/>
        <w:left w:val="none" w:sz="0" w:space="0" w:color="auto"/>
        <w:bottom w:val="none" w:sz="0" w:space="0" w:color="auto"/>
        <w:right w:val="none" w:sz="0" w:space="0" w:color="auto"/>
      </w:divBdr>
    </w:div>
    <w:div w:id="21033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June 30</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0C9408F7-16A7-4AF0-83F3-BA50E5AF376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F53-45D6-B106-A8DC1EB50589}"/>
                </c:ext>
              </c:extLst>
            </c:dLbl>
            <c:dLbl>
              <c:idx val="1"/>
              <c:tx>
                <c:rich>
                  <a:bodyPr/>
                  <a:lstStyle/>
                  <a:p>
                    <a:fld id="{4ADEB8EF-4226-4E25-874A-E64AA748E7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Q2</c:v>
                </c:pt>
                <c:pt idx="1">
                  <c:v>YTD</c:v>
                </c:pt>
              </c:strCache>
            </c:strRef>
          </c:cat>
          <c:val>
            <c:numRef>
              <c:f>Sheet1!$B$2:$B$3</c:f>
              <c:numCache>
                <c:formatCode>0.0</c:formatCode>
                <c:ptCount val="2"/>
                <c:pt idx="0">
                  <c:v>-16.100000000000001</c:v>
                </c:pt>
                <c:pt idx="1">
                  <c:v>-20</c:v>
                </c:pt>
              </c:numCache>
            </c:numRef>
          </c:val>
          <c:extLst>
            <c:ext xmlns:c16="http://schemas.microsoft.com/office/drawing/2014/chart" uri="{C3380CC4-5D6E-409C-BE32-E72D297353CC}">
              <c16:uniqueId val="{00000000-DF53-45D6-B106-A8DC1EB50589}"/>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E060D20E-A439-40F8-8D59-98E4F6ED90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F53-45D6-B106-A8DC1EB50589}"/>
                </c:ext>
              </c:extLst>
            </c:dLbl>
            <c:dLbl>
              <c:idx val="1"/>
              <c:tx>
                <c:rich>
                  <a:bodyPr/>
                  <a:lstStyle/>
                  <a:p>
                    <a:fld id="{E58F6636-5B92-477D-BDAF-413EDE4769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DF53-45D6-B106-A8DC1EB5058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Q2</c:v>
                </c:pt>
                <c:pt idx="1">
                  <c:v>YTD</c:v>
                </c:pt>
              </c:strCache>
            </c:strRef>
          </c:cat>
          <c:val>
            <c:numRef>
              <c:f>Sheet1!$C$2:$C$3</c:f>
              <c:numCache>
                <c:formatCode>0.0</c:formatCode>
                <c:ptCount val="2"/>
                <c:pt idx="0" formatCode="General">
                  <c:v>-14.3</c:v>
                </c:pt>
                <c:pt idx="1">
                  <c:v>-19.3</c:v>
                </c:pt>
              </c:numCache>
            </c:numRef>
          </c:val>
          <c:extLst>
            <c:ext xmlns:c16="http://schemas.microsoft.com/office/drawing/2014/chart" uri="{C3380CC4-5D6E-409C-BE32-E72D297353CC}">
              <c16:uniqueId val="{00000001-DF53-45D6-B106-A8DC1EB50589}"/>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436B1F4F-6E1F-495C-A413-1CBCEB1B1A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F53-45D6-B106-A8DC1EB50589}"/>
                </c:ext>
              </c:extLst>
            </c:dLbl>
            <c:dLbl>
              <c:idx val="1"/>
              <c:tx>
                <c:rich>
                  <a:bodyPr/>
                  <a:lstStyle/>
                  <a:p>
                    <a:fld id="{5A08564F-884B-4BE3-ADF0-D8A914BD6A2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Q2</c:v>
                </c:pt>
                <c:pt idx="1">
                  <c:v>YTD</c:v>
                </c:pt>
              </c:strCache>
            </c:strRef>
          </c:cat>
          <c:val>
            <c:numRef>
              <c:f>Sheet1!$D$2:$D$3</c:f>
              <c:numCache>
                <c:formatCode>0.0</c:formatCode>
                <c:ptCount val="2"/>
                <c:pt idx="0" formatCode="#,##0.0">
                  <c:v>-11.3</c:v>
                </c:pt>
                <c:pt idx="1">
                  <c:v>-17.5</c:v>
                </c:pt>
              </c:numCache>
            </c:numRef>
          </c:val>
          <c:extLst>
            <c:ext xmlns:c16="http://schemas.microsoft.com/office/drawing/2014/chart" uri="{C3380CC4-5D6E-409C-BE32-E72D297353CC}">
              <c16:uniqueId val="{00000002-DF53-45D6-B106-A8DC1EB50589}"/>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36D434B2-8B33-4B5E-8483-CCDC78D5F33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F53-45D6-B106-A8DC1EB50589}"/>
                </c:ext>
              </c:extLst>
            </c:dLbl>
            <c:dLbl>
              <c:idx val="1"/>
              <c:tx>
                <c:rich>
                  <a:bodyPr/>
                  <a:lstStyle/>
                  <a:p>
                    <a:fld id="{7D1A88AC-EEEF-4C42-BA02-A950F504D9B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Q2</c:v>
                </c:pt>
                <c:pt idx="1">
                  <c:v>YTD</c:v>
                </c:pt>
              </c:strCache>
            </c:strRef>
          </c:cat>
          <c:val>
            <c:numRef>
              <c:f>Sheet1!$E$2:$E$3</c:f>
              <c:numCache>
                <c:formatCode>0.0</c:formatCode>
                <c:ptCount val="2"/>
                <c:pt idx="0" formatCode="General">
                  <c:v>-4.7</c:v>
                </c:pt>
                <c:pt idx="1">
                  <c:v>-10.3</c:v>
                </c:pt>
              </c:numCache>
            </c:numRef>
          </c:val>
          <c:extLst>
            <c:ext xmlns:c16="http://schemas.microsoft.com/office/drawing/2014/chart" uri="{C3380CC4-5D6E-409C-BE32-E72D297353CC}">
              <c16:uniqueId val="{00000003-DF53-45D6-B106-A8DC1EB50589}"/>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86454208-F45C-4ED2-A9D2-6A24E2EF119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F53-45D6-B106-A8DC1EB50589}"/>
                </c:ext>
              </c:extLst>
            </c:dLbl>
            <c:dLbl>
              <c:idx val="1"/>
              <c:tx>
                <c:rich>
                  <a:bodyPr/>
                  <a:lstStyle/>
                  <a:p>
                    <a:fld id="{F6B04FC6-FF7D-4C93-920C-239AD6A3BF4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DF53-45D6-B106-A8DC1EB5058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Q2</c:v>
                </c:pt>
                <c:pt idx="1">
                  <c:v>YTD</c:v>
                </c:pt>
              </c:strCache>
            </c:strRef>
          </c:cat>
          <c:val>
            <c:numRef>
              <c:f>Sheet1!$F$2:$F$3</c:f>
              <c:numCache>
                <c:formatCode>0.0</c:formatCode>
                <c:ptCount val="2"/>
                <c:pt idx="0">
                  <c:v>-11</c:v>
                </c:pt>
                <c:pt idx="1">
                  <c:v>-16.5</c:v>
                </c:pt>
              </c:numCache>
            </c:numRef>
          </c:val>
          <c:extLst>
            <c:ext xmlns:c16="http://schemas.microsoft.com/office/drawing/2014/chart" uri="{C3380CC4-5D6E-409C-BE32-E72D297353CC}">
              <c16:uniqueId val="{00000004-DF53-45D6-B106-A8DC1EB50589}"/>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864104ED-D24F-4E5C-87B6-B9D31F50DE8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DF53-45D6-B106-A8DC1EB50589}"/>
                </c:ext>
              </c:extLst>
            </c:dLbl>
            <c:dLbl>
              <c:idx val="1"/>
              <c:tx>
                <c:rich>
                  <a:bodyPr/>
                  <a:lstStyle/>
                  <a:p>
                    <a:fld id="{B7B89574-311B-4F7B-B2BC-CB45CD32F05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Q2</c:v>
                </c:pt>
                <c:pt idx="1">
                  <c:v>YTD</c:v>
                </c:pt>
              </c:strCache>
            </c:strRef>
          </c:cat>
          <c:val>
            <c:numRef>
              <c:f>Sheet1!$G$2:$G$3</c:f>
              <c:numCache>
                <c:formatCode>0.0</c:formatCode>
                <c:ptCount val="2"/>
                <c:pt idx="0">
                  <c:v>-8.6999999999999993</c:v>
                </c:pt>
                <c:pt idx="1">
                  <c:v>-17.100000000000001</c:v>
                </c:pt>
              </c:numCache>
            </c:numRef>
          </c:val>
          <c:extLst>
            <c:ext xmlns:c16="http://schemas.microsoft.com/office/drawing/2014/chart" uri="{C3380CC4-5D6E-409C-BE32-E72D297353CC}">
              <c16:uniqueId val="{00000005-DF53-45D6-B106-A8DC1EB50589}"/>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6915238536359418"/>
          <c:w val="0.9612745098039216"/>
          <c:h val="0.130847614636405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642AD5BF0AF469E504A63A39423E8" ma:contentTypeVersion="14" ma:contentTypeDescription="Create a new document." ma:contentTypeScope="" ma:versionID="3ab725c9fc4de88f5f07306f0c087f88">
  <xsd:schema xmlns:xsd="http://www.w3.org/2001/XMLSchema" xmlns:xs="http://www.w3.org/2001/XMLSchema" xmlns:p="http://schemas.microsoft.com/office/2006/metadata/properties" xmlns:ns3="1f31e892-62a6-429f-8b73-1b9d5ddfdaf1" xmlns:ns4="ea7c3cc4-9185-4da0-9c4d-126b12da86ca" targetNamespace="http://schemas.microsoft.com/office/2006/metadata/properties" ma:root="true" ma:fieldsID="9e9750ca6f47fe8533949510dfddb29e" ns3:_="" ns4:_="">
    <xsd:import namespace="1f31e892-62a6-429f-8b73-1b9d5ddfdaf1"/>
    <xsd:import namespace="ea7c3cc4-9185-4da0-9c4d-126b12da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1e892-62a6-429f-8b73-1b9d5ddf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c3cc4-9185-4da0-9c4d-126b12da86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0698-4A8D-451C-B145-A083729996EF}">
  <ds:schemaRefs>
    <ds:schemaRef ds:uri="http://schemas.microsoft.com/sharepoint/v3/contenttype/forms"/>
  </ds:schemaRefs>
</ds:datastoreItem>
</file>

<file path=customXml/itemProps2.xml><?xml version="1.0" encoding="utf-8"?>
<ds:datastoreItem xmlns:ds="http://schemas.openxmlformats.org/officeDocument/2006/customXml" ds:itemID="{42B731A9-96E0-466D-B58E-02877A239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886D0-4A9D-4328-A8CA-04248DB7D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1e892-62a6-429f-8b73-1b9d5ddfdaf1"/>
    <ds:schemaRef ds:uri="ea7c3cc4-9185-4da0-9c4d-126b12da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A50D8-E844-4C39-A87B-C9374466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5</cp:revision>
  <cp:lastPrinted>2020-01-07T17:46:00Z</cp:lastPrinted>
  <dcterms:created xsi:type="dcterms:W3CDTF">2022-07-06T19:18:00Z</dcterms:created>
  <dcterms:modified xsi:type="dcterms:W3CDTF">2022-07-07T15:50:00Z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0x010100F96642AD5BF0AF469E504A63A39423E8</vt:lpwstr>
  </property>
</Properties>
</file>