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F8FC9" w14:textId="77777777" w:rsidR="004B1C5E" w:rsidRDefault="004B1C5E" w:rsidP="00996FBD">
      <w:pPr>
        <w:spacing w:after="0"/>
        <w:ind w:left="-720" w:right="-720"/>
        <w:rPr>
          <w:rFonts w:ascii="Arial" w:hAnsi="Arial" w:cs="Arial"/>
          <w:b/>
          <w:color w:val="0070C0"/>
          <w:sz w:val="20"/>
          <w:szCs w:val="20"/>
        </w:rPr>
      </w:pPr>
    </w:p>
    <w:p w14:paraId="464BF5D3" w14:textId="77777777" w:rsidR="004B1C5E" w:rsidRDefault="004B1C5E" w:rsidP="00996FBD">
      <w:pPr>
        <w:spacing w:after="0"/>
        <w:ind w:left="-720" w:right="-720"/>
        <w:rPr>
          <w:rFonts w:ascii="Arial" w:hAnsi="Arial" w:cs="Arial"/>
          <w:b/>
          <w:color w:val="0070C0"/>
          <w:sz w:val="20"/>
          <w:szCs w:val="20"/>
        </w:rPr>
      </w:pPr>
    </w:p>
    <w:p w14:paraId="6B227764" w14:textId="77777777" w:rsidR="004B1C5E" w:rsidRDefault="004B1C5E" w:rsidP="008F63B8">
      <w:pPr>
        <w:spacing w:after="0"/>
        <w:ind w:right="-720"/>
        <w:rPr>
          <w:rFonts w:ascii="Arial" w:hAnsi="Arial" w:cs="Arial"/>
          <w:b/>
          <w:color w:val="0070C0"/>
          <w:sz w:val="20"/>
          <w:szCs w:val="20"/>
        </w:rPr>
      </w:pPr>
    </w:p>
    <w:p w14:paraId="244B2C12" w14:textId="77777777" w:rsidR="004B1C5E" w:rsidRDefault="004B1C5E" w:rsidP="00996FBD">
      <w:pPr>
        <w:spacing w:after="0"/>
        <w:ind w:left="-720" w:right="-720"/>
        <w:rPr>
          <w:rFonts w:ascii="Arial" w:hAnsi="Arial" w:cs="Arial"/>
          <w:b/>
          <w:color w:val="0070C0"/>
          <w:sz w:val="20"/>
          <w:szCs w:val="20"/>
        </w:rPr>
      </w:pPr>
    </w:p>
    <w:p w14:paraId="72E66203" w14:textId="77777777" w:rsidR="004B1C5E" w:rsidRDefault="004B1C5E" w:rsidP="00996FBD">
      <w:pPr>
        <w:spacing w:after="0"/>
        <w:ind w:left="-720" w:right="-720"/>
        <w:rPr>
          <w:rFonts w:ascii="Arial" w:hAnsi="Arial" w:cs="Arial"/>
          <w:b/>
          <w:color w:val="0070C0"/>
          <w:sz w:val="20"/>
          <w:szCs w:val="20"/>
        </w:rPr>
      </w:pPr>
    </w:p>
    <w:p w14:paraId="0B4B0521" w14:textId="77777777" w:rsidR="004B1C5E" w:rsidRDefault="004B1C5E" w:rsidP="00996FBD">
      <w:pPr>
        <w:spacing w:after="0"/>
        <w:ind w:left="-720" w:right="-720"/>
        <w:rPr>
          <w:rFonts w:ascii="Arial" w:hAnsi="Arial" w:cs="Arial"/>
          <w:b/>
          <w:color w:val="0070C0"/>
          <w:sz w:val="20"/>
          <w:szCs w:val="20"/>
        </w:rPr>
      </w:pPr>
    </w:p>
    <w:p w14:paraId="5810762A" w14:textId="77777777" w:rsidR="004B1C5E" w:rsidRDefault="004B1C5E" w:rsidP="00996FBD">
      <w:pPr>
        <w:spacing w:after="0"/>
        <w:ind w:left="-720" w:right="-720"/>
        <w:rPr>
          <w:rFonts w:ascii="Arial" w:hAnsi="Arial" w:cs="Arial"/>
          <w:b/>
          <w:color w:val="0070C0"/>
          <w:sz w:val="20"/>
          <w:szCs w:val="20"/>
        </w:rPr>
      </w:pPr>
    </w:p>
    <w:p w14:paraId="0A92056C" w14:textId="77777777" w:rsidR="00996FBD" w:rsidRPr="00FB2425" w:rsidRDefault="000A7E8D" w:rsidP="002B3AF0">
      <w:pPr>
        <w:spacing w:after="0"/>
        <w:ind w:left="720" w:right="-360" w:firstLine="720"/>
        <w:rPr>
          <w:rFonts w:ascii="Arial" w:hAnsi="Arial" w:cs="Arial"/>
          <w:b/>
          <w:color w:val="037EBB"/>
          <w:szCs w:val="20"/>
        </w:rPr>
      </w:pPr>
      <w:r w:rsidRPr="007D272C">
        <w:rPr>
          <w:rFonts w:ascii="Arial" w:hAnsi="Arial" w:cs="Arial"/>
          <w:b/>
          <w:noProof/>
          <w:color w:val="3B3838" w:themeColor="background2" w:themeShade="40"/>
          <w:sz w:val="21"/>
          <w:szCs w:val="20"/>
        </w:rPr>
        <w:drawing>
          <wp:anchor distT="0" distB="0" distL="114300" distR="114300" simplePos="0" relativeHeight="251668480" behindDoc="0" locked="0" layoutInCell="1" allowOverlap="1" wp14:anchorId="7008C652" wp14:editId="1CE6130C">
            <wp:simplePos x="0" y="0"/>
            <wp:positionH relativeFrom="column">
              <wp:posOffset>-174625</wp:posOffset>
            </wp:positionH>
            <wp:positionV relativeFrom="paragraph">
              <wp:posOffset>68580</wp:posOffset>
            </wp:positionV>
            <wp:extent cx="558182" cy="658368"/>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58182" cy="658368"/>
                    </a:xfrm>
                    <a:prstGeom prst="rect">
                      <a:avLst/>
                    </a:prstGeom>
                  </pic:spPr>
                </pic:pic>
              </a:graphicData>
            </a:graphic>
            <wp14:sizeRelH relativeFrom="page">
              <wp14:pctWidth>0</wp14:pctWidth>
            </wp14:sizeRelH>
            <wp14:sizeRelV relativeFrom="page">
              <wp14:pctHeight>0</wp14:pctHeight>
            </wp14:sizeRelV>
          </wp:anchor>
        </w:drawing>
      </w:r>
      <w:r w:rsidR="00550B80" w:rsidRPr="007D272C">
        <w:rPr>
          <w:rFonts w:ascii="Arial" w:hAnsi="Arial" w:cs="Arial"/>
          <w:b/>
          <w:color w:val="037EBB"/>
          <w:sz w:val="24"/>
          <w:szCs w:val="20"/>
        </w:rPr>
        <w:t>Market Review</w:t>
      </w:r>
    </w:p>
    <w:p w14:paraId="1EE6C3BF" w14:textId="77777777" w:rsidR="00996FBD" w:rsidRDefault="00996FBD" w:rsidP="006A6909">
      <w:pPr>
        <w:spacing w:after="0"/>
        <w:ind w:left="1440" w:right="-360"/>
        <w:rPr>
          <w:rFonts w:ascii="Arial" w:hAnsi="Arial" w:cs="Arial"/>
          <w:sz w:val="20"/>
          <w:szCs w:val="20"/>
        </w:rPr>
      </w:pPr>
    </w:p>
    <w:p w14:paraId="4C909CFE" w14:textId="77777777" w:rsidR="00397AF7" w:rsidRDefault="00397AF7" w:rsidP="00AC6A69">
      <w:pPr>
        <w:pStyle w:val="ListParagraph"/>
        <w:numPr>
          <w:ilvl w:val="0"/>
          <w:numId w:val="3"/>
        </w:numPr>
        <w:contextualSpacing w:val="0"/>
        <w:rPr>
          <w:rFonts w:ascii="Arial" w:hAnsi="Arial" w:cs="Arial"/>
          <w:b/>
          <w:bCs/>
          <w:iCs/>
          <w:sz w:val="20"/>
          <w:szCs w:val="20"/>
        </w:rPr>
        <w:sectPr w:rsidR="00397AF7" w:rsidSect="006A6909">
          <w:headerReference w:type="default" r:id="rId12"/>
          <w:footerReference w:type="even" r:id="rId13"/>
          <w:footerReference w:type="default" r:id="rId14"/>
          <w:headerReference w:type="first" r:id="rId15"/>
          <w:footerReference w:type="first" r:id="rId16"/>
          <w:pgSz w:w="12240" w:h="15840"/>
          <w:pgMar w:top="-1659" w:right="1440" w:bottom="1518" w:left="1440" w:header="720" w:footer="720" w:gutter="0"/>
          <w:cols w:space="720"/>
          <w:titlePg/>
          <w:docGrid w:linePitch="360"/>
        </w:sectPr>
      </w:pPr>
    </w:p>
    <w:p w14:paraId="2A3A8FC9" w14:textId="27839C5C" w:rsidR="00024E19" w:rsidRPr="00024E19" w:rsidRDefault="00024E19" w:rsidP="00934AC9">
      <w:pPr>
        <w:pStyle w:val="ListParagraph"/>
        <w:numPr>
          <w:ilvl w:val="0"/>
          <w:numId w:val="3"/>
        </w:numPr>
        <w:rPr>
          <w:rFonts w:ascii="Arial" w:hAnsi="Arial" w:cs="Arial"/>
          <w:sz w:val="20"/>
          <w:szCs w:val="20"/>
        </w:rPr>
      </w:pPr>
      <w:r w:rsidRPr="00024E19">
        <w:rPr>
          <w:rFonts w:ascii="Arial" w:hAnsi="Arial" w:cs="Arial"/>
          <w:b/>
          <w:bCs/>
          <w:iCs/>
          <w:sz w:val="20"/>
          <w:szCs w:val="20"/>
        </w:rPr>
        <w:t>As the global economy</w:t>
      </w:r>
      <w:r>
        <w:rPr>
          <w:rFonts w:ascii="Arial" w:hAnsi="Arial" w:cs="Arial"/>
          <w:b/>
          <w:bCs/>
          <w:iCs/>
          <w:sz w:val="20"/>
          <w:szCs w:val="20"/>
        </w:rPr>
        <w:t xml:space="preserve"> recovers from the pandemic with varying degrees of success</w:t>
      </w:r>
      <w:r w:rsidRPr="00024E19">
        <w:rPr>
          <w:rFonts w:ascii="Arial" w:hAnsi="Arial" w:cs="Arial"/>
          <w:b/>
          <w:bCs/>
          <w:iCs/>
          <w:sz w:val="20"/>
          <w:szCs w:val="20"/>
        </w:rPr>
        <w:t>, global stock and bond markets posted broad gains in the second quarter</w:t>
      </w:r>
      <w:r>
        <w:rPr>
          <w:rFonts w:ascii="Arial" w:hAnsi="Arial" w:cs="Arial"/>
          <w:b/>
          <w:bCs/>
          <w:iCs/>
          <w:sz w:val="20"/>
          <w:szCs w:val="20"/>
        </w:rPr>
        <w:t>.</w:t>
      </w:r>
    </w:p>
    <w:p w14:paraId="4C783DEC" w14:textId="0734CA9F" w:rsidR="00024E19" w:rsidRPr="00024E19" w:rsidRDefault="00024E19" w:rsidP="00024E19">
      <w:pPr>
        <w:pStyle w:val="ListParagraph"/>
        <w:rPr>
          <w:rFonts w:ascii="Arial" w:hAnsi="Arial" w:cs="Arial"/>
          <w:b/>
          <w:bCs/>
          <w:iCs/>
          <w:sz w:val="20"/>
          <w:szCs w:val="20"/>
        </w:rPr>
      </w:pPr>
      <w:r>
        <w:rPr>
          <w:noProof/>
        </w:rPr>
        <w:drawing>
          <wp:anchor distT="0" distB="0" distL="114300" distR="114300" simplePos="0" relativeHeight="251675648" behindDoc="0" locked="0" layoutInCell="1" allowOverlap="1" wp14:anchorId="24A40DD5" wp14:editId="5F6DD816">
            <wp:simplePos x="0" y="0"/>
            <wp:positionH relativeFrom="margin">
              <wp:posOffset>698500</wp:posOffset>
            </wp:positionH>
            <wp:positionV relativeFrom="page">
              <wp:posOffset>2990850</wp:posOffset>
            </wp:positionV>
            <wp:extent cx="5248275" cy="1438275"/>
            <wp:effectExtent l="0" t="0" r="0" b="0"/>
            <wp:wrapTopAndBottom/>
            <wp:docPr id="19" name="Chart 19">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3BEC6FA2" w14:textId="0F4DE5F2" w:rsidR="00024E19" w:rsidRPr="005F73BE" w:rsidRDefault="00024E19" w:rsidP="00024E19">
      <w:pPr>
        <w:pStyle w:val="ListParagraph"/>
        <w:ind w:left="1440"/>
        <w:rPr>
          <w:rStyle w:val="Emphasis"/>
          <w:rFonts w:ascii="Arial" w:hAnsi="Arial" w:cs="Arial"/>
          <w:i w:val="0"/>
          <w:iCs w:val="0"/>
          <w:color w:val="000000"/>
          <w:sz w:val="16"/>
          <w:szCs w:val="16"/>
          <w:shd w:val="clear" w:color="auto" w:fill="FFFFFF"/>
        </w:rPr>
      </w:pPr>
      <w:r w:rsidRPr="005F73BE">
        <w:rPr>
          <w:rFonts w:ascii="Arial" w:hAnsi="Arial" w:cs="Arial"/>
          <w:sz w:val="16"/>
          <w:szCs w:val="16"/>
        </w:rPr>
        <w:t xml:space="preserve">Source: FactSet </w:t>
      </w:r>
      <w:r w:rsidRPr="005F73BE">
        <w:rPr>
          <w:rStyle w:val="Emphasis"/>
          <w:rFonts w:ascii="Arial" w:hAnsi="Arial" w:cs="Arial"/>
          <w:i w:val="0"/>
          <w:iCs w:val="0"/>
          <w:color w:val="000000"/>
          <w:sz w:val="16"/>
          <w:szCs w:val="16"/>
          <w:shd w:val="clear" w:color="auto" w:fill="FFFFFF"/>
        </w:rPr>
        <w:t>financial data and analytics</w:t>
      </w:r>
    </w:p>
    <w:p w14:paraId="5B6BAA7C" w14:textId="77777777" w:rsidR="00024E19" w:rsidRPr="00024E19" w:rsidRDefault="00024E19" w:rsidP="00024E19">
      <w:pPr>
        <w:pStyle w:val="ListParagraph"/>
        <w:ind w:left="1440"/>
        <w:rPr>
          <w:rFonts w:ascii="Arial" w:hAnsi="Arial" w:cs="Arial"/>
          <w:sz w:val="20"/>
          <w:szCs w:val="20"/>
        </w:rPr>
      </w:pPr>
    </w:p>
    <w:p w14:paraId="4D70F830" w14:textId="410BD2B5" w:rsidR="004915F5" w:rsidRPr="004915F5" w:rsidRDefault="00EE0CBE" w:rsidP="004915F5">
      <w:pPr>
        <w:pStyle w:val="ListParagraph"/>
        <w:numPr>
          <w:ilvl w:val="0"/>
          <w:numId w:val="3"/>
        </w:numPr>
        <w:rPr>
          <w:rFonts w:ascii="Arial" w:hAnsi="Arial" w:cs="Arial"/>
          <w:sz w:val="20"/>
          <w:szCs w:val="20"/>
        </w:rPr>
      </w:pPr>
      <w:r>
        <w:rPr>
          <w:rFonts w:ascii="Arial" w:hAnsi="Arial" w:cs="Arial"/>
          <w:noProof/>
          <w:sz w:val="20"/>
          <w:szCs w:val="20"/>
        </w:rPr>
        <w:drawing>
          <wp:anchor distT="0" distB="0" distL="114300" distR="114300" simplePos="0" relativeHeight="251678720" behindDoc="1" locked="0" layoutInCell="1" allowOverlap="1" wp14:anchorId="337A45AE" wp14:editId="55582FB7">
            <wp:simplePos x="0" y="0"/>
            <wp:positionH relativeFrom="column">
              <wp:posOffset>419100</wp:posOffset>
            </wp:positionH>
            <wp:positionV relativeFrom="paragraph">
              <wp:posOffset>897255</wp:posOffset>
            </wp:positionV>
            <wp:extent cx="6356350" cy="3378200"/>
            <wp:effectExtent l="0" t="0" r="0" b="0"/>
            <wp:wrapTight wrapText="bothSides">
              <wp:wrapPolygon edited="0">
                <wp:start x="971" y="0"/>
                <wp:lineTo x="971" y="1827"/>
                <wp:lineTo x="1942" y="2192"/>
                <wp:lineTo x="1942" y="3167"/>
                <wp:lineTo x="6603" y="3898"/>
                <wp:lineTo x="1489" y="5725"/>
                <wp:lineTo x="1424" y="6456"/>
                <wp:lineTo x="4402" y="7552"/>
                <wp:lineTo x="65" y="8161"/>
                <wp:lineTo x="65" y="12302"/>
                <wp:lineTo x="1942" y="13642"/>
                <wp:lineTo x="2719" y="13642"/>
                <wp:lineTo x="1424" y="14617"/>
                <wp:lineTo x="1424" y="14982"/>
                <wp:lineTo x="2460" y="15591"/>
                <wp:lineTo x="2395" y="19489"/>
                <wp:lineTo x="906" y="19854"/>
                <wp:lineTo x="971" y="21438"/>
                <wp:lineTo x="11976" y="21438"/>
                <wp:lineTo x="18255" y="21438"/>
                <wp:lineTo x="18385" y="19611"/>
                <wp:lineTo x="18061" y="19489"/>
                <wp:lineTo x="17932" y="18271"/>
                <wp:lineTo x="15795" y="17540"/>
                <wp:lineTo x="19809" y="17418"/>
                <wp:lineTo x="19809" y="16200"/>
                <wp:lineTo x="16119" y="15591"/>
                <wp:lineTo x="16507" y="15347"/>
                <wp:lineTo x="16507" y="14738"/>
                <wp:lineTo x="16054" y="13642"/>
                <wp:lineTo x="19809" y="12302"/>
                <wp:lineTo x="19874" y="11693"/>
                <wp:lineTo x="18903" y="11693"/>
                <wp:lineTo x="20068" y="10719"/>
                <wp:lineTo x="20068" y="9623"/>
                <wp:lineTo x="16119" y="7795"/>
                <wp:lineTo x="16507" y="6090"/>
                <wp:lineTo x="16507" y="1949"/>
                <wp:lineTo x="19615" y="1462"/>
                <wp:lineTo x="19485" y="122"/>
                <wp:lineTo x="8933" y="0"/>
                <wp:lineTo x="971" y="0"/>
              </wp:wrapPolygon>
            </wp:wrapTight>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56350" cy="3378200"/>
                    </a:xfrm>
                    <a:prstGeom prst="rect">
                      <a:avLst/>
                    </a:prstGeom>
                    <a:noFill/>
                  </pic:spPr>
                </pic:pic>
              </a:graphicData>
            </a:graphic>
            <wp14:sizeRelH relativeFrom="margin">
              <wp14:pctWidth>0</wp14:pctWidth>
            </wp14:sizeRelH>
            <wp14:sizeRelV relativeFrom="margin">
              <wp14:pctHeight>0</wp14:pctHeight>
            </wp14:sizeRelV>
          </wp:anchor>
        </w:drawing>
      </w:r>
      <w:r w:rsidR="00024E19">
        <w:rPr>
          <w:rFonts w:ascii="Arial" w:hAnsi="Arial" w:cs="Arial"/>
          <w:b/>
          <w:bCs/>
          <w:iCs/>
          <w:sz w:val="20"/>
          <w:szCs w:val="20"/>
        </w:rPr>
        <w:t xml:space="preserve">Notable among them was </w:t>
      </w:r>
      <w:r w:rsidR="00E50814">
        <w:rPr>
          <w:rFonts w:ascii="Arial" w:hAnsi="Arial" w:cs="Arial"/>
          <w:b/>
          <w:bCs/>
          <w:iCs/>
          <w:sz w:val="20"/>
          <w:szCs w:val="20"/>
        </w:rPr>
        <w:t xml:space="preserve">US </w:t>
      </w:r>
      <w:r w:rsidR="00F27DFC">
        <w:rPr>
          <w:rFonts w:ascii="Arial" w:hAnsi="Arial" w:cs="Arial"/>
          <w:b/>
          <w:bCs/>
          <w:iCs/>
          <w:sz w:val="20"/>
          <w:szCs w:val="20"/>
        </w:rPr>
        <w:t xml:space="preserve">equities </w:t>
      </w:r>
      <w:r w:rsidR="00024E19">
        <w:rPr>
          <w:rFonts w:ascii="Arial" w:hAnsi="Arial" w:cs="Arial"/>
          <w:b/>
          <w:bCs/>
          <w:iCs/>
          <w:sz w:val="20"/>
          <w:szCs w:val="20"/>
        </w:rPr>
        <w:t xml:space="preserve">which </w:t>
      </w:r>
      <w:r w:rsidR="001672AE">
        <w:rPr>
          <w:rFonts w:ascii="Arial" w:hAnsi="Arial" w:cs="Arial"/>
          <w:b/>
          <w:bCs/>
          <w:iCs/>
          <w:sz w:val="20"/>
          <w:szCs w:val="20"/>
        </w:rPr>
        <w:t>gained</w:t>
      </w:r>
      <w:r w:rsidR="006C41A4">
        <w:rPr>
          <w:rFonts w:ascii="Arial" w:hAnsi="Arial" w:cs="Arial"/>
          <w:b/>
          <w:bCs/>
          <w:iCs/>
          <w:sz w:val="20"/>
          <w:szCs w:val="20"/>
        </w:rPr>
        <w:t xml:space="preserve"> 8.5% for the second quarter</w:t>
      </w:r>
      <w:r w:rsidR="0065139C">
        <w:rPr>
          <w:rFonts w:ascii="Arial" w:hAnsi="Arial" w:cs="Arial"/>
          <w:b/>
          <w:bCs/>
          <w:iCs/>
          <w:sz w:val="20"/>
          <w:szCs w:val="20"/>
        </w:rPr>
        <w:t xml:space="preserve"> and 15.3% for the year</w:t>
      </w:r>
      <w:r w:rsidR="0097743B">
        <w:rPr>
          <w:rFonts w:ascii="Arial" w:hAnsi="Arial" w:cs="Arial"/>
          <w:b/>
          <w:bCs/>
          <w:iCs/>
          <w:sz w:val="20"/>
          <w:szCs w:val="20"/>
        </w:rPr>
        <w:t xml:space="preserve"> led </w:t>
      </w:r>
      <w:r w:rsidR="001672AE">
        <w:rPr>
          <w:rFonts w:ascii="Arial" w:hAnsi="Arial" w:cs="Arial"/>
          <w:b/>
          <w:bCs/>
          <w:iCs/>
          <w:sz w:val="20"/>
          <w:szCs w:val="20"/>
        </w:rPr>
        <w:t>by easy monetary</w:t>
      </w:r>
      <w:r w:rsidR="009443D8">
        <w:rPr>
          <w:rFonts w:ascii="Arial" w:hAnsi="Arial" w:cs="Arial"/>
          <w:b/>
          <w:bCs/>
          <w:iCs/>
          <w:sz w:val="20"/>
          <w:szCs w:val="20"/>
        </w:rPr>
        <w:t xml:space="preserve"> and fiscal policy</w:t>
      </w:r>
      <w:r w:rsidR="00085ABF">
        <w:rPr>
          <w:rFonts w:ascii="Arial" w:hAnsi="Arial" w:cs="Arial"/>
          <w:b/>
          <w:bCs/>
          <w:iCs/>
          <w:sz w:val="20"/>
          <w:szCs w:val="20"/>
        </w:rPr>
        <w:t>,</w:t>
      </w:r>
      <w:r w:rsidR="009443D8">
        <w:rPr>
          <w:rFonts w:ascii="Arial" w:hAnsi="Arial" w:cs="Arial"/>
          <w:b/>
          <w:bCs/>
          <w:iCs/>
          <w:sz w:val="20"/>
          <w:szCs w:val="20"/>
        </w:rPr>
        <w:t xml:space="preserve"> like potential infrastructure spending</w:t>
      </w:r>
      <w:r w:rsidR="001672AE">
        <w:rPr>
          <w:rFonts w:ascii="Arial" w:hAnsi="Arial" w:cs="Arial"/>
          <w:b/>
          <w:bCs/>
          <w:iCs/>
          <w:sz w:val="20"/>
          <w:szCs w:val="20"/>
        </w:rPr>
        <w:t xml:space="preserve">, </w:t>
      </w:r>
      <w:r w:rsidR="00024E19">
        <w:rPr>
          <w:rFonts w:ascii="Arial" w:hAnsi="Arial" w:cs="Arial"/>
          <w:b/>
          <w:bCs/>
          <w:iCs/>
          <w:sz w:val="20"/>
          <w:szCs w:val="20"/>
        </w:rPr>
        <w:t>strong economic recovery and robust corporate earnings</w:t>
      </w:r>
      <w:r w:rsidR="001672AE">
        <w:rPr>
          <w:rFonts w:ascii="Arial" w:hAnsi="Arial" w:cs="Arial"/>
          <w:b/>
          <w:bCs/>
          <w:iCs/>
          <w:sz w:val="20"/>
          <w:szCs w:val="20"/>
        </w:rPr>
        <w:t>.</w:t>
      </w:r>
      <w:r w:rsidR="00AF6065">
        <w:rPr>
          <w:rFonts w:ascii="Arial" w:hAnsi="Arial" w:cs="Arial"/>
          <w:b/>
          <w:bCs/>
          <w:iCs/>
          <w:sz w:val="20"/>
          <w:szCs w:val="20"/>
        </w:rPr>
        <w:t xml:space="preserve">  </w:t>
      </w:r>
      <w:r w:rsidR="0097743B" w:rsidRPr="00024E19">
        <w:rPr>
          <w:rFonts w:ascii="Arial" w:hAnsi="Arial" w:cs="Arial"/>
          <w:iCs/>
          <w:sz w:val="20"/>
          <w:szCs w:val="20"/>
        </w:rPr>
        <w:t>In the first half</w:t>
      </w:r>
      <w:r w:rsidR="00AA54FF" w:rsidRPr="00024E19">
        <w:rPr>
          <w:rFonts w:ascii="Arial" w:hAnsi="Arial" w:cs="Arial"/>
          <w:iCs/>
          <w:sz w:val="20"/>
          <w:szCs w:val="20"/>
        </w:rPr>
        <w:t xml:space="preserve"> of 2021</w:t>
      </w:r>
      <w:r w:rsidR="0097743B" w:rsidRPr="00024E19">
        <w:rPr>
          <w:rFonts w:ascii="Arial" w:hAnsi="Arial" w:cs="Arial"/>
          <w:iCs/>
          <w:sz w:val="20"/>
          <w:szCs w:val="20"/>
        </w:rPr>
        <w:t xml:space="preserve">, </w:t>
      </w:r>
      <w:r w:rsidR="00AF6065" w:rsidRPr="00024E19">
        <w:rPr>
          <w:rFonts w:ascii="Arial" w:hAnsi="Arial" w:cs="Arial"/>
          <w:iCs/>
          <w:sz w:val="20"/>
          <w:szCs w:val="20"/>
        </w:rPr>
        <w:t>US equities</w:t>
      </w:r>
      <w:r w:rsidR="0097743B" w:rsidRPr="00024E19">
        <w:rPr>
          <w:rFonts w:ascii="Arial" w:hAnsi="Arial" w:cs="Arial"/>
          <w:iCs/>
          <w:sz w:val="20"/>
          <w:szCs w:val="20"/>
        </w:rPr>
        <w:t xml:space="preserve"> marked 34 record highs and the largest gains since 2019</w:t>
      </w:r>
      <w:r w:rsidR="009A7096">
        <w:rPr>
          <w:rStyle w:val="EndnoteReference"/>
          <w:rFonts w:ascii="Arial" w:hAnsi="Arial" w:cs="Arial"/>
          <w:iCs/>
          <w:sz w:val="20"/>
          <w:szCs w:val="20"/>
        </w:rPr>
        <w:endnoteReference w:id="1"/>
      </w:r>
      <w:r w:rsidR="0097743B" w:rsidRPr="00024E19">
        <w:rPr>
          <w:rFonts w:ascii="Arial" w:hAnsi="Arial" w:cs="Arial"/>
          <w:iCs/>
          <w:sz w:val="20"/>
          <w:szCs w:val="20"/>
        </w:rPr>
        <w:t>.</w:t>
      </w:r>
      <w:r w:rsidR="00024E19">
        <w:rPr>
          <w:rFonts w:ascii="Arial" w:hAnsi="Arial" w:cs="Arial"/>
          <w:iCs/>
          <w:sz w:val="20"/>
          <w:szCs w:val="20"/>
        </w:rPr>
        <w:t xml:space="preserve">  As equity markets have rallied, volatility</w:t>
      </w:r>
      <w:r w:rsidR="009443D8">
        <w:rPr>
          <w:rFonts w:ascii="Arial" w:hAnsi="Arial" w:cs="Arial"/>
          <w:iCs/>
          <w:sz w:val="20"/>
          <w:szCs w:val="20"/>
        </w:rPr>
        <w:t xml:space="preserve"> </w:t>
      </w:r>
      <w:r w:rsidR="00024E19">
        <w:rPr>
          <w:rFonts w:ascii="Arial" w:hAnsi="Arial" w:cs="Arial"/>
          <w:iCs/>
          <w:sz w:val="20"/>
          <w:szCs w:val="20"/>
        </w:rPr>
        <w:t>fell to pre-pandemic l</w:t>
      </w:r>
      <w:r w:rsidR="001D3BE8">
        <w:rPr>
          <w:rFonts w:ascii="Arial" w:hAnsi="Arial" w:cs="Arial"/>
          <w:iCs/>
          <w:sz w:val="20"/>
          <w:szCs w:val="20"/>
        </w:rPr>
        <w:t>ows</w:t>
      </w:r>
      <w:r w:rsidR="009A7096">
        <w:rPr>
          <w:rStyle w:val="EndnoteReference"/>
          <w:rFonts w:ascii="Arial" w:hAnsi="Arial" w:cs="Arial"/>
          <w:iCs/>
          <w:sz w:val="20"/>
          <w:szCs w:val="20"/>
        </w:rPr>
        <w:endnoteReference w:id="2"/>
      </w:r>
      <w:r w:rsidR="00024E19">
        <w:rPr>
          <w:rFonts w:ascii="Arial" w:hAnsi="Arial" w:cs="Arial"/>
          <w:iCs/>
          <w:sz w:val="20"/>
          <w:szCs w:val="20"/>
        </w:rPr>
        <w:t>.</w:t>
      </w:r>
    </w:p>
    <w:p w14:paraId="315B16FF" w14:textId="0F7E2832" w:rsidR="004915F5" w:rsidRPr="004915F5" w:rsidRDefault="004915F5" w:rsidP="004915F5">
      <w:pPr>
        <w:pStyle w:val="ListParagraph"/>
        <w:ind w:left="1440"/>
        <w:rPr>
          <w:rFonts w:ascii="Arial" w:hAnsi="Arial" w:cs="Arial"/>
          <w:sz w:val="20"/>
          <w:szCs w:val="20"/>
        </w:rPr>
      </w:pPr>
    </w:p>
    <w:p w14:paraId="6D684100" w14:textId="0128B15F" w:rsidR="00001A1B" w:rsidRDefault="00001A1B" w:rsidP="004915F5">
      <w:pPr>
        <w:pStyle w:val="ListParagraph"/>
        <w:ind w:left="0"/>
        <w:rPr>
          <w:rFonts w:ascii="Arial" w:hAnsi="Arial" w:cs="Arial"/>
          <w:sz w:val="20"/>
          <w:szCs w:val="20"/>
        </w:rPr>
      </w:pPr>
    </w:p>
    <w:p w14:paraId="429D4318" w14:textId="519A0660" w:rsidR="006334C0" w:rsidRPr="00001A1B" w:rsidRDefault="006334C0" w:rsidP="004915F5">
      <w:pPr>
        <w:pStyle w:val="ListParagraph"/>
        <w:ind w:left="0"/>
        <w:rPr>
          <w:rFonts w:ascii="Arial" w:hAnsi="Arial" w:cs="Arial"/>
          <w:sz w:val="20"/>
          <w:szCs w:val="20"/>
        </w:rPr>
      </w:pPr>
    </w:p>
    <w:p w14:paraId="254ACA33" w14:textId="43E9C247" w:rsidR="00001A1B" w:rsidRPr="00024E19" w:rsidRDefault="002D7BC0" w:rsidP="00001A1B">
      <w:pPr>
        <w:pStyle w:val="ListParagraph"/>
        <w:ind w:left="1440"/>
        <w:rPr>
          <w:rFonts w:ascii="Arial" w:hAnsi="Arial" w:cs="Arial"/>
          <w:sz w:val="20"/>
          <w:szCs w:val="20"/>
        </w:rPr>
      </w:pPr>
      <w:bookmarkStart w:id="0" w:name="_GoBack"/>
      <w:bookmarkEnd w:id="0"/>
      <w:r>
        <w:rPr>
          <w:noProof/>
        </w:rPr>
        <mc:AlternateContent>
          <mc:Choice Requires="wps">
            <w:drawing>
              <wp:anchor distT="0" distB="0" distL="114300" distR="114300" simplePos="0" relativeHeight="251677696" behindDoc="0" locked="0" layoutInCell="1" allowOverlap="1" wp14:anchorId="7FDFAA49" wp14:editId="186F3D41">
                <wp:simplePos x="0" y="0"/>
                <wp:positionH relativeFrom="column">
                  <wp:posOffset>463550</wp:posOffset>
                </wp:positionH>
                <wp:positionV relativeFrom="paragraph">
                  <wp:posOffset>2517140</wp:posOffset>
                </wp:positionV>
                <wp:extent cx="5657850" cy="273050"/>
                <wp:effectExtent l="0" t="0" r="0" b="0"/>
                <wp:wrapNone/>
                <wp:docPr id="3" name="TextBox 4"/>
                <wp:cNvGraphicFramePr/>
                <a:graphic xmlns:a="http://schemas.openxmlformats.org/drawingml/2006/main">
                  <a:graphicData uri="http://schemas.microsoft.com/office/word/2010/wordprocessingShape">
                    <wps:wsp>
                      <wps:cNvSpPr txBox="1"/>
                      <wps:spPr>
                        <a:xfrm>
                          <a:off x="0" y="0"/>
                          <a:ext cx="5657850" cy="273050"/>
                        </a:xfrm>
                        <a:prstGeom prst="rect">
                          <a:avLst/>
                        </a:prstGeom>
                        <a:noFill/>
                      </wps:spPr>
                      <wps:txbx>
                        <w:txbxContent>
                          <w:p w14:paraId="433F6A9A" w14:textId="77777777" w:rsidR="006334C0" w:rsidRPr="005F73BE" w:rsidRDefault="006334C0" w:rsidP="006334C0">
                            <w:pPr>
                              <w:rPr>
                                <w:sz w:val="16"/>
                                <w:szCs w:val="16"/>
                              </w:rPr>
                            </w:pPr>
                            <w:r w:rsidRPr="005F73BE">
                              <w:rPr>
                                <w:rFonts w:ascii="Arial" w:eastAsia="+mn-ea" w:hAnsi="Arial" w:cs="+mn-cs"/>
                                <w:color w:val="000000"/>
                                <w:kern w:val="24"/>
                                <w:sz w:val="16"/>
                                <w:szCs w:val="16"/>
                              </w:rPr>
                              <w:t xml:space="preserve">Source:  FactSet, CNBC, CNN, Reuters, Yahoo Finance, NY Times, JPMorgan, US Bureau of Labor Statistics </w:t>
                            </w:r>
                          </w:p>
                        </w:txbxContent>
                      </wps:txbx>
                      <wps:bodyPr wrap="square" lIns="0" rtlCol="0">
                        <a:noAutofit/>
                      </wps:bodyPr>
                    </wps:wsp>
                  </a:graphicData>
                </a:graphic>
                <wp14:sizeRelH relativeFrom="margin">
                  <wp14:pctWidth>0</wp14:pctWidth>
                </wp14:sizeRelH>
                <wp14:sizeRelV relativeFrom="margin">
                  <wp14:pctHeight>0</wp14:pctHeight>
                </wp14:sizeRelV>
              </wp:anchor>
            </w:drawing>
          </mc:Choice>
          <mc:Fallback>
            <w:pict>
              <v:shapetype w14:anchorId="7FDFAA49" id="_x0000_t202" coordsize="21600,21600" o:spt="202" path="m,l,21600r21600,l21600,xe">
                <v:stroke joinstyle="miter"/>
                <v:path gradientshapeok="t" o:connecttype="rect"/>
              </v:shapetype>
              <v:shape id="TextBox 4" o:spid="_x0000_s1026" type="#_x0000_t202" style="position:absolute;left:0;text-align:left;margin-left:36.5pt;margin-top:198.2pt;width:445.5pt;height: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" filled="f" stroked="f">
                <v:textbox inset="0">
                  <w:txbxContent>
                    <w:p w14:paraId="433F6A9A" w14:textId="77777777" w:rsidR="006334C0" w:rsidRPr="005F73BE" w:rsidRDefault="006334C0" w:rsidP="006334C0">
                      <w:pPr>
                        <w:rPr>
                          <w:sz w:val="16"/>
                          <w:szCs w:val="16"/>
                        </w:rPr>
                      </w:pPr>
                      <w:r w:rsidRPr="005F73BE">
                        <w:rPr>
                          <w:rFonts w:ascii="Arial" w:eastAsia="+mn-ea" w:hAnsi="Arial" w:cs="+mn-cs"/>
                          <w:color w:val="000000"/>
                          <w:kern w:val="24"/>
                          <w:sz w:val="16"/>
                          <w:szCs w:val="16"/>
                        </w:rPr>
                        <w:t xml:space="preserve">Source:  FactSet, CNBC, CNN, Reuters, Yahoo Finance, NY Times, JPMorgan, US Bureau of Labor Statistics </w:t>
                      </w:r>
                    </w:p>
                  </w:txbxContent>
                </v:textbox>
              </v:shape>
            </w:pict>
          </mc:Fallback>
        </mc:AlternateContent>
      </w:r>
    </w:p>
    <w:p w14:paraId="21C08D27" w14:textId="7DFE5947" w:rsidR="00977850" w:rsidRPr="00FD22B2" w:rsidRDefault="00C86D58" w:rsidP="00FD22B2">
      <w:pPr>
        <w:pStyle w:val="ListParagraph"/>
        <w:numPr>
          <w:ilvl w:val="0"/>
          <w:numId w:val="3"/>
        </w:numPr>
        <w:contextualSpacing w:val="0"/>
        <w:rPr>
          <w:rFonts w:ascii="Arial" w:hAnsi="Arial" w:cs="Arial"/>
          <w:sz w:val="20"/>
          <w:szCs w:val="20"/>
        </w:rPr>
      </w:pPr>
      <w:r w:rsidRPr="00C86D58">
        <w:rPr>
          <w:rFonts w:ascii="Arial" w:hAnsi="Arial" w:cs="Arial"/>
          <w:b/>
          <w:bCs/>
          <w:iCs/>
          <w:sz w:val="20"/>
          <w:szCs w:val="20"/>
        </w:rPr>
        <w:lastRenderedPageBreak/>
        <w:t>International markets trail</w:t>
      </w:r>
      <w:r>
        <w:rPr>
          <w:rFonts w:ascii="Arial" w:hAnsi="Arial" w:cs="Arial"/>
          <w:b/>
          <w:bCs/>
          <w:iCs/>
          <w:sz w:val="20"/>
          <w:szCs w:val="20"/>
        </w:rPr>
        <w:t>ed</w:t>
      </w:r>
      <w:r w:rsidRPr="00C86D58">
        <w:rPr>
          <w:rFonts w:ascii="Arial" w:hAnsi="Arial" w:cs="Arial"/>
          <w:b/>
          <w:bCs/>
          <w:iCs/>
          <w:sz w:val="20"/>
          <w:szCs w:val="20"/>
        </w:rPr>
        <w:t xml:space="preserve"> US equity markets for both the quarter and the year</w:t>
      </w:r>
      <w:r>
        <w:rPr>
          <w:rFonts w:ascii="Arial" w:hAnsi="Arial" w:cs="Arial"/>
          <w:iCs/>
          <w:sz w:val="20"/>
          <w:szCs w:val="20"/>
        </w:rPr>
        <w:t xml:space="preserve">.  </w:t>
      </w:r>
      <w:r w:rsidR="00CA260E">
        <w:rPr>
          <w:rFonts w:ascii="Arial" w:hAnsi="Arial" w:cs="Arial"/>
          <w:iCs/>
          <w:sz w:val="20"/>
          <w:szCs w:val="20"/>
        </w:rPr>
        <w:t>Developed international markets gained 5.4% and trailed US</w:t>
      </w:r>
      <w:r w:rsidR="00732B11">
        <w:rPr>
          <w:rFonts w:ascii="Arial" w:hAnsi="Arial" w:cs="Arial"/>
          <w:iCs/>
          <w:sz w:val="20"/>
          <w:szCs w:val="20"/>
        </w:rPr>
        <w:t xml:space="preserve"> equities</w:t>
      </w:r>
      <w:r w:rsidR="00CA260E">
        <w:rPr>
          <w:rFonts w:ascii="Arial" w:hAnsi="Arial" w:cs="Arial"/>
          <w:iCs/>
          <w:sz w:val="20"/>
          <w:szCs w:val="20"/>
        </w:rPr>
        <w:t xml:space="preserve"> due to negative returns in Japan over s</w:t>
      </w:r>
      <w:r w:rsidR="0065139C" w:rsidRPr="0065139C">
        <w:rPr>
          <w:rFonts w:ascii="Arial" w:hAnsi="Arial" w:cs="Arial"/>
          <w:iCs/>
          <w:sz w:val="20"/>
          <w:szCs w:val="20"/>
        </w:rPr>
        <w:t>low vaccination</w:t>
      </w:r>
      <w:r w:rsidR="00CA260E">
        <w:rPr>
          <w:rFonts w:ascii="Arial" w:hAnsi="Arial" w:cs="Arial"/>
          <w:iCs/>
          <w:sz w:val="20"/>
          <w:szCs w:val="20"/>
        </w:rPr>
        <w:t xml:space="preserve"> efforts</w:t>
      </w:r>
      <w:r w:rsidR="009A7096">
        <w:rPr>
          <w:rStyle w:val="EndnoteReference"/>
          <w:rFonts w:ascii="Arial" w:hAnsi="Arial" w:cs="Arial"/>
          <w:iCs/>
          <w:sz w:val="20"/>
          <w:szCs w:val="20"/>
        </w:rPr>
        <w:endnoteReference w:id="3"/>
      </w:r>
      <w:r w:rsidR="0065139C" w:rsidRPr="0065139C">
        <w:rPr>
          <w:rFonts w:ascii="Arial" w:hAnsi="Arial" w:cs="Arial"/>
          <w:iCs/>
          <w:sz w:val="20"/>
          <w:szCs w:val="20"/>
        </w:rPr>
        <w:t>.</w:t>
      </w:r>
      <w:r w:rsidR="00CA2A62">
        <w:rPr>
          <w:rFonts w:ascii="Arial" w:hAnsi="Arial" w:cs="Arial"/>
          <w:iCs/>
          <w:sz w:val="20"/>
          <w:szCs w:val="20"/>
        </w:rPr>
        <w:t xml:space="preserve">  </w:t>
      </w:r>
      <w:r w:rsidR="00CA260E">
        <w:rPr>
          <w:rFonts w:ascii="Arial" w:hAnsi="Arial" w:cs="Arial"/>
          <w:iCs/>
          <w:sz w:val="20"/>
          <w:szCs w:val="20"/>
        </w:rPr>
        <w:t xml:space="preserve">Finally, </w:t>
      </w:r>
      <w:r w:rsidR="0065139C" w:rsidRPr="0065139C">
        <w:rPr>
          <w:rFonts w:ascii="Arial" w:hAnsi="Arial" w:cs="Arial"/>
          <w:iCs/>
          <w:sz w:val="20"/>
          <w:szCs w:val="20"/>
        </w:rPr>
        <w:t>regulatory</w:t>
      </w:r>
      <w:r w:rsidR="00CA260E">
        <w:rPr>
          <w:rFonts w:ascii="Arial" w:hAnsi="Arial" w:cs="Arial"/>
          <w:iCs/>
          <w:sz w:val="20"/>
          <w:szCs w:val="20"/>
        </w:rPr>
        <w:t xml:space="preserve"> and policy tightening</w:t>
      </w:r>
      <w:r w:rsidR="00313B78">
        <w:rPr>
          <w:rFonts w:ascii="Arial" w:hAnsi="Arial" w:cs="Arial"/>
          <w:iCs/>
          <w:sz w:val="20"/>
          <w:szCs w:val="20"/>
        </w:rPr>
        <w:t xml:space="preserve"> </w:t>
      </w:r>
      <w:r w:rsidR="00CA260E">
        <w:rPr>
          <w:rFonts w:ascii="Arial" w:hAnsi="Arial" w:cs="Arial"/>
          <w:iCs/>
          <w:sz w:val="20"/>
          <w:szCs w:val="20"/>
        </w:rPr>
        <w:t xml:space="preserve">concerns </w:t>
      </w:r>
      <w:r w:rsidR="00313B78">
        <w:rPr>
          <w:rFonts w:ascii="Arial" w:hAnsi="Arial" w:cs="Arial"/>
          <w:iCs/>
          <w:sz w:val="20"/>
          <w:szCs w:val="20"/>
        </w:rPr>
        <w:t>in China</w:t>
      </w:r>
      <w:r w:rsidR="0065139C" w:rsidRPr="0065139C">
        <w:rPr>
          <w:rFonts w:ascii="Arial" w:hAnsi="Arial" w:cs="Arial"/>
          <w:iCs/>
          <w:sz w:val="20"/>
          <w:szCs w:val="20"/>
        </w:rPr>
        <w:t xml:space="preserve"> </w:t>
      </w:r>
      <w:r w:rsidR="001145DB">
        <w:rPr>
          <w:rFonts w:ascii="Arial" w:hAnsi="Arial" w:cs="Arial"/>
          <w:iCs/>
          <w:sz w:val="20"/>
          <w:szCs w:val="20"/>
        </w:rPr>
        <w:t>held back</w:t>
      </w:r>
      <w:r w:rsidR="00CA2A62">
        <w:rPr>
          <w:rFonts w:ascii="Arial" w:hAnsi="Arial" w:cs="Arial"/>
          <w:iCs/>
          <w:sz w:val="20"/>
          <w:szCs w:val="20"/>
        </w:rPr>
        <w:t xml:space="preserve"> emerging market equities </w:t>
      </w:r>
      <w:r w:rsidR="00CA260E">
        <w:rPr>
          <w:rFonts w:ascii="Arial" w:hAnsi="Arial" w:cs="Arial"/>
          <w:iCs/>
          <w:sz w:val="20"/>
          <w:szCs w:val="20"/>
        </w:rPr>
        <w:t xml:space="preserve">to </w:t>
      </w:r>
      <w:r w:rsidR="00085ABF">
        <w:rPr>
          <w:rFonts w:ascii="Arial" w:hAnsi="Arial" w:cs="Arial"/>
          <w:iCs/>
          <w:sz w:val="20"/>
          <w:szCs w:val="20"/>
        </w:rPr>
        <w:t xml:space="preserve">a </w:t>
      </w:r>
      <w:r w:rsidR="00CA260E">
        <w:rPr>
          <w:rFonts w:ascii="Arial" w:hAnsi="Arial" w:cs="Arial"/>
          <w:iCs/>
          <w:sz w:val="20"/>
          <w:szCs w:val="20"/>
        </w:rPr>
        <w:t>5.1%</w:t>
      </w:r>
      <w:r w:rsidR="001145DB">
        <w:rPr>
          <w:rFonts w:ascii="Arial" w:hAnsi="Arial" w:cs="Arial"/>
          <w:iCs/>
          <w:sz w:val="20"/>
          <w:szCs w:val="20"/>
        </w:rPr>
        <w:t xml:space="preserve"> </w:t>
      </w:r>
      <w:r w:rsidR="00085ABF">
        <w:rPr>
          <w:rFonts w:ascii="Arial" w:hAnsi="Arial" w:cs="Arial"/>
          <w:iCs/>
          <w:sz w:val="20"/>
          <w:szCs w:val="20"/>
        </w:rPr>
        <w:t xml:space="preserve">gain </w:t>
      </w:r>
      <w:r w:rsidR="001145DB">
        <w:rPr>
          <w:rFonts w:ascii="Arial" w:hAnsi="Arial" w:cs="Arial"/>
          <w:iCs/>
          <w:sz w:val="20"/>
          <w:szCs w:val="20"/>
        </w:rPr>
        <w:t>for the quarter</w:t>
      </w:r>
      <w:r w:rsidR="00CA2A62">
        <w:rPr>
          <w:rFonts w:ascii="Arial" w:hAnsi="Arial" w:cs="Arial"/>
          <w:iCs/>
          <w:sz w:val="20"/>
          <w:szCs w:val="20"/>
        </w:rPr>
        <w:t>.</w:t>
      </w:r>
      <w:r w:rsidR="004464DA">
        <w:rPr>
          <w:rFonts w:ascii="Arial" w:hAnsi="Arial" w:cs="Arial"/>
          <w:iCs/>
          <w:sz w:val="20"/>
          <w:szCs w:val="20"/>
        </w:rPr>
        <w:t xml:space="preserve">  </w:t>
      </w:r>
    </w:p>
    <w:p w14:paraId="1DFEBBF8" w14:textId="33F7EF17" w:rsidR="00C86D58" w:rsidRPr="00C86D58" w:rsidRDefault="00CA2A62" w:rsidP="00C86D58">
      <w:pPr>
        <w:pStyle w:val="ListParagraph"/>
        <w:numPr>
          <w:ilvl w:val="0"/>
          <w:numId w:val="3"/>
        </w:numPr>
        <w:rPr>
          <w:rFonts w:ascii="Arial" w:hAnsi="Arial" w:cs="Arial"/>
          <w:iCs/>
          <w:sz w:val="20"/>
          <w:szCs w:val="20"/>
        </w:rPr>
      </w:pPr>
      <w:r>
        <w:rPr>
          <w:rFonts w:ascii="Arial" w:hAnsi="Arial" w:cs="Arial"/>
          <w:b/>
          <w:bCs/>
          <w:iCs/>
          <w:sz w:val="20"/>
          <w:szCs w:val="20"/>
        </w:rPr>
        <w:t xml:space="preserve">Within </w:t>
      </w:r>
      <w:r w:rsidR="00085ABF">
        <w:rPr>
          <w:rFonts w:ascii="Arial" w:hAnsi="Arial" w:cs="Arial"/>
          <w:b/>
          <w:bCs/>
          <w:iCs/>
          <w:sz w:val="20"/>
          <w:szCs w:val="20"/>
        </w:rPr>
        <w:t xml:space="preserve">the </w:t>
      </w:r>
      <w:r>
        <w:rPr>
          <w:rFonts w:ascii="Arial" w:hAnsi="Arial" w:cs="Arial"/>
          <w:b/>
          <w:bCs/>
          <w:iCs/>
          <w:sz w:val="20"/>
          <w:szCs w:val="20"/>
        </w:rPr>
        <w:t>US s</w:t>
      </w:r>
      <w:r w:rsidRPr="00FB0F04">
        <w:rPr>
          <w:rFonts w:ascii="Arial" w:hAnsi="Arial" w:cs="Arial"/>
          <w:b/>
          <w:bCs/>
          <w:iCs/>
          <w:sz w:val="20"/>
          <w:szCs w:val="20"/>
        </w:rPr>
        <w:t>ector</w:t>
      </w:r>
      <w:r w:rsidR="00085ABF">
        <w:rPr>
          <w:rFonts w:ascii="Arial" w:hAnsi="Arial" w:cs="Arial"/>
          <w:b/>
          <w:bCs/>
          <w:iCs/>
          <w:sz w:val="20"/>
          <w:szCs w:val="20"/>
        </w:rPr>
        <w:t>,</w:t>
      </w:r>
      <w:r>
        <w:rPr>
          <w:rFonts w:ascii="Arial" w:hAnsi="Arial" w:cs="Arial"/>
          <w:b/>
          <w:bCs/>
          <w:iCs/>
          <w:sz w:val="20"/>
          <w:szCs w:val="20"/>
        </w:rPr>
        <w:t xml:space="preserve"> performance was varied with </w:t>
      </w:r>
      <w:r w:rsidRPr="00FB0F04">
        <w:rPr>
          <w:rFonts w:ascii="Arial" w:hAnsi="Arial" w:cs="Arial"/>
          <w:b/>
          <w:bCs/>
          <w:iCs/>
          <w:sz w:val="20"/>
          <w:szCs w:val="20"/>
        </w:rPr>
        <w:t>results ranging from 1</w:t>
      </w:r>
      <w:r>
        <w:rPr>
          <w:rFonts w:ascii="Arial" w:hAnsi="Arial" w:cs="Arial"/>
          <w:b/>
          <w:bCs/>
          <w:iCs/>
          <w:sz w:val="20"/>
          <w:szCs w:val="20"/>
        </w:rPr>
        <w:t>3.1</w:t>
      </w:r>
      <w:r w:rsidRPr="00FB0F04">
        <w:rPr>
          <w:rFonts w:ascii="Arial" w:hAnsi="Arial" w:cs="Arial"/>
          <w:b/>
          <w:bCs/>
          <w:iCs/>
          <w:sz w:val="20"/>
          <w:szCs w:val="20"/>
        </w:rPr>
        <w:t xml:space="preserve">% for </w:t>
      </w:r>
      <w:r w:rsidR="004C74CC">
        <w:rPr>
          <w:rFonts w:ascii="Arial" w:hAnsi="Arial" w:cs="Arial"/>
          <w:b/>
          <w:bCs/>
          <w:iCs/>
          <w:sz w:val="20"/>
          <w:szCs w:val="20"/>
        </w:rPr>
        <w:t>r</w:t>
      </w:r>
      <w:r>
        <w:rPr>
          <w:rFonts w:ascii="Arial" w:hAnsi="Arial" w:cs="Arial"/>
          <w:b/>
          <w:bCs/>
          <w:iCs/>
          <w:sz w:val="20"/>
          <w:szCs w:val="20"/>
        </w:rPr>
        <w:t xml:space="preserve">eal </w:t>
      </w:r>
      <w:r w:rsidR="004C74CC">
        <w:rPr>
          <w:rFonts w:ascii="Arial" w:hAnsi="Arial" w:cs="Arial"/>
          <w:b/>
          <w:bCs/>
          <w:iCs/>
          <w:sz w:val="20"/>
          <w:szCs w:val="20"/>
        </w:rPr>
        <w:t>e</w:t>
      </w:r>
      <w:r>
        <w:rPr>
          <w:rFonts w:ascii="Arial" w:hAnsi="Arial" w:cs="Arial"/>
          <w:b/>
          <w:bCs/>
          <w:iCs/>
          <w:sz w:val="20"/>
          <w:szCs w:val="20"/>
        </w:rPr>
        <w:t>state to -0.4%</w:t>
      </w:r>
      <w:r w:rsidRPr="00FB0F04">
        <w:rPr>
          <w:rFonts w:ascii="Arial" w:hAnsi="Arial" w:cs="Arial"/>
          <w:b/>
          <w:bCs/>
          <w:iCs/>
          <w:sz w:val="20"/>
          <w:szCs w:val="20"/>
        </w:rPr>
        <w:t xml:space="preserve"> for utilities.</w:t>
      </w:r>
      <w:r w:rsidR="00CA260E">
        <w:rPr>
          <w:rFonts w:ascii="Arial" w:hAnsi="Arial" w:cs="Arial"/>
          <w:b/>
          <w:bCs/>
          <w:iCs/>
          <w:sz w:val="20"/>
          <w:szCs w:val="20"/>
        </w:rPr>
        <w:t xml:space="preserve">  </w:t>
      </w:r>
      <w:r w:rsidR="00A15B59" w:rsidRPr="004C74CC">
        <w:rPr>
          <w:rFonts w:ascii="Arial" w:hAnsi="Arial" w:cs="Arial"/>
          <w:iCs/>
          <w:sz w:val="20"/>
          <w:szCs w:val="20"/>
        </w:rPr>
        <w:t>Real estate</w:t>
      </w:r>
      <w:r w:rsidR="00CA260E">
        <w:rPr>
          <w:rFonts w:ascii="Arial" w:hAnsi="Arial" w:cs="Arial"/>
          <w:iCs/>
          <w:sz w:val="20"/>
          <w:szCs w:val="20"/>
        </w:rPr>
        <w:t xml:space="preserve"> continued its climb</w:t>
      </w:r>
      <w:r w:rsidRPr="00DF0A6C">
        <w:rPr>
          <w:rFonts w:ascii="Arial" w:hAnsi="Arial" w:cs="Arial"/>
          <w:iCs/>
          <w:sz w:val="20"/>
          <w:szCs w:val="20"/>
        </w:rPr>
        <w:t xml:space="preserve"> </w:t>
      </w:r>
      <w:r w:rsidR="00CA260E">
        <w:rPr>
          <w:rFonts w:ascii="Arial" w:hAnsi="Arial" w:cs="Arial"/>
          <w:iCs/>
          <w:sz w:val="20"/>
          <w:szCs w:val="20"/>
        </w:rPr>
        <w:t xml:space="preserve">benefiting </w:t>
      </w:r>
      <w:r w:rsidRPr="00DF0A6C">
        <w:rPr>
          <w:rFonts w:ascii="Arial" w:hAnsi="Arial" w:cs="Arial"/>
          <w:iCs/>
          <w:sz w:val="20"/>
          <w:szCs w:val="20"/>
        </w:rPr>
        <w:t>from the re-openings across the country</w:t>
      </w:r>
      <w:r w:rsidR="004C74CC">
        <w:rPr>
          <w:rFonts w:ascii="Arial" w:hAnsi="Arial" w:cs="Arial"/>
          <w:iCs/>
          <w:sz w:val="20"/>
          <w:szCs w:val="20"/>
        </w:rPr>
        <w:t xml:space="preserve">.  </w:t>
      </w:r>
      <w:r w:rsidR="005D098B">
        <w:rPr>
          <w:rFonts w:ascii="Arial" w:hAnsi="Arial" w:cs="Arial"/>
          <w:iCs/>
          <w:sz w:val="20"/>
          <w:szCs w:val="20"/>
        </w:rPr>
        <w:t>Energy was the third best performing sector which gained 11.3%, as Brent crude oil prices crossed $75 per barrel for the first time since 2018</w:t>
      </w:r>
      <w:r w:rsidR="005D098B">
        <w:rPr>
          <w:rStyle w:val="EndnoteReference"/>
          <w:rFonts w:ascii="Arial" w:hAnsi="Arial" w:cs="Arial"/>
          <w:iCs/>
          <w:sz w:val="20"/>
          <w:szCs w:val="20"/>
        </w:rPr>
        <w:endnoteReference w:id="4"/>
      </w:r>
      <w:r w:rsidR="005D098B">
        <w:rPr>
          <w:rFonts w:ascii="Arial" w:hAnsi="Arial" w:cs="Arial"/>
          <w:iCs/>
          <w:sz w:val="20"/>
          <w:szCs w:val="20"/>
        </w:rPr>
        <w:t>. Energy remains the top performing sector for the year, up 45.6% as oil prices commensurately climbed 50% in 2021</w:t>
      </w:r>
      <w:r w:rsidR="0068795F">
        <w:rPr>
          <w:rFonts w:ascii="Arial" w:hAnsi="Arial" w:cs="Arial"/>
          <w:iCs/>
          <w:sz w:val="20"/>
          <w:szCs w:val="20"/>
        </w:rPr>
        <w:t>.</w:t>
      </w:r>
      <w:r w:rsidR="00C86D58">
        <w:rPr>
          <w:rFonts w:ascii="Arial" w:hAnsi="Arial" w:cs="Arial"/>
          <w:iCs/>
          <w:sz w:val="20"/>
          <w:szCs w:val="20"/>
        </w:rPr>
        <w:t xml:space="preserve">  Finally,</w:t>
      </w:r>
      <w:r w:rsidR="0068795F">
        <w:rPr>
          <w:rFonts w:ascii="Arial" w:hAnsi="Arial" w:cs="Arial"/>
          <w:iCs/>
          <w:sz w:val="20"/>
          <w:szCs w:val="20"/>
        </w:rPr>
        <w:t xml:space="preserve"> th</w:t>
      </w:r>
      <w:r w:rsidR="00C86D58">
        <w:rPr>
          <w:rFonts w:ascii="Arial" w:hAnsi="Arial" w:cs="Arial"/>
          <w:iCs/>
          <w:sz w:val="20"/>
          <w:szCs w:val="20"/>
        </w:rPr>
        <w:t>e strong e</w:t>
      </w:r>
      <w:r w:rsidR="00C86D58" w:rsidRPr="00C86D58">
        <w:rPr>
          <w:rFonts w:ascii="Arial" w:hAnsi="Arial" w:cs="Arial"/>
          <w:iCs/>
          <w:sz w:val="20"/>
          <w:szCs w:val="20"/>
        </w:rPr>
        <w:t xml:space="preserve">conomic recovery </w:t>
      </w:r>
      <w:r w:rsidR="00C86D58">
        <w:rPr>
          <w:rFonts w:ascii="Arial" w:hAnsi="Arial" w:cs="Arial"/>
          <w:iCs/>
          <w:sz w:val="20"/>
          <w:szCs w:val="20"/>
        </w:rPr>
        <w:t xml:space="preserve">made a traditionally defensive sector like utilities less attractive </w:t>
      </w:r>
      <w:r w:rsidR="00C86D58" w:rsidRPr="00C86D58">
        <w:rPr>
          <w:rFonts w:ascii="Arial" w:hAnsi="Arial" w:cs="Arial"/>
          <w:iCs/>
          <w:sz w:val="20"/>
          <w:szCs w:val="20"/>
        </w:rPr>
        <w:t>relative to other sectors</w:t>
      </w:r>
      <w:r w:rsidR="00C86D58">
        <w:rPr>
          <w:rFonts w:ascii="Arial" w:hAnsi="Arial" w:cs="Arial"/>
          <w:iCs/>
          <w:sz w:val="20"/>
          <w:szCs w:val="20"/>
        </w:rPr>
        <w:t xml:space="preserve"> </w:t>
      </w:r>
      <w:r w:rsidR="0097743B">
        <w:rPr>
          <w:rFonts w:ascii="Arial" w:hAnsi="Arial" w:cs="Arial"/>
          <w:iCs/>
          <w:sz w:val="20"/>
          <w:szCs w:val="20"/>
        </w:rPr>
        <w:t xml:space="preserve">and </w:t>
      </w:r>
      <w:r w:rsidR="00C86D58">
        <w:rPr>
          <w:rFonts w:ascii="Arial" w:hAnsi="Arial" w:cs="Arial"/>
          <w:iCs/>
          <w:sz w:val="20"/>
          <w:szCs w:val="20"/>
        </w:rPr>
        <w:t>lost -0.4%</w:t>
      </w:r>
    </w:p>
    <w:p w14:paraId="53E2FE62" w14:textId="4461A1C4" w:rsidR="00CA2A62" w:rsidRPr="00EE60FE" w:rsidRDefault="00CA2A62" w:rsidP="00C86D58">
      <w:pPr>
        <w:pStyle w:val="ListParagraph"/>
        <w:ind w:left="1440"/>
        <w:rPr>
          <w:rFonts w:ascii="Arial" w:hAnsi="Arial" w:cs="Arial"/>
          <w:iCs/>
          <w:sz w:val="20"/>
          <w:szCs w:val="20"/>
        </w:rPr>
      </w:pPr>
    </w:p>
    <w:p w14:paraId="5053C113" w14:textId="4A5523C5" w:rsidR="002E5339" w:rsidRPr="002E5339" w:rsidRDefault="002E5339" w:rsidP="00F94060">
      <w:pPr>
        <w:pStyle w:val="ListParagraph"/>
        <w:numPr>
          <w:ilvl w:val="0"/>
          <w:numId w:val="3"/>
        </w:numPr>
        <w:rPr>
          <w:rFonts w:ascii="Arial" w:hAnsi="Arial" w:cs="Arial"/>
          <w:iCs/>
          <w:sz w:val="20"/>
          <w:szCs w:val="20"/>
        </w:rPr>
      </w:pPr>
      <w:r w:rsidRPr="002E5339">
        <w:rPr>
          <w:rFonts w:ascii="Arial" w:hAnsi="Arial" w:cs="Arial"/>
          <w:b/>
          <w:bCs/>
          <w:iCs/>
          <w:sz w:val="20"/>
          <w:szCs w:val="20"/>
        </w:rPr>
        <w:t>The outperformance of</w:t>
      </w:r>
      <w:r w:rsidR="00702373">
        <w:rPr>
          <w:rFonts w:ascii="Arial" w:hAnsi="Arial" w:cs="Arial"/>
          <w:b/>
          <w:bCs/>
          <w:iCs/>
          <w:sz w:val="20"/>
          <w:szCs w:val="20"/>
        </w:rPr>
        <w:t xml:space="preserve"> economically sensitive</w:t>
      </w:r>
      <w:r w:rsidRPr="002E5339">
        <w:rPr>
          <w:rFonts w:ascii="Arial" w:hAnsi="Arial" w:cs="Arial"/>
          <w:b/>
          <w:bCs/>
          <w:iCs/>
          <w:sz w:val="20"/>
          <w:szCs w:val="20"/>
        </w:rPr>
        <w:t xml:space="preserve"> value stocks that dominated the market since the news of an effective vaccine</w:t>
      </w:r>
      <w:r w:rsidR="001D3BE8">
        <w:rPr>
          <w:rFonts w:ascii="Arial" w:hAnsi="Arial" w:cs="Arial"/>
          <w:b/>
          <w:bCs/>
          <w:iCs/>
          <w:sz w:val="20"/>
          <w:szCs w:val="20"/>
        </w:rPr>
        <w:t xml:space="preserve"> in late 2020</w:t>
      </w:r>
      <w:r w:rsidRPr="002E5339">
        <w:rPr>
          <w:rFonts w:ascii="Arial" w:hAnsi="Arial" w:cs="Arial"/>
          <w:b/>
          <w:bCs/>
          <w:iCs/>
          <w:sz w:val="20"/>
          <w:szCs w:val="20"/>
        </w:rPr>
        <w:t xml:space="preserve"> </w:t>
      </w:r>
      <w:r>
        <w:rPr>
          <w:rFonts w:ascii="Arial" w:hAnsi="Arial" w:cs="Arial"/>
          <w:b/>
          <w:bCs/>
          <w:iCs/>
          <w:sz w:val="20"/>
          <w:szCs w:val="20"/>
        </w:rPr>
        <w:t xml:space="preserve">reversed course </w:t>
      </w:r>
      <w:r w:rsidRPr="002E5339">
        <w:rPr>
          <w:rFonts w:ascii="Arial" w:hAnsi="Arial" w:cs="Arial"/>
          <w:b/>
          <w:bCs/>
          <w:iCs/>
          <w:sz w:val="20"/>
          <w:szCs w:val="20"/>
        </w:rPr>
        <w:t xml:space="preserve">in the second quarter. </w:t>
      </w:r>
      <w:r w:rsidRPr="002E5339">
        <w:rPr>
          <w:rFonts w:ascii="Arial" w:hAnsi="Arial" w:cs="Arial"/>
          <w:iCs/>
          <w:sz w:val="20"/>
          <w:szCs w:val="20"/>
        </w:rPr>
        <w:t xml:space="preserve">Growth stocks outperformed value </w:t>
      </w:r>
      <w:r w:rsidR="00085ABF">
        <w:rPr>
          <w:rFonts w:ascii="Arial" w:hAnsi="Arial" w:cs="Arial"/>
          <w:iCs/>
          <w:sz w:val="20"/>
          <w:szCs w:val="20"/>
        </w:rPr>
        <w:t xml:space="preserve">stocks </w:t>
      </w:r>
      <w:r w:rsidRPr="002E5339">
        <w:rPr>
          <w:rFonts w:ascii="Arial" w:hAnsi="Arial" w:cs="Arial"/>
          <w:iCs/>
          <w:sz w:val="20"/>
          <w:szCs w:val="20"/>
        </w:rPr>
        <w:t>as technology shares surged on falling</w:t>
      </w:r>
      <w:r w:rsidR="00702373">
        <w:rPr>
          <w:rFonts w:ascii="Arial" w:hAnsi="Arial" w:cs="Arial"/>
          <w:iCs/>
          <w:sz w:val="20"/>
          <w:szCs w:val="20"/>
        </w:rPr>
        <w:t xml:space="preserve"> interest</w:t>
      </w:r>
      <w:r w:rsidRPr="002E5339">
        <w:rPr>
          <w:rFonts w:ascii="Arial" w:hAnsi="Arial" w:cs="Arial"/>
          <w:iCs/>
          <w:sz w:val="20"/>
          <w:szCs w:val="20"/>
        </w:rPr>
        <w:t xml:space="preserve"> rates and better earnings expectations. For the quarter, large- and mid-cap growth stocks beat their value counterparts, but small-cap value still led small-cap growth</w:t>
      </w:r>
      <w:r w:rsidR="00156C65">
        <w:rPr>
          <w:rFonts w:ascii="Arial" w:hAnsi="Arial" w:cs="Arial"/>
          <w:iCs/>
          <w:sz w:val="20"/>
          <w:szCs w:val="20"/>
        </w:rPr>
        <w:t>.</w:t>
      </w:r>
    </w:p>
    <w:p w14:paraId="3822CA92" w14:textId="77777777" w:rsidR="002E5339" w:rsidRPr="002E5339" w:rsidRDefault="002E5339" w:rsidP="002E5339">
      <w:pPr>
        <w:pStyle w:val="ListParagraph"/>
        <w:rPr>
          <w:rFonts w:ascii="Arial" w:hAnsi="Arial" w:cs="Arial"/>
          <w:b/>
          <w:bCs/>
          <w:iCs/>
          <w:sz w:val="20"/>
          <w:szCs w:val="20"/>
        </w:rPr>
      </w:pPr>
    </w:p>
    <w:p w14:paraId="73045D4F" w14:textId="2D89FC37" w:rsidR="00203FA8" w:rsidRPr="002E5339" w:rsidRDefault="00203FA8" w:rsidP="00F94060">
      <w:pPr>
        <w:pStyle w:val="ListParagraph"/>
        <w:numPr>
          <w:ilvl w:val="0"/>
          <w:numId w:val="3"/>
        </w:numPr>
        <w:rPr>
          <w:rFonts w:ascii="Arial" w:hAnsi="Arial" w:cs="Arial"/>
          <w:b/>
          <w:bCs/>
          <w:iCs/>
          <w:sz w:val="20"/>
          <w:szCs w:val="20"/>
        </w:rPr>
      </w:pPr>
      <w:r w:rsidRPr="002E5339">
        <w:rPr>
          <w:rFonts w:ascii="Arial" w:hAnsi="Arial" w:cs="Arial"/>
          <w:b/>
          <w:bCs/>
          <w:iCs/>
          <w:sz w:val="20"/>
          <w:szCs w:val="20"/>
        </w:rPr>
        <w:t xml:space="preserve">In the bond market, after the Federal Reserve acknowledged it was on watch for inflation, the yield of the 10-year Treasury note </w:t>
      </w:r>
      <w:r w:rsidR="00324B21" w:rsidRPr="002E5339">
        <w:rPr>
          <w:rFonts w:ascii="Arial" w:hAnsi="Arial" w:cs="Arial"/>
          <w:b/>
          <w:bCs/>
          <w:iCs/>
          <w:sz w:val="20"/>
          <w:szCs w:val="20"/>
        </w:rPr>
        <w:t xml:space="preserve">fell </w:t>
      </w:r>
      <w:r w:rsidRPr="002E5339">
        <w:rPr>
          <w:rFonts w:ascii="Arial" w:hAnsi="Arial" w:cs="Arial"/>
          <w:b/>
          <w:bCs/>
          <w:iCs/>
          <w:sz w:val="20"/>
          <w:szCs w:val="20"/>
        </w:rPr>
        <w:t>30 basis points to 1.45% from a high of 1.74% in March</w:t>
      </w:r>
      <w:r w:rsidR="009A7096">
        <w:rPr>
          <w:rStyle w:val="EndnoteReference"/>
          <w:rFonts w:ascii="Arial" w:hAnsi="Arial" w:cs="Arial"/>
          <w:b/>
          <w:bCs/>
          <w:iCs/>
          <w:sz w:val="20"/>
          <w:szCs w:val="20"/>
        </w:rPr>
        <w:endnoteReference w:id="5"/>
      </w:r>
      <w:r w:rsidRPr="002E5339">
        <w:rPr>
          <w:rFonts w:ascii="Arial" w:hAnsi="Arial" w:cs="Arial"/>
          <w:b/>
          <w:bCs/>
          <w:iCs/>
          <w:sz w:val="20"/>
          <w:szCs w:val="20"/>
        </w:rPr>
        <w:t xml:space="preserve">.  </w:t>
      </w:r>
      <w:r w:rsidRPr="002E5339">
        <w:rPr>
          <w:rFonts w:ascii="Arial" w:hAnsi="Arial" w:cs="Arial"/>
          <w:iCs/>
          <w:sz w:val="20"/>
          <w:szCs w:val="20"/>
        </w:rPr>
        <w:t xml:space="preserve">As </w:t>
      </w:r>
      <w:r w:rsidR="002E5339" w:rsidRPr="002E5339">
        <w:rPr>
          <w:rFonts w:ascii="Arial" w:hAnsi="Arial" w:cs="Arial"/>
          <w:iCs/>
          <w:sz w:val="20"/>
          <w:szCs w:val="20"/>
        </w:rPr>
        <w:t>rates</w:t>
      </w:r>
      <w:r w:rsidRPr="002E5339">
        <w:rPr>
          <w:rFonts w:ascii="Arial" w:hAnsi="Arial" w:cs="Arial"/>
          <w:iCs/>
          <w:sz w:val="20"/>
          <w:szCs w:val="20"/>
        </w:rPr>
        <w:t xml:space="preserve"> fell US bonds gained 1.8% during the quarter but </w:t>
      </w:r>
      <w:r w:rsidR="00324B21" w:rsidRPr="002E5339">
        <w:rPr>
          <w:rFonts w:ascii="Arial" w:hAnsi="Arial" w:cs="Arial"/>
          <w:iCs/>
          <w:sz w:val="20"/>
          <w:szCs w:val="20"/>
        </w:rPr>
        <w:t xml:space="preserve">was unable to reverse the losses from prior quarter and </w:t>
      </w:r>
      <w:r w:rsidRPr="002E5339">
        <w:rPr>
          <w:rFonts w:ascii="Arial" w:hAnsi="Arial" w:cs="Arial"/>
          <w:iCs/>
          <w:sz w:val="20"/>
          <w:szCs w:val="20"/>
        </w:rPr>
        <w:t xml:space="preserve">remains </w:t>
      </w:r>
      <w:r w:rsidR="00805B99" w:rsidRPr="002E5339">
        <w:rPr>
          <w:rFonts w:ascii="Arial" w:hAnsi="Arial" w:cs="Arial"/>
          <w:iCs/>
          <w:sz w:val="20"/>
          <w:szCs w:val="20"/>
        </w:rPr>
        <w:t>negative (</w:t>
      </w:r>
      <w:r w:rsidRPr="002E5339">
        <w:rPr>
          <w:rFonts w:ascii="Arial" w:hAnsi="Arial" w:cs="Arial"/>
          <w:iCs/>
          <w:sz w:val="20"/>
          <w:szCs w:val="20"/>
        </w:rPr>
        <w:t>-1.6%</w:t>
      </w:r>
      <w:r w:rsidR="00805B99" w:rsidRPr="002E5339">
        <w:rPr>
          <w:rFonts w:ascii="Arial" w:hAnsi="Arial" w:cs="Arial"/>
          <w:iCs/>
          <w:sz w:val="20"/>
          <w:szCs w:val="20"/>
        </w:rPr>
        <w:t>)</w:t>
      </w:r>
      <w:r w:rsidRPr="002E5339">
        <w:rPr>
          <w:rFonts w:ascii="Arial" w:hAnsi="Arial" w:cs="Arial"/>
          <w:iCs/>
          <w:sz w:val="20"/>
          <w:szCs w:val="20"/>
        </w:rPr>
        <w:t xml:space="preserve"> for the year.  High-yield bonds </w:t>
      </w:r>
      <w:r w:rsidR="00805B99" w:rsidRPr="002E5339">
        <w:rPr>
          <w:rFonts w:ascii="Arial" w:hAnsi="Arial" w:cs="Arial"/>
          <w:iCs/>
          <w:sz w:val="20"/>
          <w:szCs w:val="20"/>
        </w:rPr>
        <w:t>gained 2.7% for the quarter and 3.6% for the year and continues</w:t>
      </w:r>
      <w:r w:rsidRPr="002E5339">
        <w:rPr>
          <w:rFonts w:ascii="Arial" w:hAnsi="Arial" w:cs="Arial"/>
          <w:iCs/>
          <w:sz w:val="20"/>
          <w:szCs w:val="20"/>
        </w:rPr>
        <w:t xml:space="preserve"> to outpace government and corporate bonds.</w:t>
      </w:r>
    </w:p>
    <w:p w14:paraId="3C422F6F" w14:textId="77777777" w:rsidR="00805B99" w:rsidRPr="00203FA8" w:rsidRDefault="00805B99" w:rsidP="00805B99">
      <w:pPr>
        <w:pStyle w:val="ListParagraph"/>
        <w:ind w:left="1440"/>
        <w:rPr>
          <w:rFonts w:ascii="Arial" w:hAnsi="Arial" w:cs="Arial"/>
          <w:b/>
          <w:bCs/>
          <w:iCs/>
          <w:sz w:val="20"/>
          <w:szCs w:val="20"/>
        </w:rPr>
      </w:pPr>
    </w:p>
    <w:p w14:paraId="607859C8" w14:textId="2F32B8B0" w:rsidR="00934AC9" w:rsidRPr="00413355" w:rsidRDefault="00367858" w:rsidP="0088431C">
      <w:pPr>
        <w:pStyle w:val="ListParagraph"/>
        <w:numPr>
          <w:ilvl w:val="0"/>
          <w:numId w:val="3"/>
        </w:numPr>
        <w:contextualSpacing w:val="0"/>
        <w:rPr>
          <w:rFonts w:ascii="Arial" w:hAnsi="Arial" w:cs="Arial"/>
          <w:sz w:val="20"/>
          <w:szCs w:val="20"/>
        </w:rPr>
      </w:pPr>
      <w:r w:rsidRPr="00413355">
        <w:rPr>
          <w:rFonts w:ascii="Arial" w:hAnsi="Arial" w:cs="Arial"/>
          <w:b/>
          <w:bCs/>
          <w:iCs/>
          <w:sz w:val="20"/>
          <w:szCs w:val="20"/>
        </w:rPr>
        <w:t xml:space="preserve">REITs </w:t>
      </w:r>
      <w:r w:rsidR="003348C1" w:rsidRPr="00413355">
        <w:rPr>
          <w:rFonts w:ascii="Arial" w:hAnsi="Arial" w:cs="Arial"/>
          <w:b/>
          <w:bCs/>
          <w:iCs/>
          <w:sz w:val="20"/>
          <w:szCs w:val="20"/>
        </w:rPr>
        <w:t>continued its climb</w:t>
      </w:r>
      <w:r w:rsidR="006D25C2" w:rsidRPr="00413355">
        <w:rPr>
          <w:rFonts w:ascii="Arial" w:hAnsi="Arial" w:cs="Arial"/>
          <w:b/>
          <w:bCs/>
          <w:iCs/>
          <w:sz w:val="20"/>
          <w:szCs w:val="20"/>
        </w:rPr>
        <w:t xml:space="preserve">, returning </w:t>
      </w:r>
      <w:r w:rsidR="003348C1" w:rsidRPr="00413355">
        <w:rPr>
          <w:rFonts w:ascii="Arial" w:hAnsi="Arial" w:cs="Arial"/>
          <w:b/>
          <w:bCs/>
          <w:iCs/>
          <w:sz w:val="20"/>
          <w:szCs w:val="20"/>
        </w:rPr>
        <w:t>12</w:t>
      </w:r>
      <w:r w:rsidR="00A720C3" w:rsidRPr="00413355">
        <w:rPr>
          <w:rFonts w:ascii="Arial" w:hAnsi="Arial" w:cs="Arial"/>
          <w:b/>
          <w:bCs/>
          <w:iCs/>
          <w:sz w:val="20"/>
          <w:szCs w:val="20"/>
        </w:rPr>
        <w:t>%</w:t>
      </w:r>
      <w:r w:rsidR="00F16212" w:rsidRPr="00413355">
        <w:rPr>
          <w:rFonts w:ascii="Arial" w:hAnsi="Arial" w:cs="Arial"/>
          <w:b/>
          <w:bCs/>
          <w:iCs/>
          <w:sz w:val="20"/>
          <w:szCs w:val="20"/>
        </w:rPr>
        <w:t xml:space="preserve"> </w:t>
      </w:r>
      <w:r w:rsidR="00A720C3" w:rsidRPr="00413355">
        <w:rPr>
          <w:rFonts w:ascii="Arial" w:hAnsi="Arial" w:cs="Arial"/>
          <w:b/>
          <w:bCs/>
          <w:iCs/>
          <w:sz w:val="20"/>
          <w:szCs w:val="20"/>
        </w:rPr>
        <w:t xml:space="preserve">for the quarter and 21.3% for the year.  </w:t>
      </w:r>
      <w:r w:rsidR="00413355" w:rsidRPr="00413355">
        <w:rPr>
          <w:rFonts w:ascii="Arial" w:hAnsi="Arial" w:cs="Arial"/>
          <w:b/>
          <w:bCs/>
          <w:iCs/>
          <w:sz w:val="20"/>
          <w:szCs w:val="20"/>
        </w:rPr>
        <w:t>Commodities also gained 13.3% in the second quarter, led by energy which was up 23% for the quarter.</w:t>
      </w:r>
      <w:r w:rsidR="00413355" w:rsidRPr="00413355">
        <w:rPr>
          <w:rFonts w:ascii="Arial" w:hAnsi="Arial" w:cs="Arial"/>
          <w:iCs/>
          <w:sz w:val="20"/>
          <w:szCs w:val="20"/>
        </w:rPr>
        <w:t xml:space="preserve"> Inflation concerns also led gold and silver higher by 3.5%, and 6.2% respectively for the quarter.</w:t>
      </w:r>
      <w:r w:rsidR="00413355">
        <w:rPr>
          <w:rFonts w:ascii="Arial" w:hAnsi="Arial" w:cs="Arial"/>
          <w:iCs/>
          <w:sz w:val="20"/>
          <w:szCs w:val="20"/>
        </w:rPr>
        <w:t xml:space="preserve">  However, gold remains down -7% for the year.  In REITS, </w:t>
      </w:r>
      <w:proofErr w:type="gramStart"/>
      <w:r w:rsidR="00413355">
        <w:rPr>
          <w:rFonts w:ascii="Arial" w:hAnsi="Arial" w:cs="Arial"/>
          <w:iCs/>
          <w:sz w:val="20"/>
          <w:szCs w:val="20"/>
        </w:rPr>
        <w:t>with the exception of</w:t>
      </w:r>
      <w:proofErr w:type="gramEnd"/>
      <w:r w:rsidR="00413355">
        <w:rPr>
          <w:rFonts w:ascii="Arial" w:hAnsi="Arial" w:cs="Arial"/>
          <w:iCs/>
          <w:sz w:val="20"/>
          <w:szCs w:val="20"/>
        </w:rPr>
        <w:t xml:space="preserve"> hotels, all other</w:t>
      </w:r>
      <w:r w:rsidR="00413355">
        <w:rPr>
          <w:rFonts w:ascii="Arial" w:hAnsi="Arial" w:cs="Arial"/>
          <w:sz w:val="20"/>
          <w:szCs w:val="20"/>
        </w:rPr>
        <w:t xml:space="preserve"> </w:t>
      </w:r>
      <w:r w:rsidR="003D2327" w:rsidRPr="00413355">
        <w:rPr>
          <w:rFonts w:ascii="Arial" w:hAnsi="Arial" w:cs="Arial"/>
          <w:sz w:val="20"/>
          <w:szCs w:val="20"/>
        </w:rPr>
        <w:t xml:space="preserve">REIT sectors </w:t>
      </w:r>
      <w:r w:rsidR="005A26B5" w:rsidRPr="00413355">
        <w:rPr>
          <w:rFonts w:ascii="Arial" w:hAnsi="Arial" w:cs="Arial"/>
          <w:sz w:val="20"/>
          <w:szCs w:val="20"/>
        </w:rPr>
        <w:t xml:space="preserve">saw positive returns with </w:t>
      </w:r>
      <w:r w:rsidR="00413355">
        <w:rPr>
          <w:rFonts w:ascii="Arial" w:hAnsi="Arial" w:cs="Arial"/>
          <w:sz w:val="20"/>
          <w:szCs w:val="20"/>
        </w:rPr>
        <w:t>self-storage</w:t>
      </w:r>
      <w:r w:rsidR="005A26B5" w:rsidRPr="00413355">
        <w:rPr>
          <w:rFonts w:ascii="Arial" w:hAnsi="Arial" w:cs="Arial"/>
          <w:sz w:val="20"/>
          <w:szCs w:val="20"/>
        </w:rPr>
        <w:t xml:space="preserve"> up </w:t>
      </w:r>
      <w:r w:rsidR="00413355">
        <w:rPr>
          <w:rFonts w:ascii="Arial" w:hAnsi="Arial" w:cs="Arial"/>
          <w:sz w:val="20"/>
          <w:szCs w:val="20"/>
        </w:rPr>
        <w:t>nearly 24%</w:t>
      </w:r>
      <w:r w:rsidR="005A26B5" w:rsidRPr="00413355">
        <w:rPr>
          <w:rFonts w:ascii="Arial" w:hAnsi="Arial" w:cs="Arial"/>
          <w:sz w:val="20"/>
          <w:szCs w:val="20"/>
        </w:rPr>
        <w:t xml:space="preserve"> for the quarter</w:t>
      </w:r>
      <w:r w:rsidR="00B56C04" w:rsidRPr="00413355">
        <w:rPr>
          <w:rFonts w:ascii="Arial" w:hAnsi="Arial" w:cs="Arial"/>
          <w:sz w:val="20"/>
          <w:szCs w:val="20"/>
        </w:rPr>
        <w:t xml:space="preserve">.  </w:t>
      </w:r>
    </w:p>
    <w:p w14:paraId="52A629D1" w14:textId="760DCAEA" w:rsidR="00140F12" w:rsidRDefault="00140F12" w:rsidP="00D17BCA">
      <w:pPr>
        <w:ind w:left="-720" w:right="-720"/>
        <w:rPr>
          <w:rFonts w:ascii="Arial" w:hAnsi="Arial" w:cs="Arial"/>
          <w:color w:val="343433"/>
          <w:sz w:val="21"/>
        </w:rPr>
        <w:sectPr w:rsidR="00140F12" w:rsidSect="00397AF7">
          <w:endnotePr>
            <w:numFmt w:val="decimal"/>
          </w:endnotePr>
          <w:type w:val="continuous"/>
          <w:pgSz w:w="12240" w:h="15840"/>
          <w:pgMar w:top="-1659" w:right="1440" w:bottom="1518" w:left="1440" w:header="720" w:footer="720" w:gutter="0"/>
          <w:cols w:space="720"/>
          <w:titlePg/>
          <w:docGrid w:linePitch="360"/>
        </w:sectPr>
      </w:pPr>
    </w:p>
    <w:p w14:paraId="012838C9" w14:textId="77777777" w:rsidR="004915F5" w:rsidRDefault="004915F5" w:rsidP="00140F12">
      <w:pPr>
        <w:spacing w:after="120"/>
        <w:ind w:left="-720" w:right="-720"/>
        <w:rPr>
          <w:rFonts w:ascii="Arial" w:hAnsi="Arial" w:cs="Arial"/>
          <w:color w:val="343433"/>
          <w:sz w:val="21"/>
        </w:rPr>
      </w:pPr>
    </w:p>
    <w:p w14:paraId="379DB21C" w14:textId="77777777" w:rsidR="004915F5" w:rsidRDefault="004915F5" w:rsidP="00140F12">
      <w:pPr>
        <w:spacing w:after="120"/>
        <w:ind w:left="-720" w:right="-720"/>
        <w:rPr>
          <w:rFonts w:ascii="Arial" w:hAnsi="Arial" w:cs="Arial"/>
          <w:color w:val="343433"/>
          <w:sz w:val="21"/>
        </w:rPr>
      </w:pPr>
    </w:p>
    <w:p w14:paraId="4B4A08F5" w14:textId="7F17301D" w:rsidR="009F65E5" w:rsidRPr="0040163B" w:rsidRDefault="008F63B8" w:rsidP="00140F12">
      <w:pPr>
        <w:spacing w:after="120"/>
        <w:ind w:left="-720" w:right="-720"/>
        <w:rPr>
          <w:rFonts w:ascii="Arial" w:hAnsi="Arial" w:cs="Arial"/>
          <w:color w:val="343433"/>
          <w:sz w:val="21"/>
        </w:rPr>
      </w:pPr>
      <w:r>
        <w:rPr>
          <w:rFonts w:ascii="Arial" w:hAnsi="Arial" w:cs="Arial"/>
          <w:color w:val="343433"/>
          <w:sz w:val="21"/>
        </w:rPr>
        <w:t>Asset classes are represented by the following indexes:</w:t>
      </w:r>
    </w:p>
    <w:tbl>
      <w:tblPr>
        <w:tblStyle w:val="TableGrid"/>
        <w:tblW w:w="10795" w:type="dxa"/>
        <w:tblInd w:w="-720" w:type="dxa"/>
        <w:tblLook w:val="04A0" w:firstRow="1" w:lastRow="0" w:firstColumn="1" w:lastColumn="0" w:noHBand="0" w:noVBand="1"/>
      </w:tblPr>
      <w:tblGrid>
        <w:gridCol w:w="1615"/>
        <w:gridCol w:w="9180"/>
      </w:tblGrid>
      <w:tr w:rsidR="002226E5" w14:paraId="1C4EF1F0"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55D03EAD" w14:textId="53B402B1" w:rsidR="002226E5" w:rsidRDefault="002226E5" w:rsidP="002226E5">
            <w:pPr>
              <w:spacing w:after="160"/>
              <w:rPr>
                <w:rFonts w:ascii="Arial" w:hAnsi="Arial" w:cs="Arial"/>
                <w:b/>
                <w:color w:val="343433"/>
                <w:sz w:val="16"/>
                <w:szCs w:val="17"/>
              </w:rPr>
            </w:pPr>
            <w:r>
              <w:rPr>
                <w:rFonts w:ascii="Arial" w:hAnsi="Arial" w:cs="Arial"/>
                <w:b/>
                <w:color w:val="343433"/>
                <w:sz w:val="16"/>
                <w:szCs w:val="17"/>
              </w:rPr>
              <w:t>US Equities</w:t>
            </w:r>
          </w:p>
        </w:tc>
        <w:tc>
          <w:tcPr>
            <w:tcW w:w="9180" w:type="dxa"/>
            <w:tcBorders>
              <w:top w:val="single" w:sz="4" w:space="0" w:color="E7E6E6"/>
              <w:left w:val="single" w:sz="4" w:space="0" w:color="E7E6E6"/>
              <w:bottom w:val="single" w:sz="4" w:space="0" w:color="E7E6E6"/>
              <w:right w:val="single" w:sz="4" w:space="0" w:color="E7E6E6"/>
            </w:tcBorders>
          </w:tcPr>
          <w:p w14:paraId="31015CB9" w14:textId="3BD81EDC" w:rsidR="002226E5" w:rsidRPr="0040163B" w:rsidRDefault="002226E5" w:rsidP="002226E5">
            <w:pPr>
              <w:spacing w:after="120"/>
              <w:rPr>
                <w:rFonts w:ascii="Arial" w:hAnsi="Arial" w:cs="Arial"/>
                <w:b/>
                <w:color w:val="343433"/>
                <w:sz w:val="16"/>
                <w:szCs w:val="17"/>
              </w:rPr>
            </w:pPr>
            <w:r w:rsidRPr="0040163B">
              <w:rPr>
                <w:rFonts w:ascii="Arial" w:hAnsi="Arial" w:cs="Arial"/>
                <w:b/>
                <w:color w:val="343433"/>
                <w:sz w:val="16"/>
                <w:szCs w:val="17"/>
              </w:rPr>
              <w:t>S&amp;P 500</w:t>
            </w:r>
            <w:r w:rsidRPr="0040163B">
              <w:rPr>
                <w:rFonts w:ascii="Arial" w:hAnsi="Arial" w:cs="Arial"/>
                <w:color w:val="343433"/>
                <w:sz w:val="16"/>
                <w:szCs w:val="17"/>
              </w:rPr>
              <w:t xml:space="preserve"> </w:t>
            </w:r>
            <w:r>
              <w:rPr>
                <w:rFonts w:ascii="Arial" w:hAnsi="Arial" w:cs="Arial"/>
                <w:color w:val="343433"/>
                <w:sz w:val="16"/>
                <w:szCs w:val="17"/>
              </w:rPr>
              <w:t>–</w:t>
            </w:r>
            <w:r w:rsidRPr="0040163B">
              <w:rPr>
                <w:rFonts w:ascii="Arial" w:hAnsi="Arial" w:cs="Arial"/>
                <w:color w:val="343433"/>
                <w:sz w:val="16"/>
                <w:szCs w:val="17"/>
              </w:rPr>
              <w:t xml:space="preserve"> </w:t>
            </w:r>
            <w:r>
              <w:rPr>
                <w:rFonts w:ascii="Arial" w:hAnsi="Arial" w:cs="Arial"/>
                <w:color w:val="343433"/>
                <w:sz w:val="16"/>
                <w:szCs w:val="17"/>
              </w:rPr>
              <w:t>is a</w:t>
            </w:r>
            <w:r w:rsidRPr="0040163B">
              <w:rPr>
                <w:rFonts w:ascii="Arial" w:hAnsi="Arial" w:cs="Arial"/>
                <w:color w:val="343433"/>
                <w:sz w:val="16"/>
                <w:szCs w:val="17"/>
              </w:rPr>
              <w:t xml:space="preserve">n unmanaged index that is generally considered representative of the US equity market, consisting of 500 leading companies in leading industries of the US economy (typically large cap companies) representing approximately 75% of the investable US equity market. </w:t>
            </w:r>
          </w:p>
        </w:tc>
      </w:tr>
      <w:tr w:rsidR="002226E5" w14:paraId="20B2C35A"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1BA437AA" w14:textId="47CBCA34" w:rsidR="002226E5" w:rsidRDefault="002226E5" w:rsidP="002226E5">
            <w:pPr>
              <w:spacing w:after="160"/>
              <w:rPr>
                <w:rFonts w:ascii="Arial" w:hAnsi="Arial" w:cs="Arial"/>
                <w:b/>
                <w:color w:val="343433"/>
                <w:sz w:val="16"/>
                <w:szCs w:val="17"/>
              </w:rPr>
            </w:pPr>
            <w:r>
              <w:rPr>
                <w:rFonts w:ascii="Arial" w:hAnsi="Arial" w:cs="Arial"/>
                <w:b/>
                <w:color w:val="343433"/>
                <w:sz w:val="16"/>
                <w:szCs w:val="17"/>
              </w:rPr>
              <w:t>International Equities</w:t>
            </w:r>
          </w:p>
        </w:tc>
        <w:tc>
          <w:tcPr>
            <w:tcW w:w="9180" w:type="dxa"/>
            <w:tcBorders>
              <w:top w:val="single" w:sz="4" w:space="0" w:color="E7E6E6"/>
              <w:left w:val="single" w:sz="4" w:space="0" w:color="E7E6E6"/>
              <w:bottom w:val="single" w:sz="4" w:space="0" w:color="E7E6E6"/>
              <w:right w:val="single" w:sz="4" w:space="0" w:color="E7E6E6"/>
            </w:tcBorders>
          </w:tcPr>
          <w:p w14:paraId="05F8466F" w14:textId="701916FD" w:rsidR="002226E5" w:rsidRPr="0040163B" w:rsidRDefault="002226E5" w:rsidP="002226E5">
            <w:pPr>
              <w:spacing w:after="120"/>
              <w:rPr>
                <w:rFonts w:ascii="Arial" w:hAnsi="Arial" w:cs="Arial"/>
                <w:b/>
                <w:color w:val="343433"/>
                <w:sz w:val="16"/>
                <w:szCs w:val="17"/>
              </w:rPr>
            </w:pPr>
            <w:r w:rsidRPr="0040163B">
              <w:rPr>
                <w:rFonts w:ascii="Arial" w:hAnsi="Arial" w:cs="Arial"/>
                <w:b/>
                <w:color w:val="343433"/>
                <w:sz w:val="16"/>
                <w:szCs w:val="17"/>
              </w:rPr>
              <w:t>MSCI EAFE</w:t>
            </w:r>
            <w:r w:rsidRPr="0040163B">
              <w:rPr>
                <w:rFonts w:ascii="Arial" w:hAnsi="Arial" w:cs="Arial"/>
                <w:color w:val="343433"/>
                <w:sz w:val="16"/>
                <w:szCs w:val="17"/>
              </w:rPr>
              <w:t xml:space="preserve"> </w:t>
            </w:r>
            <w:r>
              <w:rPr>
                <w:rFonts w:ascii="Arial" w:hAnsi="Arial" w:cs="Arial"/>
                <w:color w:val="343433"/>
                <w:sz w:val="16"/>
                <w:szCs w:val="17"/>
              </w:rPr>
              <w:t>–</w:t>
            </w:r>
            <w:r w:rsidRPr="0040163B">
              <w:rPr>
                <w:rFonts w:ascii="Arial" w:hAnsi="Arial" w:cs="Arial"/>
                <w:color w:val="343433"/>
                <w:sz w:val="16"/>
                <w:szCs w:val="17"/>
              </w:rPr>
              <w:t xml:space="preserve"> </w:t>
            </w:r>
            <w:r>
              <w:rPr>
                <w:rFonts w:ascii="Arial" w:hAnsi="Arial" w:cs="Arial"/>
                <w:color w:val="343433"/>
                <w:sz w:val="16"/>
                <w:szCs w:val="17"/>
              </w:rPr>
              <w:t>is a</w:t>
            </w:r>
            <w:r w:rsidRPr="0040163B">
              <w:rPr>
                <w:rFonts w:ascii="Arial" w:hAnsi="Arial" w:cs="Arial"/>
                <w:color w:val="343433"/>
                <w:sz w:val="16"/>
                <w:szCs w:val="17"/>
              </w:rPr>
              <w:t xml:space="preserve"> free float-adjusted market capitalization weighted index that is designed to measure the equity market performance of countries considered to represent developed markets, excluding the U.S. and Canada. </w:t>
            </w:r>
          </w:p>
        </w:tc>
      </w:tr>
      <w:tr w:rsidR="002226E5" w14:paraId="0CD05564"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04FD21ED" w14:textId="75AA362D" w:rsidR="002226E5" w:rsidRDefault="002226E5" w:rsidP="002226E5">
            <w:pPr>
              <w:spacing w:after="160"/>
              <w:rPr>
                <w:rFonts w:ascii="Arial" w:hAnsi="Arial" w:cs="Arial"/>
                <w:b/>
                <w:color w:val="343433"/>
                <w:sz w:val="16"/>
                <w:szCs w:val="17"/>
              </w:rPr>
            </w:pPr>
            <w:r>
              <w:rPr>
                <w:rFonts w:ascii="Arial" w:hAnsi="Arial" w:cs="Arial"/>
                <w:b/>
                <w:color w:val="343433"/>
                <w:sz w:val="16"/>
                <w:szCs w:val="17"/>
              </w:rPr>
              <w:t>Emerging Markets Equities</w:t>
            </w:r>
          </w:p>
        </w:tc>
        <w:tc>
          <w:tcPr>
            <w:tcW w:w="9180" w:type="dxa"/>
            <w:tcBorders>
              <w:top w:val="single" w:sz="4" w:space="0" w:color="E7E6E6"/>
              <w:left w:val="single" w:sz="4" w:space="0" w:color="E7E6E6"/>
              <w:bottom w:val="single" w:sz="4" w:space="0" w:color="E7E6E6"/>
              <w:right w:val="single" w:sz="4" w:space="0" w:color="E7E6E6"/>
            </w:tcBorders>
          </w:tcPr>
          <w:p w14:paraId="7E0B267C" w14:textId="1DED65EB" w:rsidR="002226E5" w:rsidRPr="0040163B" w:rsidRDefault="002226E5" w:rsidP="002226E5">
            <w:pPr>
              <w:spacing w:after="120"/>
              <w:rPr>
                <w:rFonts w:ascii="Arial" w:hAnsi="Arial" w:cs="Arial"/>
                <w:b/>
                <w:color w:val="343433"/>
                <w:sz w:val="16"/>
                <w:szCs w:val="17"/>
              </w:rPr>
            </w:pPr>
            <w:r w:rsidRPr="0040163B">
              <w:rPr>
                <w:rFonts w:ascii="Arial" w:hAnsi="Arial" w:cs="Arial"/>
                <w:b/>
                <w:color w:val="343433"/>
                <w:sz w:val="16"/>
                <w:szCs w:val="17"/>
              </w:rPr>
              <w:t>MSCI Emerging Markets</w:t>
            </w:r>
            <w:r w:rsidRPr="0040163B">
              <w:rPr>
                <w:rFonts w:ascii="Arial" w:hAnsi="Arial" w:cs="Arial"/>
                <w:color w:val="343433"/>
                <w:sz w:val="16"/>
                <w:szCs w:val="17"/>
              </w:rPr>
              <w:t xml:space="preserve"> </w:t>
            </w:r>
            <w:r>
              <w:rPr>
                <w:rFonts w:ascii="Arial" w:hAnsi="Arial" w:cs="Arial"/>
                <w:color w:val="343433"/>
                <w:sz w:val="16"/>
                <w:szCs w:val="17"/>
              </w:rPr>
              <w:t>–</w:t>
            </w:r>
            <w:r w:rsidRPr="0040163B">
              <w:rPr>
                <w:rFonts w:ascii="Arial" w:hAnsi="Arial" w:cs="Arial"/>
                <w:color w:val="343433"/>
                <w:sz w:val="16"/>
                <w:szCs w:val="17"/>
              </w:rPr>
              <w:t xml:space="preserve"> </w:t>
            </w:r>
            <w:r>
              <w:rPr>
                <w:rFonts w:ascii="Arial" w:hAnsi="Arial" w:cs="Arial"/>
                <w:color w:val="343433"/>
                <w:sz w:val="16"/>
                <w:szCs w:val="17"/>
              </w:rPr>
              <w:t>is a</w:t>
            </w:r>
            <w:r w:rsidRPr="0040163B">
              <w:rPr>
                <w:rFonts w:ascii="Arial" w:hAnsi="Arial" w:cs="Arial"/>
                <w:color w:val="343433"/>
                <w:sz w:val="16"/>
                <w:szCs w:val="17"/>
              </w:rPr>
              <w:t xml:space="preserve"> free float-adjusted, market capitalization index that is designed to measure the equity market performance of countries considered to represent emerging markets</w:t>
            </w:r>
            <w:r>
              <w:rPr>
                <w:rFonts w:ascii="Arial" w:hAnsi="Arial" w:cs="Arial"/>
                <w:color w:val="343433"/>
                <w:sz w:val="16"/>
                <w:szCs w:val="17"/>
              </w:rPr>
              <w:t>.</w:t>
            </w:r>
          </w:p>
        </w:tc>
      </w:tr>
      <w:tr w:rsidR="002226E5" w14:paraId="2BF00A1F"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2F689800" w14:textId="0090FEA4" w:rsidR="002226E5" w:rsidRDefault="002226E5" w:rsidP="002226E5">
            <w:pPr>
              <w:spacing w:after="160"/>
              <w:rPr>
                <w:rFonts w:ascii="Arial" w:hAnsi="Arial" w:cs="Arial"/>
                <w:b/>
                <w:color w:val="343433"/>
                <w:sz w:val="16"/>
                <w:szCs w:val="17"/>
              </w:rPr>
            </w:pPr>
            <w:r>
              <w:rPr>
                <w:rFonts w:ascii="Arial" w:hAnsi="Arial" w:cs="Arial"/>
                <w:b/>
                <w:color w:val="343433"/>
                <w:sz w:val="16"/>
                <w:szCs w:val="17"/>
              </w:rPr>
              <w:t>US Bonds</w:t>
            </w:r>
          </w:p>
        </w:tc>
        <w:tc>
          <w:tcPr>
            <w:tcW w:w="9180" w:type="dxa"/>
            <w:tcBorders>
              <w:top w:val="single" w:sz="4" w:space="0" w:color="E7E6E6"/>
              <w:left w:val="single" w:sz="4" w:space="0" w:color="E7E6E6"/>
              <w:bottom w:val="single" w:sz="4" w:space="0" w:color="E7E6E6"/>
              <w:right w:val="single" w:sz="4" w:space="0" w:color="E7E6E6"/>
            </w:tcBorders>
          </w:tcPr>
          <w:p w14:paraId="5A9BF417" w14:textId="55858C87" w:rsidR="002226E5" w:rsidRPr="0040163B" w:rsidRDefault="002226E5" w:rsidP="002226E5">
            <w:pPr>
              <w:spacing w:after="120"/>
              <w:rPr>
                <w:rFonts w:ascii="Arial" w:hAnsi="Arial" w:cs="Arial"/>
                <w:b/>
                <w:color w:val="343433"/>
                <w:sz w:val="16"/>
                <w:szCs w:val="17"/>
              </w:rPr>
            </w:pPr>
            <w:r>
              <w:rPr>
                <w:rFonts w:ascii="Arial" w:hAnsi="Arial" w:cs="Arial"/>
                <w:b/>
                <w:color w:val="343433"/>
                <w:sz w:val="16"/>
                <w:szCs w:val="17"/>
              </w:rPr>
              <w:t xml:space="preserve">Barclays US Aggregate — </w:t>
            </w:r>
            <w:r>
              <w:rPr>
                <w:rFonts w:ascii="Arial" w:hAnsi="Arial" w:cs="Arial"/>
                <w:color w:val="343433"/>
                <w:sz w:val="16"/>
                <w:szCs w:val="17"/>
              </w:rPr>
              <w:t xml:space="preserve">measures the market of USD-denominated, investment grade, fixed-rate taxable bond market of SEC-registered securities, including bonds from the Treasury, government-related, corporate, mortgage-backed securities </w:t>
            </w:r>
            <w:r>
              <w:rPr>
                <w:rFonts w:ascii="Arial" w:hAnsi="Arial" w:cs="Arial"/>
                <w:color w:val="343433"/>
                <w:sz w:val="16"/>
                <w:szCs w:val="17"/>
              </w:rPr>
              <w:lastRenderedPageBreak/>
              <w:t xml:space="preserve">(agency fixed-rate and hybrid ARM passthroughs), ABS and CMBS sectors. US Agency Hybrid Adjustable Rate Mortgage (ARM) securities were added to the US Aggregate Index on April 1, 2007. </w:t>
            </w:r>
          </w:p>
        </w:tc>
      </w:tr>
      <w:tr w:rsidR="002226E5" w14:paraId="563AD8AD"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724671F2" w14:textId="1458C919" w:rsidR="002226E5" w:rsidRDefault="002226E5" w:rsidP="002226E5">
            <w:pPr>
              <w:spacing w:after="160"/>
              <w:rPr>
                <w:rFonts w:ascii="Arial" w:hAnsi="Arial" w:cs="Arial"/>
                <w:b/>
                <w:color w:val="343433"/>
                <w:sz w:val="16"/>
                <w:szCs w:val="17"/>
              </w:rPr>
            </w:pPr>
            <w:r>
              <w:rPr>
                <w:rFonts w:ascii="Arial" w:hAnsi="Arial" w:cs="Arial"/>
                <w:b/>
                <w:color w:val="343433"/>
                <w:sz w:val="16"/>
                <w:szCs w:val="17"/>
              </w:rPr>
              <w:lastRenderedPageBreak/>
              <w:t>International Bonds</w:t>
            </w:r>
          </w:p>
        </w:tc>
        <w:tc>
          <w:tcPr>
            <w:tcW w:w="9180" w:type="dxa"/>
            <w:tcBorders>
              <w:top w:val="single" w:sz="4" w:space="0" w:color="E7E6E6"/>
              <w:left w:val="single" w:sz="4" w:space="0" w:color="E7E6E6"/>
              <w:bottom w:val="single" w:sz="4" w:space="0" w:color="E7E6E6"/>
              <w:right w:val="single" w:sz="4" w:space="0" w:color="E7E6E6"/>
            </w:tcBorders>
          </w:tcPr>
          <w:p w14:paraId="138E540B" w14:textId="608F5EAF" w:rsidR="002226E5" w:rsidRPr="005C0619" w:rsidRDefault="002226E5" w:rsidP="002226E5">
            <w:pPr>
              <w:spacing w:after="120"/>
              <w:rPr>
                <w:rFonts w:ascii="Arial" w:hAnsi="Arial" w:cs="Arial"/>
                <w:color w:val="343433"/>
                <w:sz w:val="16"/>
                <w:szCs w:val="17"/>
              </w:rPr>
            </w:pPr>
            <w:r w:rsidRPr="0040163B">
              <w:rPr>
                <w:rFonts w:ascii="Arial" w:hAnsi="Arial" w:cs="Arial"/>
                <w:b/>
                <w:color w:val="343433"/>
                <w:sz w:val="16"/>
                <w:szCs w:val="17"/>
              </w:rPr>
              <w:t>Bloomberg Barclays Global Aggregate ex USD</w:t>
            </w:r>
            <w:r w:rsidRPr="0040163B">
              <w:rPr>
                <w:rFonts w:ascii="Arial" w:hAnsi="Arial" w:cs="Arial"/>
                <w:color w:val="343433"/>
                <w:sz w:val="16"/>
                <w:szCs w:val="17"/>
              </w:rPr>
              <w:t xml:space="preserve"> - is a flagship hard currency Emerg</w:t>
            </w:r>
            <w:r>
              <w:rPr>
                <w:rFonts w:ascii="Arial" w:hAnsi="Arial" w:cs="Arial"/>
                <w:color w:val="343433"/>
                <w:sz w:val="16"/>
                <w:szCs w:val="17"/>
              </w:rPr>
              <w:t>ing</w:t>
            </w:r>
            <w:r w:rsidRPr="0040163B">
              <w:rPr>
                <w:rFonts w:ascii="Arial" w:hAnsi="Arial" w:cs="Arial"/>
                <w:color w:val="343433"/>
                <w:sz w:val="16"/>
                <w:szCs w:val="17"/>
              </w:rPr>
              <w:t xml:space="preserve"> Markets debt benchmark that includes fixed and floating-rate US dollar-denominated debt issued from sovereign, quasi-sovereign, and corporate EM issuers. Country eligibility and classification as Emerging Markets is rules-based and reviewed annually using World Bank income group and International Monetary Fund (IMF) country classification.</w:t>
            </w:r>
          </w:p>
        </w:tc>
      </w:tr>
      <w:tr w:rsidR="002226E5" w14:paraId="660109FC"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2A9744E8" w14:textId="392555CC" w:rsidR="002226E5" w:rsidRDefault="002226E5" w:rsidP="002226E5">
            <w:pPr>
              <w:spacing w:after="160"/>
              <w:rPr>
                <w:rFonts w:ascii="Arial" w:hAnsi="Arial" w:cs="Arial"/>
                <w:b/>
                <w:color w:val="343433"/>
                <w:sz w:val="16"/>
                <w:szCs w:val="17"/>
              </w:rPr>
            </w:pPr>
            <w:r>
              <w:rPr>
                <w:rFonts w:ascii="Arial" w:hAnsi="Arial" w:cs="Arial"/>
                <w:b/>
                <w:color w:val="343433"/>
                <w:sz w:val="16"/>
                <w:szCs w:val="17"/>
              </w:rPr>
              <w:t>Emerging Markets Bonds</w:t>
            </w:r>
          </w:p>
        </w:tc>
        <w:tc>
          <w:tcPr>
            <w:tcW w:w="9180" w:type="dxa"/>
            <w:tcBorders>
              <w:top w:val="single" w:sz="4" w:space="0" w:color="E7E6E6"/>
              <w:left w:val="single" w:sz="4" w:space="0" w:color="E7E6E6"/>
              <w:bottom w:val="single" w:sz="4" w:space="0" w:color="E7E6E6"/>
              <w:right w:val="single" w:sz="4" w:space="0" w:color="E7E6E6"/>
            </w:tcBorders>
          </w:tcPr>
          <w:p w14:paraId="083B4CE1" w14:textId="68595663" w:rsidR="002226E5" w:rsidRPr="00D17BCA" w:rsidRDefault="002226E5" w:rsidP="002226E5">
            <w:pPr>
              <w:spacing w:after="160"/>
              <w:rPr>
                <w:rFonts w:ascii="Arial" w:hAnsi="Arial" w:cs="Arial"/>
                <w:color w:val="343433"/>
                <w:sz w:val="16"/>
                <w:szCs w:val="17"/>
              </w:rPr>
            </w:pPr>
            <w:r w:rsidRPr="0040163B">
              <w:rPr>
                <w:rFonts w:ascii="Arial" w:hAnsi="Arial" w:cs="Arial"/>
                <w:b/>
                <w:color w:val="343433"/>
                <w:sz w:val="16"/>
                <w:szCs w:val="17"/>
              </w:rPr>
              <w:t>Bloomberg Barclays Emerging Markets USD Aggregate</w:t>
            </w:r>
            <w:r w:rsidRPr="0040163B">
              <w:rPr>
                <w:rFonts w:ascii="Arial" w:hAnsi="Arial" w:cs="Arial"/>
                <w:color w:val="343433"/>
                <w:sz w:val="16"/>
                <w:szCs w:val="17"/>
              </w:rPr>
              <w:t xml:space="preserve"> - is a </w:t>
            </w:r>
            <w:r>
              <w:rPr>
                <w:rFonts w:ascii="Arial" w:hAnsi="Arial" w:cs="Arial"/>
                <w:color w:val="343433"/>
                <w:sz w:val="16"/>
                <w:szCs w:val="17"/>
              </w:rPr>
              <w:t>flagship hard currency Emerging</w:t>
            </w:r>
            <w:r w:rsidRPr="0040163B">
              <w:rPr>
                <w:rFonts w:ascii="Arial" w:hAnsi="Arial" w:cs="Arial"/>
                <w:color w:val="343433"/>
                <w:sz w:val="16"/>
                <w:szCs w:val="17"/>
              </w:rPr>
              <w:t xml:space="preserve"> Markets debt benchmark that includes fixed and floating-rate US dollar-denominated debt issued from sovereign, quasi-sovereign, and corporate EM issuers. Country eligibility and classification as Emerging Markets is rules-based and reviewed annually using World Bank income group and International Monetary Fund (IMF) country classification.</w:t>
            </w:r>
          </w:p>
        </w:tc>
      </w:tr>
      <w:tr w:rsidR="001C2475" w14:paraId="2231EF2E"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50E8F5DE" w14:textId="5A92C28E" w:rsidR="001C2475" w:rsidRPr="002C384C" w:rsidRDefault="001C2475" w:rsidP="001C2475">
            <w:pPr>
              <w:spacing w:after="160"/>
              <w:rPr>
                <w:rFonts w:ascii="Arial" w:hAnsi="Arial" w:cs="Arial"/>
                <w:b/>
                <w:color w:val="343433"/>
                <w:sz w:val="16"/>
                <w:szCs w:val="17"/>
              </w:rPr>
            </w:pPr>
            <w:r>
              <w:rPr>
                <w:rFonts w:ascii="Arial" w:hAnsi="Arial" w:cs="Arial"/>
                <w:b/>
                <w:color w:val="343433"/>
                <w:sz w:val="16"/>
                <w:szCs w:val="17"/>
              </w:rPr>
              <w:t>Small Caps</w:t>
            </w:r>
          </w:p>
        </w:tc>
        <w:tc>
          <w:tcPr>
            <w:tcW w:w="9180" w:type="dxa"/>
            <w:tcBorders>
              <w:top w:val="single" w:sz="4" w:space="0" w:color="E7E6E6"/>
              <w:left w:val="single" w:sz="4" w:space="0" w:color="E7E6E6"/>
              <w:bottom w:val="single" w:sz="4" w:space="0" w:color="E7E6E6"/>
              <w:right w:val="single" w:sz="4" w:space="0" w:color="E7E6E6"/>
            </w:tcBorders>
          </w:tcPr>
          <w:p w14:paraId="142D2004" w14:textId="1361F9C3" w:rsidR="001C2475" w:rsidRPr="002C384C" w:rsidRDefault="001C2475" w:rsidP="001C2475">
            <w:pPr>
              <w:spacing w:after="160"/>
              <w:rPr>
                <w:rFonts w:ascii="Arial" w:hAnsi="Arial" w:cs="Arial"/>
                <w:color w:val="000000"/>
                <w:sz w:val="16"/>
                <w:szCs w:val="16"/>
              </w:rPr>
            </w:pPr>
            <w:r w:rsidRPr="002C384C">
              <w:rPr>
                <w:rFonts w:ascii="Arial" w:hAnsi="Arial" w:cs="Arial"/>
                <w:b/>
                <w:color w:val="343433"/>
                <w:sz w:val="16"/>
                <w:szCs w:val="17"/>
              </w:rPr>
              <w:t xml:space="preserve">S&amp;P 600 </w:t>
            </w:r>
            <w:r w:rsidRPr="002C384C">
              <w:rPr>
                <w:rFonts w:ascii="Arial" w:hAnsi="Arial" w:cs="Arial"/>
                <w:b/>
                <w:color w:val="343433"/>
                <w:sz w:val="16"/>
                <w:szCs w:val="16"/>
              </w:rPr>
              <w:t xml:space="preserve">- </w:t>
            </w:r>
            <w:r w:rsidRPr="002C384C">
              <w:rPr>
                <w:rFonts w:ascii="Arial" w:hAnsi="Arial" w:cs="Arial"/>
                <w:color w:val="000000"/>
                <w:sz w:val="16"/>
                <w:szCs w:val="16"/>
              </w:rPr>
              <w:t>measures the performance of 600 small-sized companies in the U.S. Constituents generally have a market-cap between $400 million and $1.8 billion and meet criteria to ensure they are liquid and financially viable.</w:t>
            </w:r>
            <w:r w:rsidRPr="002C384C">
              <w:rPr>
                <w:rFonts w:ascii="Arial" w:hAnsi="Arial" w:cs="Arial"/>
                <w:color w:val="000000"/>
                <w:sz w:val="20"/>
                <w:szCs w:val="20"/>
              </w:rPr>
              <w:t xml:space="preserve"> </w:t>
            </w:r>
          </w:p>
        </w:tc>
      </w:tr>
      <w:tr w:rsidR="001C2475" w14:paraId="555C3268"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70B17440" w14:textId="15359990" w:rsidR="001C2475" w:rsidRPr="002C384C" w:rsidRDefault="00F93B24" w:rsidP="001C2475">
            <w:pPr>
              <w:spacing w:after="160"/>
              <w:rPr>
                <w:rFonts w:ascii="Arial" w:hAnsi="Arial" w:cs="Arial"/>
                <w:b/>
                <w:color w:val="343433"/>
                <w:sz w:val="16"/>
                <w:szCs w:val="17"/>
              </w:rPr>
            </w:pPr>
            <w:r>
              <w:rPr>
                <w:rFonts w:ascii="Arial" w:hAnsi="Arial" w:cs="Arial"/>
                <w:b/>
                <w:color w:val="343433"/>
                <w:sz w:val="16"/>
                <w:szCs w:val="17"/>
              </w:rPr>
              <w:t>Energy</w:t>
            </w:r>
          </w:p>
        </w:tc>
        <w:tc>
          <w:tcPr>
            <w:tcW w:w="9180" w:type="dxa"/>
            <w:tcBorders>
              <w:top w:val="single" w:sz="4" w:space="0" w:color="E7E6E6"/>
              <w:left w:val="single" w:sz="4" w:space="0" w:color="E7E6E6"/>
              <w:bottom w:val="single" w:sz="4" w:space="0" w:color="E7E6E6"/>
              <w:right w:val="single" w:sz="4" w:space="0" w:color="E7E6E6"/>
            </w:tcBorders>
          </w:tcPr>
          <w:p w14:paraId="62C5B276" w14:textId="27D39B08" w:rsidR="001C2475" w:rsidRPr="002C384C" w:rsidRDefault="00F93B24" w:rsidP="001C2475">
            <w:pPr>
              <w:spacing w:after="160"/>
              <w:rPr>
                <w:rFonts w:ascii="Arial" w:hAnsi="Arial" w:cs="Arial"/>
                <w:color w:val="000000"/>
                <w:sz w:val="16"/>
                <w:szCs w:val="16"/>
              </w:rPr>
            </w:pPr>
            <w:r w:rsidRPr="0086319B">
              <w:rPr>
                <w:rFonts w:ascii="Arial" w:hAnsi="Arial" w:cs="Arial"/>
                <w:b/>
                <w:color w:val="000000"/>
                <w:sz w:val="16"/>
                <w:szCs w:val="16"/>
              </w:rPr>
              <w:t>S&amp;P 500 Energy Sector</w:t>
            </w:r>
            <w:r w:rsidR="0086319B">
              <w:rPr>
                <w:rFonts w:ascii="Arial" w:hAnsi="Arial" w:cs="Arial"/>
                <w:color w:val="000000"/>
                <w:sz w:val="16"/>
                <w:szCs w:val="16"/>
              </w:rPr>
              <w:t xml:space="preserve"> -</w:t>
            </w:r>
            <w:r w:rsidR="0086319B" w:rsidRPr="0086319B">
              <w:rPr>
                <w:rFonts w:ascii="Arial" w:hAnsi="Arial" w:cs="Arial"/>
                <w:color w:val="000000"/>
                <w:sz w:val="16"/>
                <w:szCs w:val="16"/>
              </w:rPr>
              <w:t>measures the performance of companies in an array of diversified financial service firms, insurance, banks, capital markets, consumer finance and thrift companies.</w:t>
            </w:r>
          </w:p>
        </w:tc>
      </w:tr>
      <w:tr w:rsidR="00F93B24" w14:paraId="60267239"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44F360E3" w14:textId="46B1FE99" w:rsidR="00F93B24" w:rsidRPr="002C384C" w:rsidRDefault="00BD5DF5" w:rsidP="001C2475">
            <w:pPr>
              <w:spacing w:after="160"/>
              <w:rPr>
                <w:rFonts w:ascii="Arial" w:hAnsi="Arial" w:cs="Arial"/>
                <w:b/>
                <w:color w:val="343433"/>
                <w:sz w:val="16"/>
                <w:szCs w:val="17"/>
              </w:rPr>
            </w:pPr>
            <w:r>
              <w:rPr>
                <w:rFonts w:ascii="Arial" w:hAnsi="Arial" w:cs="Arial"/>
                <w:b/>
                <w:color w:val="343433"/>
                <w:sz w:val="16"/>
                <w:szCs w:val="17"/>
              </w:rPr>
              <w:t>Real Estate</w:t>
            </w:r>
          </w:p>
        </w:tc>
        <w:tc>
          <w:tcPr>
            <w:tcW w:w="9180" w:type="dxa"/>
            <w:tcBorders>
              <w:top w:val="single" w:sz="4" w:space="0" w:color="E7E6E6"/>
              <w:left w:val="single" w:sz="4" w:space="0" w:color="E7E6E6"/>
              <w:bottom w:val="single" w:sz="4" w:space="0" w:color="E7E6E6"/>
              <w:right w:val="single" w:sz="4" w:space="0" w:color="E7E6E6"/>
            </w:tcBorders>
          </w:tcPr>
          <w:p w14:paraId="47D8B862" w14:textId="4A99966F" w:rsidR="00F93B24" w:rsidRPr="002C384C" w:rsidRDefault="00BD5DF5" w:rsidP="001C2475">
            <w:pPr>
              <w:spacing w:after="160"/>
              <w:rPr>
                <w:rFonts w:ascii="Arial" w:hAnsi="Arial" w:cs="Arial"/>
                <w:color w:val="000000"/>
                <w:sz w:val="16"/>
                <w:szCs w:val="16"/>
              </w:rPr>
            </w:pPr>
            <w:r w:rsidRPr="00BD5DF5">
              <w:rPr>
                <w:rFonts w:ascii="Arial" w:hAnsi="Arial" w:cs="Arial"/>
                <w:b/>
                <w:color w:val="000000"/>
                <w:sz w:val="16"/>
                <w:szCs w:val="16"/>
              </w:rPr>
              <w:t>S&amp;P 500 Sector Real Estate</w:t>
            </w:r>
            <w:r>
              <w:rPr>
                <w:rFonts w:ascii="Arial" w:hAnsi="Arial" w:cs="Arial"/>
                <w:b/>
                <w:color w:val="000000"/>
                <w:sz w:val="16"/>
                <w:szCs w:val="16"/>
              </w:rPr>
              <w:t xml:space="preserve"> - </w:t>
            </w:r>
            <w:r w:rsidRPr="00BD5DF5">
              <w:rPr>
                <w:rFonts w:ascii="Arial" w:hAnsi="Arial" w:cs="Arial"/>
                <w:bCs/>
                <w:color w:val="000000"/>
                <w:sz w:val="16"/>
                <w:szCs w:val="16"/>
              </w:rPr>
              <w:t>measures the performance of companies from the following industries:  real estate management &amp; development and REITS, excluding mortgage REITS.</w:t>
            </w:r>
          </w:p>
        </w:tc>
      </w:tr>
      <w:tr w:rsidR="00F93B24" w14:paraId="55BBB1A9"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31F6983A" w14:textId="54239382" w:rsidR="00F93B24" w:rsidRPr="002C384C" w:rsidRDefault="00877654" w:rsidP="001C2475">
            <w:pPr>
              <w:spacing w:after="160"/>
              <w:rPr>
                <w:rFonts w:ascii="Arial" w:hAnsi="Arial" w:cs="Arial"/>
                <w:b/>
                <w:color w:val="343433"/>
                <w:sz w:val="16"/>
                <w:szCs w:val="17"/>
              </w:rPr>
            </w:pPr>
            <w:r>
              <w:rPr>
                <w:rFonts w:ascii="Arial" w:hAnsi="Arial" w:cs="Arial"/>
                <w:b/>
                <w:color w:val="343433"/>
                <w:sz w:val="16"/>
                <w:szCs w:val="17"/>
              </w:rPr>
              <w:t>Technology</w:t>
            </w:r>
          </w:p>
        </w:tc>
        <w:tc>
          <w:tcPr>
            <w:tcW w:w="9180" w:type="dxa"/>
            <w:tcBorders>
              <w:top w:val="single" w:sz="4" w:space="0" w:color="E7E6E6"/>
              <w:left w:val="single" w:sz="4" w:space="0" w:color="E7E6E6"/>
              <w:bottom w:val="single" w:sz="4" w:space="0" w:color="E7E6E6"/>
              <w:right w:val="single" w:sz="4" w:space="0" w:color="E7E6E6"/>
            </w:tcBorders>
          </w:tcPr>
          <w:p w14:paraId="5C3AC59B" w14:textId="51AEDD49" w:rsidR="00F93B24" w:rsidRPr="002C384C" w:rsidRDefault="00877654" w:rsidP="001C2475">
            <w:pPr>
              <w:spacing w:after="160"/>
              <w:rPr>
                <w:rFonts w:ascii="Arial" w:hAnsi="Arial" w:cs="Arial"/>
                <w:color w:val="000000"/>
                <w:sz w:val="16"/>
                <w:szCs w:val="16"/>
              </w:rPr>
            </w:pPr>
            <w:r w:rsidRPr="0086319B">
              <w:rPr>
                <w:rFonts w:ascii="Arial" w:hAnsi="Arial" w:cs="Arial"/>
                <w:b/>
                <w:color w:val="000000"/>
                <w:sz w:val="16"/>
                <w:szCs w:val="16"/>
              </w:rPr>
              <w:t>S&amp;P 500 Technology Sector</w:t>
            </w:r>
            <w:r w:rsidR="0086319B">
              <w:rPr>
                <w:rFonts w:ascii="Arial" w:hAnsi="Arial" w:cs="Arial"/>
                <w:color w:val="000000"/>
                <w:sz w:val="16"/>
                <w:szCs w:val="16"/>
              </w:rPr>
              <w:t xml:space="preserve"> - </w:t>
            </w:r>
            <w:r w:rsidR="0086319B" w:rsidRPr="0086319B">
              <w:rPr>
                <w:rFonts w:ascii="Arial" w:hAnsi="Arial" w:cs="Arial"/>
                <w:color w:val="000000"/>
                <w:sz w:val="16"/>
                <w:szCs w:val="16"/>
              </w:rPr>
              <w:t xml:space="preserve">measures the performance of companies that product, generate, transmit or distribute electricity, water or natural gas, </w:t>
            </w:r>
            <w:proofErr w:type="gramStart"/>
            <w:r w:rsidR="0086319B" w:rsidRPr="0086319B">
              <w:rPr>
                <w:rFonts w:ascii="Arial" w:hAnsi="Arial" w:cs="Arial"/>
                <w:color w:val="000000"/>
                <w:sz w:val="16"/>
                <w:szCs w:val="16"/>
              </w:rPr>
              <w:t>and also</w:t>
            </w:r>
            <w:proofErr w:type="gramEnd"/>
            <w:r w:rsidR="0086319B" w:rsidRPr="0086319B">
              <w:rPr>
                <w:rFonts w:ascii="Arial" w:hAnsi="Arial" w:cs="Arial"/>
                <w:color w:val="000000"/>
                <w:sz w:val="16"/>
                <w:szCs w:val="16"/>
              </w:rPr>
              <w:t xml:space="preserve"> includes power producers &amp; energy traders and companies that engage in generation and distribution of electricity using renewable sources.</w:t>
            </w:r>
          </w:p>
        </w:tc>
      </w:tr>
      <w:tr w:rsidR="00877654" w14:paraId="5564DFE3"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5B306A72" w14:textId="141F09E5" w:rsidR="00877654" w:rsidRPr="002C384C" w:rsidRDefault="00BD5DF5" w:rsidP="001C2475">
            <w:pPr>
              <w:spacing w:after="160"/>
              <w:rPr>
                <w:rFonts w:ascii="Arial" w:hAnsi="Arial" w:cs="Arial"/>
                <w:b/>
                <w:color w:val="343433"/>
                <w:sz w:val="16"/>
                <w:szCs w:val="17"/>
              </w:rPr>
            </w:pPr>
            <w:r>
              <w:rPr>
                <w:rFonts w:ascii="Arial" w:hAnsi="Arial" w:cs="Arial"/>
                <w:b/>
                <w:color w:val="343433"/>
                <w:sz w:val="16"/>
                <w:szCs w:val="17"/>
              </w:rPr>
              <w:t>Utilities</w:t>
            </w:r>
          </w:p>
        </w:tc>
        <w:tc>
          <w:tcPr>
            <w:tcW w:w="9180" w:type="dxa"/>
            <w:tcBorders>
              <w:top w:val="single" w:sz="4" w:space="0" w:color="E7E6E6"/>
              <w:left w:val="single" w:sz="4" w:space="0" w:color="E7E6E6"/>
              <w:bottom w:val="single" w:sz="4" w:space="0" w:color="E7E6E6"/>
              <w:right w:val="single" w:sz="4" w:space="0" w:color="E7E6E6"/>
            </w:tcBorders>
          </w:tcPr>
          <w:p w14:paraId="6B707C7E" w14:textId="31344A45" w:rsidR="00877654" w:rsidRPr="002C384C" w:rsidRDefault="00BD5DF5" w:rsidP="001C2475">
            <w:pPr>
              <w:spacing w:after="160"/>
              <w:rPr>
                <w:rFonts w:ascii="Arial" w:hAnsi="Arial" w:cs="Arial"/>
                <w:color w:val="000000"/>
                <w:sz w:val="16"/>
                <w:szCs w:val="16"/>
              </w:rPr>
            </w:pPr>
            <w:r w:rsidRPr="00BD5DF5">
              <w:rPr>
                <w:rFonts w:ascii="Arial" w:hAnsi="Arial" w:cs="Arial"/>
                <w:b/>
                <w:bCs/>
                <w:color w:val="000000"/>
                <w:sz w:val="16"/>
                <w:szCs w:val="16"/>
              </w:rPr>
              <w:t>S&amp;P 500 Sector Utilities</w:t>
            </w:r>
            <w:r>
              <w:rPr>
                <w:rFonts w:ascii="Arial" w:hAnsi="Arial" w:cs="Arial"/>
                <w:color w:val="000000"/>
                <w:sz w:val="16"/>
                <w:szCs w:val="16"/>
              </w:rPr>
              <w:t xml:space="preserve"> - </w:t>
            </w:r>
            <w:r w:rsidRPr="00BD5DF5">
              <w:rPr>
                <w:rFonts w:ascii="Arial" w:hAnsi="Arial" w:cs="Arial"/>
                <w:color w:val="000000"/>
                <w:sz w:val="16"/>
                <w:szCs w:val="16"/>
              </w:rPr>
              <w:t xml:space="preserve">measures the performance of companies that product, generate, transmit or distribute electricity, water or natural gas, </w:t>
            </w:r>
            <w:proofErr w:type="gramStart"/>
            <w:r w:rsidRPr="00BD5DF5">
              <w:rPr>
                <w:rFonts w:ascii="Arial" w:hAnsi="Arial" w:cs="Arial"/>
                <w:color w:val="000000"/>
                <w:sz w:val="16"/>
                <w:szCs w:val="16"/>
              </w:rPr>
              <w:t>and also</w:t>
            </w:r>
            <w:proofErr w:type="gramEnd"/>
            <w:r w:rsidRPr="00BD5DF5">
              <w:rPr>
                <w:rFonts w:ascii="Arial" w:hAnsi="Arial" w:cs="Arial"/>
                <w:color w:val="000000"/>
                <w:sz w:val="16"/>
                <w:szCs w:val="16"/>
              </w:rPr>
              <w:t xml:space="preserve"> includes power producers &amp; energy traders and companies that engage in generation and distribution of electricity using renewable sources.</w:t>
            </w:r>
          </w:p>
        </w:tc>
      </w:tr>
      <w:tr w:rsidR="001C2475" w14:paraId="31E3E4AB"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1DB0D773" w14:textId="2B855185" w:rsidR="001C2475" w:rsidRPr="002C384C" w:rsidRDefault="001C1491" w:rsidP="001C2475">
            <w:pPr>
              <w:spacing w:after="160"/>
              <w:rPr>
                <w:rFonts w:ascii="Arial" w:hAnsi="Arial" w:cs="Arial"/>
                <w:b/>
                <w:color w:val="343433"/>
                <w:sz w:val="16"/>
                <w:szCs w:val="17"/>
              </w:rPr>
            </w:pPr>
            <w:r>
              <w:rPr>
                <w:rFonts w:ascii="Arial" w:hAnsi="Arial" w:cs="Arial"/>
                <w:b/>
                <w:color w:val="343433"/>
                <w:sz w:val="16"/>
                <w:szCs w:val="17"/>
              </w:rPr>
              <w:t>EM Latin Am</w:t>
            </w:r>
            <w:r w:rsidR="00383327">
              <w:rPr>
                <w:rFonts w:ascii="Arial" w:hAnsi="Arial" w:cs="Arial"/>
                <w:b/>
                <w:color w:val="343433"/>
                <w:sz w:val="16"/>
                <w:szCs w:val="17"/>
              </w:rPr>
              <w:t>e</w:t>
            </w:r>
            <w:r>
              <w:rPr>
                <w:rFonts w:ascii="Arial" w:hAnsi="Arial" w:cs="Arial"/>
                <w:b/>
                <w:color w:val="343433"/>
                <w:sz w:val="16"/>
                <w:szCs w:val="17"/>
              </w:rPr>
              <w:t>rica</w:t>
            </w:r>
          </w:p>
        </w:tc>
        <w:tc>
          <w:tcPr>
            <w:tcW w:w="9180" w:type="dxa"/>
            <w:tcBorders>
              <w:top w:val="single" w:sz="4" w:space="0" w:color="E7E6E6"/>
              <w:left w:val="single" w:sz="4" w:space="0" w:color="E7E6E6"/>
              <w:bottom w:val="single" w:sz="4" w:space="0" w:color="E7E6E6"/>
              <w:right w:val="single" w:sz="4" w:space="0" w:color="E7E6E6"/>
            </w:tcBorders>
          </w:tcPr>
          <w:p w14:paraId="2446241B" w14:textId="5CDEC0F1" w:rsidR="001C2475" w:rsidRPr="002C384C" w:rsidRDefault="001C1491" w:rsidP="001C2475">
            <w:pPr>
              <w:spacing w:after="160"/>
              <w:rPr>
                <w:rFonts w:ascii="Arial" w:hAnsi="Arial" w:cs="Arial"/>
                <w:color w:val="000000"/>
                <w:sz w:val="20"/>
                <w:szCs w:val="20"/>
              </w:rPr>
            </w:pPr>
            <w:r w:rsidRPr="00BE5212">
              <w:rPr>
                <w:rFonts w:ascii="Arial" w:hAnsi="Arial" w:cs="Arial"/>
                <w:color w:val="000000"/>
                <w:sz w:val="16"/>
                <w:szCs w:val="16"/>
              </w:rPr>
              <w:t xml:space="preserve">MSCI </w:t>
            </w:r>
            <w:r w:rsidR="00383327" w:rsidRPr="00BE5212">
              <w:rPr>
                <w:rFonts w:ascii="Arial" w:hAnsi="Arial" w:cs="Arial"/>
                <w:color w:val="000000"/>
                <w:sz w:val="16"/>
                <w:szCs w:val="16"/>
              </w:rPr>
              <w:t>Emerging Markets Latin America</w:t>
            </w:r>
            <w:r w:rsidR="0086319B">
              <w:rPr>
                <w:rFonts w:ascii="Arial" w:hAnsi="Arial" w:cs="Arial"/>
                <w:color w:val="000000"/>
                <w:sz w:val="16"/>
                <w:szCs w:val="16"/>
              </w:rPr>
              <w:t xml:space="preserve"> - </w:t>
            </w:r>
            <w:r w:rsidR="0086319B" w:rsidRPr="0086319B">
              <w:rPr>
                <w:rFonts w:ascii="Arial" w:hAnsi="Arial" w:cs="Arial"/>
                <w:color w:val="000000"/>
                <w:sz w:val="16"/>
                <w:szCs w:val="16"/>
              </w:rPr>
              <w:t xml:space="preserve">measures the performance of USD-denominated, investment-grade, fixed-rate taxable bond market of SEC-registered securities.  The index includes Treasury bonds, Government-related Corporate, MBS (agency fixed-rate and hybrid ARM pass-throughs), ABS and CMBS sectors.  </w:t>
            </w:r>
          </w:p>
        </w:tc>
      </w:tr>
      <w:tr w:rsidR="001C2475" w14:paraId="5B051311"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0EC84B31" w14:textId="45BA4173" w:rsidR="001C2475" w:rsidRPr="002C384C" w:rsidRDefault="001C2475" w:rsidP="001C2475">
            <w:pPr>
              <w:spacing w:after="160"/>
              <w:rPr>
                <w:rFonts w:ascii="Arial" w:hAnsi="Arial" w:cs="Arial"/>
                <w:b/>
                <w:color w:val="343433"/>
                <w:sz w:val="16"/>
                <w:szCs w:val="17"/>
              </w:rPr>
            </w:pPr>
            <w:r>
              <w:rPr>
                <w:rFonts w:ascii="Arial" w:hAnsi="Arial" w:cs="Arial"/>
                <w:b/>
                <w:color w:val="343433"/>
                <w:sz w:val="16"/>
                <w:szCs w:val="17"/>
              </w:rPr>
              <w:t>China</w:t>
            </w:r>
          </w:p>
        </w:tc>
        <w:tc>
          <w:tcPr>
            <w:tcW w:w="9180" w:type="dxa"/>
            <w:tcBorders>
              <w:top w:val="single" w:sz="4" w:space="0" w:color="E7E6E6"/>
              <w:left w:val="single" w:sz="4" w:space="0" w:color="E7E6E6"/>
              <w:bottom w:val="single" w:sz="4" w:space="0" w:color="E7E6E6"/>
              <w:right w:val="single" w:sz="4" w:space="0" w:color="E7E6E6"/>
            </w:tcBorders>
          </w:tcPr>
          <w:p w14:paraId="34F94CD3" w14:textId="5E048FE2" w:rsidR="001C2475" w:rsidRPr="002C384C" w:rsidRDefault="001C2475" w:rsidP="001C2475">
            <w:pPr>
              <w:spacing w:after="160"/>
              <w:rPr>
                <w:rFonts w:ascii="Arial" w:hAnsi="Arial" w:cs="Arial"/>
                <w:b/>
                <w:color w:val="343433"/>
                <w:sz w:val="16"/>
                <w:szCs w:val="17"/>
              </w:rPr>
            </w:pPr>
            <w:r>
              <w:rPr>
                <w:rFonts w:ascii="Arial" w:hAnsi="Arial" w:cs="Arial"/>
                <w:b/>
                <w:color w:val="343433"/>
                <w:sz w:val="16"/>
                <w:szCs w:val="17"/>
              </w:rPr>
              <w:t>MSCI China</w:t>
            </w:r>
            <w:r w:rsidR="0086319B">
              <w:rPr>
                <w:rFonts w:ascii="Arial" w:hAnsi="Arial" w:cs="Arial"/>
                <w:b/>
                <w:color w:val="343433"/>
                <w:sz w:val="16"/>
                <w:szCs w:val="17"/>
              </w:rPr>
              <w:t xml:space="preserve"> - </w:t>
            </w:r>
            <w:r w:rsidR="0086319B" w:rsidRPr="0086319B">
              <w:rPr>
                <w:rFonts w:ascii="Arial" w:hAnsi="Arial" w:cs="Arial"/>
                <w:color w:val="343433"/>
                <w:sz w:val="16"/>
                <w:szCs w:val="17"/>
              </w:rPr>
              <w:t>measures the performance of small-cap equities in developed market countries around the world, excluding the U.S. and Canada. The index covers approximately 14% of the market cap in each country.</w:t>
            </w:r>
          </w:p>
        </w:tc>
      </w:tr>
      <w:tr w:rsidR="00F3503A" w14:paraId="22791E5C" w14:textId="77777777" w:rsidTr="002226E5">
        <w:trPr>
          <w:trHeight w:val="70"/>
        </w:trPr>
        <w:tc>
          <w:tcPr>
            <w:tcW w:w="1615" w:type="dxa"/>
            <w:tcBorders>
              <w:top w:val="single" w:sz="4" w:space="0" w:color="E7E6E6"/>
              <w:left w:val="single" w:sz="4" w:space="0" w:color="E7E6E6"/>
              <w:bottom w:val="single" w:sz="4" w:space="0" w:color="E7E6E6"/>
              <w:right w:val="single" w:sz="4" w:space="0" w:color="E7E6E6"/>
            </w:tcBorders>
          </w:tcPr>
          <w:p w14:paraId="6CB959E6" w14:textId="6264514D" w:rsidR="00F3503A" w:rsidRPr="002C384C" w:rsidRDefault="00F3503A" w:rsidP="00F3503A">
            <w:pPr>
              <w:spacing w:after="160"/>
              <w:rPr>
                <w:rFonts w:ascii="Arial" w:hAnsi="Arial" w:cs="Arial"/>
                <w:b/>
                <w:color w:val="343433"/>
                <w:sz w:val="16"/>
                <w:szCs w:val="16"/>
              </w:rPr>
            </w:pPr>
            <w:r>
              <w:rPr>
                <w:rFonts w:ascii="Arial" w:hAnsi="Arial" w:cs="Arial"/>
                <w:b/>
                <w:color w:val="343433"/>
                <w:sz w:val="16"/>
                <w:szCs w:val="16"/>
              </w:rPr>
              <w:t>Long term Treasuries</w:t>
            </w:r>
          </w:p>
        </w:tc>
        <w:tc>
          <w:tcPr>
            <w:tcW w:w="9180" w:type="dxa"/>
            <w:tcBorders>
              <w:top w:val="single" w:sz="4" w:space="0" w:color="E7E6E6"/>
              <w:left w:val="single" w:sz="4" w:space="0" w:color="E7E6E6"/>
              <w:bottom w:val="single" w:sz="4" w:space="0" w:color="E7E6E6"/>
              <w:right w:val="single" w:sz="4" w:space="0" w:color="E7E6E6"/>
            </w:tcBorders>
          </w:tcPr>
          <w:p w14:paraId="1DBACDE2" w14:textId="6952FAE0" w:rsidR="00F3503A" w:rsidRPr="002C384C" w:rsidRDefault="00F3503A" w:rsidP="00F3503A">
            <w:pPr>
              <w:spacing w:after="160"/>
              <w:rPr>
                <w:rFonts w:ascii="Arial" w:hAnsi="Arial" w:cs="Arial"/>
                <w:color w:val="000000"/>
                <w:sz w:val="16"/>
                <w:szCs w:val="16"/>
              </w:rPr>
            </w:pPr>
            <w:r w:rsidRPr="0086319B">
              <w:rPr>
                <w:rFonts w:ascii="Arial" w:hAnsi="Arial" w:cs="Arial"/>
                <w:b/>
                <w:color w:val="000000"/>
                <w:sz w:val="16"/>
                <w:szCs w:val="16"/>
              </w:rPr>
              <w:t>Bloomberg Barclays US Treasury Long</w:t>
            </w:r>
            <w:r w:rsidR="0086319B">
              <w:rPr>
                <w:rFonts w:ascii="Arial" w:hAnsi="Arial" w:cs="Arial"/>
                <w:color w:val="000000"/>
                <w:sz w:val="16"/>
                <w:szCs w:val="16"/>
              </w:rPr>
              <w:t xml:space="preserve"> - </w:t>
            </w:r>
            <w:r w:rsidR="0086319B" w:rsidRPr="0086319B">
              <w:rPr>
                <w:rFonts w:ascii="Arial" w:hAnsi="Arial" w:cs="Arial"/>
                <w:color w:val="000000"/>
                <w:sz w:val="16"/>
                <w:szCs w:val="16"/>
              </w:rPr>
              <w:t>measures the performance of US Treasury and US Agency markets.  The index includes USD-denominated fixed-rate, nominal US Treasuries and US agency debentures (securities issued by the US government-owned or sponsored entities), and explicitly guaranteed by the US government.</w:t>
            </w:r>
          </w:p>
        </w:tc>
      </w:tr>
      <w:tr w:rsidR="00F3503A" w14:paraId="217CC606"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1B8E7F4C" w14:textId="25EF07FE" w:rsidR="00F3503A" w:rsidRPr="002C384C" w:rsidRDefault="00F3503A" w:rsidP="00F3503A">
            <w:pPr>
              <w:spacing w:after="160"/>
              <w:rPr>
                <w:rFonts w:ascii="Arial" w:hAnsi="Arial" w:cs="Arial"/>
                <w:b/>
                <w:color w:val="343433"/>
                <w:sz w:val="16"/>
                <w:szCs w:val="16"/>
              </w:rPr>
            </w:pPr>
            <w:r>
              <w:rPr>
                <w:rFonts w:ascii="Arial" w:hAnsi="Arial" w:cs="Arial"/>
                <w:b/>
                <w:color w:val="343433"/>
                <w:sz w:val="16"/>
                <w:szCs w:val="17"/>
              </w:rPr>
              <w:t>High-Yield Bonds</w:t>
            </w:r>
          </w:p>
        </w:tc>
        <w:tc>
          <w:tcPr>
            <w:tcW w:w="9180" w:type="dxa"/>
            <w:tcBorders>
              <w:top w:val="single" w:sz="4" w:space="0" w:color="E7E6E6"/>
              <w:left w:val="single" w:sz="4" w:space="0" w:color="E7E6E6"/>
              <w:bottom w:val="single" w:sz="4" w:space="0" w:color="E7E6E6"/>
              <w:right w:val="single" w:sz="4" w:space="0" w:color="E7E6E6"/>
            </w:tcBorders>
          </w:tcPr>
          <w:p w14:paraId="44B65236" w14:textId="034C406C" w:rsidR="00F3503A" w:rsidRPr="002C384C" w:rsidRDefault="00F3503A" w:rsidP="00F3503A">
            <w:pPr>
              <w:spacing w:after="160"/>
              <w:rPr>
                <w:rFonts w:ascii="Arial" w:hAnsi="Arial" w:cs="Arial"/>
                <w:color w:val="000000"/>
                <w:sz w:val="16"/>
                <w:szCs w:val="16"/>
              </w:rPr>
            </w:pPr>
            <w:r w:rsidRPr="0040163B">
              <w:rPr>
                <w:rFonts w:ascii="Arial" w:hAnsi="Arial" w:cs="Arial"/>
                <w:b/>
                <w:color w:val="343433"/>
                <w:sz w:val="16"/>
                <w:szCs w:val="17"/>
              </w:rPr>
              <w:t>Bloomberg Barclays US Corporate High Yield</w:t>
            </w:r>
            <w:r w:rsidRPr="0040163B">
              <w:rPr>
                <w:rFonts w:ascii="Arial" w:hAnsi="Arial" w:cs="Arial"/>
                <w:color w:val="343433"/>
                <w:sz w:val="16"/>
                <w:szCs w:val="17"/>
              </w:rPr>
              <w:t xml:space="preserve"> - measures the market of USD-denominated, non-investment grade, fixed-rate, taxable corporate bonds. Securities are classified as high yield if the middle rating of Moody’s, Fitch, and S&amp;P is Ba1/BB+/BB+ or below. The index excludes emerging market debt.</w:t>
            </w:r>
          </w:p>
        </w:tc>
      </w:tr>
      <w:tr w:rsidR="00F3503A" w14:paraId="42956053"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4D069BF1" w14:textId="42E56307" w:rsidR="00F3503A" w:rsidRDefault="004C0D0C" w:rsidP="00F3503A">
            <w:pPr>
              <w:spacing w:after="160"/>
              <w:rPr>
                <w:rFonts w:ascii="Arial" w:hAnsi="Arial" w:cs="Arial"/>
                <w:b/>
                <w:color w:val="343433"/>
                <w:sz w:val="16"/>
                <w:szCs w:val="17"/>
              </w:rPr>
            </w:pPr>
            <w:r>
              <w:rPr>
                <w:rFonts w:ascii="Arial" w:hAnsi="Arial" w:cs="Arial"/>
                <w:b/>
                <w:color w:val="343433"/>
                <w:sz w:val="16"/>
                <w:szCs w:val="17"/>
              </w:rPr>
              <w:t>Leve</w:t>
            </w:r>
            <w:r w:rsidR="001C1491">
              <w:rPr>
                <w:rFonts w:ascii="Arial" w:hAnsi="Arial" w:cs="Arial"/>
                <w:b/>
                <w:color w:val="343433"/>
                <w:sz w:val="16"/>
                <w:szCs w:val="17"/>
              </w:rPr>
              <w:t>r</w:t>
            </w:r>
            <w:r>
              <w:rPr>
                <w:rFonts w:ascii="Arial" w:hAnsi="Arial" w:cs="Arial"/>
                <w:b/>
                <w:color w:val="343433"/>
                <w:sz w:val="16"/>
                <w:szCs w:val="17"/>
              </w:rPr>
              <w:t>aged Loans</w:t>
            </w:r>
          </w:p>
        </w:tc>
        <w:tc>
          <w:tcPr>
            <w:tcW w:w="9180" w:type="dxa"/>
            <w:tcBorders>
              <w:top w:val="single" w:sz="4" w:space="0" w:color="E7E6E6"/>
              <w:left w:val="single" w:sz="4" w:space="0" w:color="E7E6E6"/>
              <w:bottom w:val="single" w:sz="4" w:space="0" w:color="E7E6E6"/>
              <w:right w:val="single" w:sz="4" w:space="0" w:color="E7E6E6"/>
            </w:tcBorders>
          </w:tcPr>
          <w:p w14:paraId="1199566D" w14:textId="32EB541F" w:rsidR="00F3503A" w:rsidRPr="00D17BCA" w:rsidRDefault="004C0D0C" w:rsidP="00F3503A">
            <w:pPr>
              <w:spacing w:after="160"/>
              <w:rPr>
                <w:rFonts w:ascii="Arial" w:hAnsi="Arial" w:cs="Arial"/>
                <w:color w:val="343433"/>
                <w:sz w:val="16"/>
                <w:szCs w:val="17"/>
              </w:rPr>
            </w:pPr>
            <w:r>
              <w:rPr>
                <w:rFonts w:ascii="Arial" w:hAnsi="Arial" w:cs="Arial"/>
                <w:b/>
                <w:color w:val="343433"/>
                <w:sz w:val="16"/>
                <w:szCs w:val="17"/>
              </w:rPr>
              <w:t>S&amp;P/LSTA Leveraged Loans</w:t>
            </w:r>
            <w:r w:rsidR="0086319B">
              <w:rPr>
                <w:rFonts w:ascii="Arial" w:hAnsi="Arial" w:cs="Arial"/>
                <w:b/>
                <w:color w:val="343433"/>
                <w:sz w:val="16"/>
                <w:szCs w:val="17"/>
              </w:rPr>
              <w:t xml:space="preserve"> </w:t>
            </w:r>
            <w:r w:rsidR="0086319B" w:rsidRPr="0086319B">
              <w:rPr>
                <w:rFonts w:ascii="Arial" w:hAnsi="Arial" w:cs="Arial"/>
                <w:color w:val="343433"/>
                <w:sz w:val="16"/>
                <w:szCs w:val="17"/>
              </w:rPr>
              <w:t>- measures the performance of investment-grade fixed-rate mortgage-backed pass-through securities of GNMA, FNMA and FHLMC.</w:t>
            </w:r>
          </w:p>
        </w:tc>
      </w:tr>
      <w:tr w:rsidR="00F3503A" w14:paraId="12BD0B75"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779D29FD" w14:textId="559122A5" w:rsidR="00F3503A" w:rsidRDefault="00F3503A" w:rsidP="00F3503A">
            <w:pPr>
              <w:spacing w:after="160"/>
              <w:rPr>
                <w:rFonts w:ascii="Arial" w:hAnsi="Arial" w:cs="Arial"/>
                <w:b/>
                <w:color w:val="343433"/>
                <w:sz w:val="16"/>
                <w:szCs w:val="17"/>
              </w:rPr>
            </w:pPr>
            <w:r>
              <w:rPr>
                <w:rFonts w:ascii="Arial" w:hAnsi="Arial" w:cs="Arial"/>
                <w:b/>
                <w:color w:val="343433"/>
                <w:sz w:val="16"/>
                <w:szCs w:val="17"/>
              </w:rPr>
              <w:t>Commodities</w:t>
            </w:r>
          </w:p>
        </w:tc>
        <w:tc>
          <w:tcPr>
            <w:tcW w:w="9180" w:type="dxa"/>
            <w:tcBorders>
              <w:top w:val="single" w:sz="4" w:space="0" w:color="E7E6E6"/>
              <w:left w:val="single" w:sz="4" w:space="0" w:color="E7E6E6"/>
              <w:bottom w:val="single" w:sz="4" w:space="0" w:color="E7E6E6"/>
              <w:right w:val="single" w:sz="4" w:space="0" w:color="E7E6E6"/>
            </w:tcBorders>
          </w:tcPr>
          <w:p w14:paraId="6360C6F2" w14:textId="57C06252" w:rsidR="00F3503A" w:rsidRDefault="00F3503A" w:rsidP="00F3503A">
            <w:pPr>
              <w:spacing w:after="160"/>
              <w:rPr>
                <w:rFonts w:ascii="Arial" w:hAnsi="Arial" w:cs="Arial"/>
                <w:b/>
                <w:color w:val="343433"/>
                <w:sz w:val="16"/>
                <w:szCs w:val="17"/>
              </w:rPr>
            </w:pPr>
            <w:r w:rsidRPr="00080D15">
              <w:rPr>
                <w:rFonts w:ascii="Arial" w:hAnsi="Arial" w:cs="Arial"/>
                <w:b/>
                <w:color w:val="343433"/>
                <w:sz w:val="16"/>
                <w:szCs w:val="17"/>
              </w:rPr>
              <w:t xml:space="preserve">Bloomberg </w:t>
            </w:r>
            <w:proofErr w:type="gramStart"/>
            <w:r>
              <w:rPr>
                <w:rFonts w:ascii="Arial" w:hAnsi="Arial" w:cs="Arial"/>
                <w:b/>
                <w:color w:val="343433"/>
                <w:sz w:val="16"/>
                <w:szCs w:val="17"/>
              </w:rPr>
              <w:t>Commodity</w:t>
            </w:r>
            <w:r w:rsidRPr="00080D15">
              <w:rPr>
                <w:rFonts w:ascii="Arial" w:hAnsi="Arial" w:cs="Arial"/>
                <w:color w:val="343433"/>
                <w:sz w:val="16"/>
                <w:szCs w:val="17"/>
              </w:rPr>
              <w:t>.</w:t>
            </w:r>
            <w:r w:rsidR="0086319B">
              <w:rPr>
                <w:rFonts w:ascii="Arial" w:hAnsi="Arial" w:cs="Arial"/>
                <w:color w:val="343433"/>
                <w:sz w:val="16"/>
                <w:szCs w:val="17"/>
              </w:rPr>
              <w:t>-</w:t>
            </w:r>
            <w:proofErr w:type="gramEnd"/>
            <w:r w:rsidR="0086319B">
              <w:rPr>
                <w:rFonts w:ascii="Arial" w:hAnsi="Arial" w:cs="Arial"/>
                <w:color w:val="343433"/>
                <w:sz w:val="16"/>
                <w:szCs w:val="17"/>
              </w:rPr>
              <w:t xml:space="preserve"> </w:t>
            </w:r>
            <w:r w:rsidR="0086319B" w:rsidRPr="0086319B">
              <w:rPr>
                <w:rFonts w:ascii="Arial" w:hAnsi="Arial" w:cs="Arial"/>
                <w:color w:val="343433"/>
                <w:sz w:val="16"/>
                <w:szCs w:val="17"/>
              </w:rPr>
              <w:t>dynamically rebalances exposure to maintain a 10% volatility target and represents portfolios consisting of the S&amp;P 500 index and a cash component accruing interest.  Uses S&amp;P 500 methodology and overlays algorithms to control the index risk at specific volatility targets.</w:t>
            </w:r>
          </w:p>
        </w:tc>
      </w:tr>
      <w:tr w:rsidR="00671395" w14:paraId="01DC38BD"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2A9F9042" w14:textId="08BDE24E" w:rsidR="00671395" w:rsidRDefault="00671395" w:rsidP="00F3503A">
            <w:pPr>
              <w:spacing w:after="160"/>
              <w:rPr>
                <w:rFonts w:ascii="Arial" w:hAnsi="Arial" w:cs="Arial"/>
                <w:b/>
                <w:color w:val="343433"/>
                <w:sz w:val="16"/>
                <w:szCs w:val="17"/>
              </w:rPr>
            </w:pPr>
            <w:r>
              <w:rPr>
                <w:rFonts w:ascii="Arial" w:hAnsi="Arial" w:cs="Arial"/>
                <w:b/>
                <w:color w:val="343433"/>
                <w:sz w:val="16"/>
                <w:szCs w:val="17"/>
              </w:rPr>
              <w:t>Precious Metals</w:t>
            </w:r>
          </w:p>
        </w:tc>
        <w:tc>
          <w:tcPr>
            <w:tcW w:w="9180" w:type="dxa"/>
            <w:tcBorders>
              <w:top w:val="single" w:sz="4" w:space="0" w:color="E7E6E6"/>
              <w:left w:val="single" w:sz="4" w:space="0" w:color="E7E6E6"/>
              <w:bottom w:val="single" w:sz="4" w:space="0" w:color="E7E6E6"/>
              <w:right w:val="single" w:sz="4" w:space="0" w:color="E7E6E6"/>
            </w:tcBorders>
          </w:tcPr>
          <w:p w14:paraId="466DEAF9" w14:textId="4623187F" w:rsidR="00671395" w:rsidRDefault="00671395" w:rsidP="00F3503A">
            <w:pPr>
              <w:spacing w:after="160"/>
              <w:rPr>
                <w:rFonts w:ascii="Arial" w:hAnsi="Arial" w:cs="Arial"/>
                <w:b/>
                <w:color w:val="343433"/>
                <w:sz w:val="16"/>
                <w:szCs w:val="17"/>
              </w:rPr>
            </w:pPr>
            <w:r>
              <w:rPr>
                <w:rFonts w:ascii="Arial" w:hAnsi="Arial" w:cs="Arial"/>
                <w:b/>
                <w:color w:val="343433"/>
                <w:sz w:val="16"/>
                <w:szCs w:val="17"/>
              </w:rPr>
              <w:t>Bloomberg Precious Metals</w:t>
            </w:r>
            <w:r w:rsidR="0086319B">
              <w:rPr>
                <w:rFonts w:ascii="Arial" w:hAnsi="Arial" w:cs="Arial"/>
                <w:b/>
                <w:color w:val="343433"/>
                <w:sz w:val="16"/>
                <w:szCs w:val="17"/>
              </w:rPr>
              <w:t xml:space="preserve"> - </w:t>
            </w:r>
            <w:r w:rsidR="0086319B" w:rsidRPr="0086319B">
              <w:rPr>
                <w:rFonts w:ascii="Arial" w:hAnsi="Arial" w:cs="Arial"/>
                <w:color w:val="343433"/>
                <w:sz w:val="16"/>
                <w:szCs w:val="17"/>
              </w:rPr>
              <w:t>measures the price of gold futures contracts, reflecting the return of underlying commodity futures price movements quoted in USD.</w:t>
            </w:r>
          </w:p>
        </w:tc>
      </w:tr>
      <w:tr w:rsidR="00F3503A" w14:paraId="13EEFDA3" w14:textId="77777777" w:rsidTr="001D39CF">
        <w:tc>
          <w:tcPr>
            <w:tcW w:w="1615" w:type="dxa"/>
            <w:tcBorders>
              <w:top w:val="single" w:sz="4" w:space="0" w:color="E7E6E6"/>
              <w:left w:val="single" w:sz="4" w:space="0" w:color="E7E6E6"/>
              <w:bottom w:val="single" w:sz="4" w:space="0" w:color="E7E6E6"/>
              <w:right w:val="single" w:sz="4" w:space="0" w:color="E7E6E6"/>
            </w:tcBorders>
          </w:tcPr>
          <w:p w14:paraId="796D3D4D" w14:textId="481665B1" w:rsidR="00F3503A" w:rsidRPr="00080D15" w:rsidRDefault="00F3503A" w:rsidP="00F3503A">
            <w:pPr>
              <w:spacing w:after="160"/>
              <w:rPr>
                <w:rFonts w:ascii="Arial" w:hAnsi="Arial" w:cs="Arial"/>
                <w:b/>
                <w:color w:val="343433"/>
                <w:sz w:val="16"/>
                <w:szCs w:val="17"/>
              </w:rPr>
            </w:pPr>
            <w:r>
              <w:rPr>
                <w:rFonts w:ascii="Arial" w:hAnsi="Arial" w:cs="Arial"/>
                <w:b/>
                <w:color w:val="343433"/>
                <w:sz w:val="16"/>
                <w:szCs w:val="17"/>
              </w:rPr>
              <w:t>US REITs</w:t>
            </w:r>
          </w:p>
        </w:tc>
        <w:tc>
          <w:tcPr>
            <w:tcW w:w="9180" w:type="dxa"/>
            <w:tcBorders>
              <w:top w:val="single" w:sz="4" w:space="0" w:color="E7E6E6"/>
              <w:left w:val="single" w:sz="4" w:space="0" w:color="E7E6E6"/>
              <w:bottom w:val="single" w:sz="4" w:space="0" w:color="E7E6E6"/>
              <w:right w:val="single" w:sz="4" w:space="0" w:color="E7E6E6"/>
            </w:tcBorders>
          </w:tcPr>
          <w:p w14:paraId="6ED59CD8" w14:textId="4FDCFE6A" w:rsidR="00F3503A" w:rsidRPr="00080D15" w:rsidRDefault="00F3503A" w:rsidP="00F3503A">
            <w:pPr>
              <w:spacing w:after="160"/>
              <w:rPr>
                <w:rFonts w:ascii="Arial" w:hAnsi="Arial" w:cs="Arial"/>
                <w:b/>
                <w:color w:val="343433"/>
                <w:sz w:val="16"/>
                <w:szCs w:val="17"/>
              </w:rPr>
            </w:pPr>
            <w:r>
              <w:rPr>
                <w:rFonts w:ascii="Arial" w:hAnsi="Arial" w:cs="Arial"/>
                <w:b/>
                <w:color w:val="343433"/>
                <w:sz w:val="16"/>
                <w:szCs w:val="17"/>
              </w:rPr>
              <w:t>FTSE N</w:t>
            </w:r>
            <w:r w:rsidR="0086319B">
              <w:rPr>
                <w:rFonts w:ascii="Arial" w:hAnsi="Arial" w:cs="Arial"/>
                <w:b/>
                <w:color w:val="343433"/>
                <w:sz w:val="16"/>
                <w:szCs w:val="17"/>
              </w:rPr>
              <w:t>AREIT</w:t>
            </w:r>
            <w:r w:rsidR="004C52F8">
              <w:rPr>
                <w:rFonts w:ascii="Arial" w:hAnsi="Arial" w:cs="Arial"/>
                <w:b/>
                <w:color w:val="343433"/>
                <w:sz w:val="16"/>
                <w:szCs w:val="17"/>
              </w:rPr>
              <w:t xml:space="preserve"> All Equity REIT</w:t>
            </w:r>
            <w:r w:rsidR="0086319B">
              <w:rPr>
                <w:rFonts w:ascii="Arial" w:hAnsi="Arial" w:cs="Arial"/>
                <w:b/>
                <w:color w:val="343433"/>
                <w:sz w:val="16"/>
                <w:szCs w:val="17"/>
              </w:rPr>
              <w:t xml:space="preserve"> - </w:t>
            </w:r>
            <w:r w:rsidR="0086319B" w:rsidRPr="0086319B">
              <w:rPr>
                <w:rFonts w:ascii="Arial" w:hAnsi="Arial" w:cs="Arial"/>
                <w:color w:val="343433"/>
                <w:sz w:val="16"/>
                <w:szCs w:val="17"/>
              </w:rPr>
              <w:t>measures the price of physical commodities futures contracts traded on US exchanges, except aluminum, nickel and zinc, which trade on the London Metal Exchange. Weightings are determined by rules designed to insure diversified commodity exposure.</w:t>
            </w:r>
          </w:p>
        </w:tc>
      </w:tr>
    </w:tbl>
    <w:p w14:paraId="6B301E9F" w14:textId="77777777" w:rsidR="00140F12" w:rsidRDefault="00140F12" w:rsidP="004F6ABF">
      <w:pPr>
        <w:spacing w:after="0" w:line="240" w:lineRule="auto"/>
        <w:rPr>
          <w:rFonts w:ascii="Arial" w:hAnsi="Arial" w:cs="Arial"/>
          <w:color w:val="343433"/>
          <w:sz w:val="16"/>
          <w:szCs w:val="16"/>
        </w:rPr>
      </w:pPr>
    </w:p>
    <w:p w14:paraId="7BC73908" w14:textId="5BFE8381" w:rsidR="00140F12" w:rsidRDefault="00140F12">
      <w:pPr>
        <w:spacing w:after="0" w:line="240" w:lineRule="auto"/>
        <w:rPr>
          <w:rFonts w:ascii="Arial" w:hAnsi="Arial" w:cs="Arial"/>
          <w:color w:val="343433"/>
          <w:sz w:val="16"/>
          <w:szCs w:val="16"/>
        </w:rPr>
      </w:pPr>
    </w:p>
    <w:p w14:paraId="0AAD309A" w14:textId="30139EFE" w:rsidR="000F6A69" w:rsidRPr="009F65E5" w:rsidRDefault="004F6ABF" w:rsidP="004F6ABF">
      <w:pPr>
        <w:spacing w:after="0" w:line="240" w:lineRule="auto"/>
        <w:rPr>
          <w:rFonts w:ascii="Arial" w:hAnsi="Arial" w:cs="Arial"/>
          <w:color w:val="343433"/>
          <w:sz w:val="16"/>
          <w:szCs w:val="16"/>
        </w:rPr>
      </w:pPr>
      <w:r w:rsidRPr="0040163B">
        <w:rPr>
          <w:rFonts w:ascii="Arial" w:hAnsi="Arial" w:cs="Arial"/>
          <w:noProof/>
          <w:color w:val="343433"/>
          <w:sz w:val="21"/>
        </w:rPr>
        <w:lastRenderedPageBreak/>
        <mc:AlternateContent>
          <mc:Choice Requires="wpg">
            <w:drawing>
              <wp:anchor distT="0" distB="0" distL="114300" distR="114300" simplePos="0" relativeHeight="251673600" behindDoc="1" locked="0" layoutInCell="1" allowOverlap="1" wp14:anchorId="69F78F6C" wp14:editId="232D1223">
                <wp:simplePos x="0" y="0"/>
                <wp:positionH relativeFrom="margin">
                  <wp:posOffset>-463550</wp:posOffset>
                </wp:positionH>
                <wp:positionV relativeFrom="margin">
                  <wp:posOffset>5544185</wp:posOffset>
                </wp:positionV>
                <wp:extent cx="6875780" cy="2739390"/>
                <wp:effectExtent l="0" t="0" r="1270" b="3810"/>
                <wp:wrapTight wrapText="bothSides">
                  <wp:wrapPolygon edited="0">
                    <wp:start x="0" y="0"/>
                    <wp:lineTo x="0" y="20278"/>
                    <wp:lineTo x="299" y="21480"/>
                    <wp:lineTo x="4309" y="21480"/>
                    <wp:lineTo x="21544" y="20278"/>
                    <wp:lineTo x="21544" y="0"/>
                    <wp:lineTo x="0" y="0"/>
                  </wp:wrapPolygon>
                </wp:wrapTight>
                <wp:docPr id="16" name="Group 16"/>
                <wp:cNvGraphicFramePr/>
                <a:graphic xmlns:a="http://schemas.openxmlformats.org/drawingml/2006/main">
                  <a:graphicData uri="http://schemas.microsoft.com/office/word/2010/wordprocessingGroup">
                    <wpg:wgp>
                      <wpg:cNvGrpSpPr/>
                      <wpg:grpSpPr>
                        <a:xfrm>
                          <a:off x="0" y="0"/>
                          <a:ext cx="6875780" cy="2739390"/>
                          <a:chOff x="0" y="299834"/>
                          <a:chExt cx="6858000" cy="2054109"/>
                        </a:xfrm>
                      </wpg:grpSpPr>
                      <wps:wsp>
                        <wps:cNvPr id="18" name="Rectangle 18"/>
                        <wps:cNvSpPr/>
                        <wps:spPr>
                          <a:xfrm>
                            <a:off x="0" y="299834"/>
                            <a:ext cx="6858000" cy="1927443"/>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1439694" y="408482"/>
                            <a:ext cx="5417874" cy="1799701"/>
                          </a:xfrm>
                          <a:prstGeom prst="rect">
                            <a:avLst/>
                          </a:prstGeom>
                          <a:noFill/>
                          <a:ln w="6350">
                            <a:noFill/>
                          </a:ln>
                        </wps:spPr>
                        <wps:txbx>
                          <w:txbxContent>
                            <w:p w14:paraId="426D23FC" w14:textId="77777777" w:rsidR="004F6ABF" w:rsidRPr="00A57DA9" w:rsidRDefault="004F6ABF" w:rsidP="004F6ABF">
                              <w:pPr>
                                <w:spacing w:after="120" w:line="240" w:lineRule="auto"/>
                                <w:rPr>
                                  <w:rFonts w:ascii="Arial" w:hAnsi="Arial" w:cs="Arial"/>
                                  <w:b/>
                                  <w:sz w:val="16"/>
                                  <w:szCs w:val="16"/>
                                </w:rPr>
                              </w:pPr>
                              <w:r w:rsidRPr="00A57DA9">
                                <w:rPr>
                                  <w:rFonts w:ascii="Arial" w:hAnsi="Arial" w:cs="Arial"/>
                                  <w:b/>
                                  <w:sz w:val="16"/>
                                  <w:szCs w:val="16"/>
                                </w:rPr>
                                <w:t>IMPORTANT INFORMATION</w:t>
                              </w:r>
                            </w:p>
                            <w:p w14:paraId="62C97230" w14:textId="4BF8FD3C" w:rsidR="00A933B5" w:rsidRDefault="004F6ABF" w:rsidP="00A933B5">
                              <w:pPr>
                                <w:spacing w:after="120" w:line="240" w:lineRule="auto"/>
                                <w:rPr>
                                  <w:rFonts w:ascii="Arial" w:hAnsi="Arial" w:cs="Arial"/>
                                  <w:sz w:val="16"/>
                                  <w:szCs w:val="16"/>
                                </w:rPr>
                              </w:pPr>
                              <w:r w:rsidRPr="00A57DA9">
                                <w:rPr>
                                  <w:rFonts w:ascii="Arial" w:hAnsi="Arial" w:cs="Arial"/>
                                  <w:sz w:val="16"/>
                                  <w:szCs w:val="16"/>
                                </w:rPr>
                                <w:t>This</w:t>
                              </w:r>
                              <w:r w:rsidR="00A933B5">
                                <w:rPr>
                                  <w:rFonts w:ascii="Arial" w:hAnsi="Arial" w:cs="Arial"/>
                                  <w:sz w:val="16"/>
                                  <w:szCs w:val="16"/>
                                </w:rPr>
                                <w:t xml:space="preserve"> report is for informational purposes only, and is not a solicitation, and should not be considered as investment or tax advice. The information has been drawn from sources believed to be reliable, but its accuracy is not guaranteed, and is subject to change. Opinions are those of AssetMark and may change at any time. Investors seeking more information should discuss with their financial advisor. Financial advisors may seek more information regarding all services offered through the AssetMark platform by contacting AssetMark at 800-664-5345.</w:t>
                              </w:r>
                            </w:p>
                            <w:p w14:paraId="652E85D5" w14:textId="77777777" w:rsidR="00A933B5" w:rsidRDefault="00A933B5" w:rsidP="00A933B5">
                              <w:pPr>
                                <w:spacing w:after="120" w:line="240" w:lineRule="auto"/>
                                <w:rPr>
                                  <w:rFonts w:ascii="Arial" w:hAnsi="Arial" w:cs="Arial"/>
                                  <w:sz w:val="16"/>
                                  <w:szCs w:val="16"/>
                                </w:rPr>
                              </w:pPr>
                              <w:r>
                                <w:rPr>
                                  <w:rFonts w:ascii="Arial" w:hAnsi="Arial" w:cs="Arial"/>
                                  <w:b/>
                                  <w:sz w:val="16"/>
                                  <w:szCs w:val="16"/>
                                </w:rPr>
                                <w:t>Investing involves risk, including the possible loss of principal. Past performance does not guarantee future results.</w:t>
                              </w:r>
                              <w:r>
                                <w:rPr>
                                  <w:rFonts w:ascii="Arial" w:hAnsi="Arial" w:cs="Arial"/>
                                  <w:sz w:val="16"/>
                                  <w:szCs w:val="16"/>
                                </w:rPr>
                                <w:t xml:space="preserve"> Asset allocation alone cannot eliminate the risk of fluctuating prices and uncertain returns. There is no guarantee that a diversified portfolio will outperform a non-diversified portfolio in any given market environment. No investment strategy, such as asset allocation, can guarantee a profit or protect against a loss. Actual client results will vary based on investment selection, timing, and market conditions. The market indices shown are non-managed indices shown for reference purposes. Index performance reflects the reinvestment of dividends. It is not possible to invest directly in an index, and index performance does not reflect any deduction for investment advisory fees. </w:t>
                              </w:r>
                            </w:p>
                            <w:p w14:paraId="44D139E2" w14:textId="77777777" w:rsidR="00A933B5" w:rsidRDefault="00A933B5" w:rsidP="00A933B5">
                              <w:pPr>
                                <w:spacing w:after="120" w:line="240" w:lineRule="auto"/>
                                <w:rPr>
                                  <w:rFonts w:ascii="Arial" w:hAnsi="Arial" w:cs="Arial"/>
                                  <w:sz w:val="16"/>
                                  <w:szCs w:val="16"/>
                                </w:rPr>
                              </w:pPr>
                              <w:r>
                                <w:rPr>
                                  <w:rFonts w:ascii="Arial" w:hAnsi="Arial" w:cs="Arial"/>
                                  <w:sz w:val="16"/>
                                  <w:szCs w:val="16"/>
                                </w:rPr>
                                <w:t>AssetMark, Inc. is an investment adviser registered with the Securities and Exchange Commission.</w:t>
                              </w:r>
                              <w:r>
                                <w:rPr>
                                  <w:rFonts w:ascii="Arial" w:hAnsi="Arial" w:cs="Arial"/>
                                  <w:sz w:val="16"/>
                                  <w:szCs w:val="16"/>
                                </w:rPr>
                                <w:br/>
                                <w:t>©2021 AssetMark, Inc. All rights reserved.</w:t>
                              </w:r>
                            </w:p>
                            <w:p w14:paraId="29A67675" w14:textId="4B2EA82A" w:rsidR="00A933B5" w:rsidRDefault="00A933B5" w:rsidP="00A933B5">
                              <w:pPr>
                                <w:spacing w:after="120" w:line="240" w:lineRule="auto"/>
                                <w:rPr>
                                  <w:rFonts w:ascii="Arial" w:hAnsi="Arial" w:cs="Arial"/>
                                  <w:sz w:val="16"/>
                                  <w:szCs w:val="16"/>
                                </w:rPr>
                              </w:pPr>
                              <w:r>
                                <w:rPr>
                                  <w:rFonts w:ascii="Arial" w:hAnsi="Arial" w:cs="Arial"/>
                                  <w:sz w:val="16"/>
                                  <w:szCs w:val="16"/>
                                </w:rPr>
                                <w:t>10</w:t>
                              </w:r>
                              <w:r w:rsidR="00CA0E31">
                                <w:rPr>
                                  <w:rFonts w:ascii="Arial" w:hAnsi="Arial" w:cs="Arial"/>
                                  <w:sz w:val="16"/>
                                  <w:szCs w:val="16"/>
                                </w:rPr>
                                <w:t>2</w:t>
                              </w:r>
                              <w:r w:rsidR="00FD495F">
                                <w:rPr>
                                  <w:rFonts w:ascii="Arial" w:hAnsi="Arial" w:cs="Arial"/>
                                  <w:sz w:val="16"/>
                                  <w:szCs w:val="16"/>
                                </w:rPr>
                                <w:t>640</w:t>
                              </w:r>
                              <w:r>
                                <w:rPr>
                                  <w:rFonts w:ascii="Arial" w:hAnsi="Arial" w:cs="Arial"/>
                                  <w:sz w:val="16"/>
                                  <w:szCs w:val="16"/>
                                </w:rPr>
                                <w:t xml:space="preserve"> | C2</w:t>
                              </w:r>
                              <w:r w:rsidR="00CA0E31">
                                <w:rPr>
                                  <w:rFonts w:ascii="Arial" w:hAnsi="Arial" w:cs="Arial"/>
                                  <w:sz w:val="16"/>
                                  <w:szCs w:val="16"/>
                                </w:rPr>
                                <w:t>1-17</w:t>
                              </w:r>
                              <w:r w:rsidR="00FD495F">
                                <w:rPr>
                                  <w:rFonts w:ascii="Arial" w:hAnsi="Arial" w:cs="Arial"/>
                                  <w:sz w:val="16"/>
                                  <w:szCs w:val="16"/>
                                </w:rPr>
                                <w:t>820</w:t>
                              </w:r>
                              <w:r>
                                <w:rPr>
                                  <w:rFonts w:ascii="Arial" w:hAnsi="Arial" w:cs="Arial"/>
                                  <w:sz w:val="16"/>
                                  <w:szCs w:val="16"/>
                                </w:rPr>
                                <w:t xml:space="preserve"> | 0</w:t>
                              </w:r>
                              <w:r w:rsidR="00FD495F">
                                <w:rPr>
                                  <w:rFonts w:ascii="Arial" w:hAnsi="Arial" w:cs="Arial"/>
                                  <w:sz w:val="16"/>
                                  <w:szCs w:val="16"/>
                                </w:rPr>
                                <w:t>7</w:t>
                              </w:r>
                              <w:r>
                                <w:rPr>
                                  <w:rFonts w:ascii="Arial" w:hAnsi="Arial" w:cs="Arial"/>
                                  <w:sz w:val="16"/>
                                  <w:szCs w:val="16"/>
                                </w:rPr>
                                <w:t xml:space="preserve">/2021 | EXP </w:t>
                              </w:r>
                              <w:r w:rsidR="00CA0E31">
                                <w:rPr>
                                  <w:rFonts w:ascii="Arial" w:hAnsi="Arial" w:cs="Arial"/>
                                  <w:sz w:val="16"/>
                                  <w:szCs w:val="16"/>
                                </w:rPr>
                                <w:t>0</w:t>
                              </w:r>
                              <w:r w:rsidR="00FD495F">
                                <w:rPr>
                                  <w:rFonts w:ascii="Arial" w:hAnsi="Arial" w:cs="Arial"/>
                                  <w:sz w:val="16"/>
                                  <w:szCs w:val="16"/>
                                </w:rPr>
                                <w:t>7</w:t>
                              </w:r>
                              <w:r>
                                <w:rPr>
                                  <w:rFonts w:ascii="Arial" w:hAnsi="Arial" w:cs="Arial"/>
                                  <w:sz w:val="16"/>
                                  <w:szCs w:val="16"/>
                                </w:rPr>
                                <w:t>/3</w:t>
                              </w:r>
                              <w:r w:rsidR="00FD495F">
                                <w:rPr>
                                  <w:rFonts w:ascii="Arial" w:hAnsi="Arial" w:cs="Arial"/>
                                  <w:sz w:val="16"/>
                                  <w:szCs w:val="16"/>
                                </w:rPr>
                                <w:t>1</w:t>
                              </w:r>
                              <w:r>
                                <w:rPr>
                                  <w:rFonts w:ascii="Arial" w:hAnsi="Arial" w:cs="Arial"/>
                                  <w:sz w:val="16"/>
                                  <w:szCs w:val="16"/>
                                </w:rPr>
                                <w:t>/202</w:t>
                              </w:r>
                              <w:r w:rsidR="00CA0E31">
                                <w:rPr>
                                  <w:rFonts w:ascii="Arial" w:hAnsi="Arial" w:cs="Arial"/>
                                  <w:sz w:val="16"/>
                                  <w:szCs w:val="16"/>
                                </w:rPr>
                                <w:t>2</w:t>
                              </w:r>
                            </w:p>
                            <w:p w14:paraId="700A5642" w14:textId="69AAD043" w:rsidR="00A933B5" w:rsidRPr="004B1C5E" w:rsidRDefault="00A933B5" w:rsidP="00A933B5">
                              <w:pPr>
                                <w:spacing w:after="120" w:line="240" w:lineRule="auto"/>
                                <w:rPr>
                                  <w:rFonts w:ascii="Arial" w:hAnsi="Arial" w:cs="Arial"/>
                                  <w:sz w:val="16"/>
                                  <w:szCs w:val="16"/>
                                </w:rPr>
                              </w:pPr>
                            </w:p>
                            <w:p w14:paraId="1C5DEE7A" w14:textId="131D87E2" w:rsidR="004F6ABF" w:rsidRPr="004B1C5E" w:rsidRDefault="004F6ABF" w:rsidP="004F6ABF">
                              <w:pPr>
                                <w:spacing w:after="120"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48634" y="408461"/>
                            <a:ext cx="1390953" cy="1945482"/>
                          </a:xfrm>
                          <a:prstGeom prst="rect">
                            <a:avLst/>
                          </a:prstGeom>
                          <a:noFill/>
                          <a:ln w="6350">
                            <a:noFill/>
                          </a:ln>
                        </wps:spPr>
                        <wps:txbx>
                          <w:txbxContent>
                            <w:p w14:paraId="4077A185" w14:textId="77777777" w:rsidR="004F6ABF" w:rsidRPr="00A57DA9" w:rsidRDefault="004F6ABF" w:rsidP="004F6ABF">
                              <w:pPr>
                                <w:spacing w:after="120"/>
                                <w:rPr>
                                  <w:rFonts w:ascii="Arial" w:hAnsi="Arial" w:cs="Arial"/>
                                  <w:b/>
                                  <w:sz w:val="16"/>
                                  <w:szCs w:val="16"/>
                                </w:rPr>
                              </w:pPr>
                              <w:r w:rsidRPr="00A57DA9">
                                <w:rPr>
                                  <w:rFonts w:ascii="Arial" w:hAnsi="Arial" w:cs="Arial"/>
                                  <w:b/>
                                  <w:sz w:val="16"/>
                                  <w:szCs w:val="16"/>
                                </w:rPr>
                                <w:t>AssetMark, Inc.</w:t>
                              </w:r>
                            </w:p>
                            <w:p w14:paraId="487C5125" w14:textId="77777777" w:rsidR="004F6ABF" w:rsidRPr="00A57DA9" w:rsidRDefault="004F6ABF" w:rsidP="004F6ABF">
                              <w:pPr>
                                <w:spacing w:after="120"/>
                                <w:rPr>
                                  <w:rFonts w:ascii="Arial" w:hAnsi="Arial" w:cs="Arial"/>
                                  <w:sz w:val="16"/>
                                  <w:szCs w:val="16"/>
                                </w:rPr>
                              </w:pPr>
                              <w:r w:rsidRPr="00A57DA9">
                                <w:rPr>
                                  <w:rFonts w:ascii="Arial" w:hAnsi="Arial" w:cs="Arial"/>
                                  <w:sz w:val="16"/>
                                  <w:szCs w:val="16"/>
                                </w:rPr>
                                <w:t>1655 Grant Street</w:t>
                              </w:r>
                              <w:r w:rsidRPr="00A57DA9">
                                <w:rPr>
                                  <w:rFonts w:ascii="Arial" w:hAnsi="Arial" w:cs="Arial"/>
                                  <w:sz w:val="16"/>
                                  <w:szCs w:val="16"/>
                                </w:rPr>
                                <w:br/>
                                <w:t>10</w:t>
                              </w:r>
                              <w:r w:rsidRPr="00A57DA9">
                                <w:rPr>
                                  <w:rFonts w:ascii="Arial" w:hAnsi="Arial" w:cs="Arial"/>
                                  <w:sz w:val="16"/>
                                  <w:szCs w:val="16"/>
                                  <w:vertAlign w:val="superscript"/>
                                </w:rPr>
                                <w:t>th</w:t>
                              </w:r>
                              <w:r w:rsidRPr="00A57DA9">
                                <w:rPr>
                                  <w:rFonts w:ascii="Arial" w:hAnsi="Arial" w:cs="Arial"/>
                                  <w:sz w:val="16"/>
                                  <w:szCs w:val="16"/>
                                </w:rPr>
                                <w:t xml:space="preserve"> Floor</w:t>
                              </w:r>
                              <w:r w:rsidRPr="00A57DA9">
                                <w:rPr>
                                  <w:rFonts w:ascii="Arial" w:hAnsi="Arial" w:cs="Arial"/>
                                  <w:sz w:val="16"/>
                                  <w:szCs w:val="16"/>
                                </w:rPr>
                                <w:br/>
                                <w:t>Concord, CA 94520-2445</w:t>
                              </w:r>
                              <w:r w:rsidRPr="00A57DA9">
                                <w:rPr>
                                  <w:rFonts w:ascii="Arial" w:hAnsi="Arial" w:cs="Arial"/>
                                  <w:sz w:val="16"/>
                                  <w:szCs w:val="16"/>
                                </w:rPr>
                                <w:br/>
                                <w:t>800-664-5345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F78F6C" id="Group 16" o:spid="_x0000_s1027" style="position:absolute;margin-left:-36.5pt;margin-top:436.55pt;width:541.4pt;height:215.7pt;z-index:-251642880;mso-position-horizontal-relative:margin;mso-position-vertical-relative:margin;mso-width-relative:margin;mso-height-relative:margin" coordorigin=",2998" coordsize="68580,2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">
                <v:rect id="Rectangle 18" o:spid="_x0000_s1028" style="position:absolute;top:2998;width:68580;height:19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" fillcolor="#f2f2f2" stroked="f" strokeweight="1pt"/>
                <v:shape id="Text Box 22" o:spid="_x0000_s1029" type="#_x0000_t202" style="position:absolute;left:14396;top:4084;width:54179;height:17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426D23FC" w14:textId="77777777" w:rsidR="004F6ABF" w:rsidRPr="00A57DA9" w:rsidRDefault="004F6ABF" w:rsidP="004F6ABF">
                        <w:pPr>
                          <w:spacing w:after="120" w:line="240" w:lineRule="auto"/>
                          <w:rPr>
                            <w:rFonts w:ascii="Arial" w:hAnsi="Arial" w:cs="Arial"/>
                            <w:b/>
                            <w:sz w:val="16"/>
                            <w:szCs w:val="16"/>
                          </w:rPr>
                        </w:pPr>
                        <w:r w:rsidRPr="00A57DA9">
                          <w:rPr>
                            <w:rFonts w:ascii="Arial" w:hAnsi="Arial" w:cs="Arial"/>
                            <w:b/>
                            <w:sz w:val="16"/>
                            <w:szCs w:val="16"/>
                          </w:rPr>
                          <w:t>IMPORTANT INFORMATION</w:t>
                        </w:r>
                      </w:p>
                      <w:p w14:paraId="62C97230" w14:textId="4BF8FD3C" w:rsidR="00A933B5" w:rsidRDefault="004F6ABF" w:rsidP="00A933B5">
                        <w:pPr>
                          <w:spacing w:after="120" w:line="240" w:lineRule="auto"/>
                          <w:rPr>
                            <w:rFonts w:ascii="Arial" w:hAnsi="Arial" w:cs="Arial"/>
                            <w:sz w:val="16"/>
                            <w:szCs w:val="16"/>
                          </w:rPr>
                        </w:pPr>
                        <w:r w:rsidRPr="00A57DA9">
                          <w:rPr>
                            <w:rFonts w:ascii="Arial" w:hAnsi="Arial" w:cs="Arial"/>
                            <w:sz w:val="16"/>
                            <w:szCs w:val="16"/>
                          </w:rPr>
                          <w:t>This</w:t>
                        </w:r>
                        <w:r w:rsidR="00A933B5">
                          <w:rPr>
                            <w:rFonts w:ascii="Arial" w:hAnsi="Arial" w:cs="Arial"/>
                            <w:sz w:val="16"/>
                            <w:szCs w:val="16"/>
                          </w:rPr>
                          <w:t xml:space="preserve"> report is for informational purposes only, and is not a solicitation, and should not be considered as investment or tax advice. The information has been drawn from sources believed to be reliable, but its accuracy is not guaranteed, and is subject to change. Opinions are those of AssetMark and may change at any time. Investors seeking more information should discuss with their financial advisor. Financial advisors may seek more information regarding all services offered through the AssetMark platform by contacting AssetMark at 800-664-5345.</w:t>
                        </w:r>
                      </w:p>
                      <w:p w14:paraId="652E85D5" w14:textId="77777777" w:rsidR="00A933B5" w:rsidRDefault="00A933B5" w:rsidP="00A933B5">
                        <w:pPr>
                          <w:spacing w:after="120" w:line="240" w:lineRule="auto"/>
                          <w:rPr>
                            <w:rFonts w:ascii="Arial" w:hAnsi="Arial" w:cs="Arial"/>
                            <w:sz w:val="16"/>
                            <w:szCs w:val="16"/>
                          </w:rPr>
                        </w:pPr>
                        <w:r>
                          <w:rPr>
                            <w:rFonts w:ascii="Arial" w:hAnsi="Arial" w:cs="Arial"/>
                            <w:b/>
                            <w:sz w:val="16"/>
                            <w:szCs w:val="16"/>
                          </w:rPr>
                          <w:t>Investing involves risk, including the possible loss of principal. Past performance does not guarantee future results.</w:t>
                        </w:r>
                        <w:r>
                          <w:rPr>
                            <w:rFonts w:ascii="Arial" w:hAnsi="Arial" w:cs="Arial"/>
                            <w:sz w:val="16"/>
                            <w:szCs w:val="16"/>
                          </w:rPr>
                          <w:t xml:space="preserve"> Asset allocation alone cannot eliminate the risk of fluctuating prices and uncertain returns. There is no guarantee that a diversified portfolio will outperform a non-diversified portfolio in any given market environment. No investment strategy, such as asset allocation, can guarantee a profit or protect against a loss. Actual client results will vary based on investment selection, timing, and market conditions. The market indices shown are non-managed indices shown for reference purposes. Index performance reflects the reinvestment of dividends. It is not possible to invest directly in an index, and index performance does not reflect any deduction for investment advisory fees. </w:t>
                        </w:r>
                      </w:p>
                      <w:p w14:paraId="44D139E2" w14:textId="77777777" w:rsidR="00A933B5" w:rsidRDefault="00A933B5" w:rsidP="00A933B5">
                        <w:pPr>
                          <w:spacing w:after="120" w:line="240" w:lineRule="auto"/>
                          <w:rPr>
                            <w:rFonts w:ascii="Arial" w:hAnsi="Arial" w:cs="Arial"/>
                            <w:sz w:val="16"/>
                            <w:szCs w:val="16"/>
                          </w:rPr>
                        </w:pPr>
                        <w:r>
                          <w:rPr>
                            <w:rFonts w:ascii="Arial" w:hAnsi="Arial" w:cs="Arial"/>
                            <w:sz w:val="16"/>
                            <w:szCs w:val="16"/>
                          </w:rPr>
                          <w:t>AssetMark, Inc. is an investment adviser registered with the Securities and Exchange Commission.</w:t>
                        </w:r>
                        <w:r>
                          <w:rPr>
                            <w:rFonts w:ascii="Arial" w:hAnsi="Arial" w:cs="Arial"/>
                            <w:sz w:val="16"/>
                            <w:szCs w:val="16"/>
                          </w:rPr>
                          <w:br/>
                          <w:t>©2021 AssetMark, Inc. All rights reserved.</w:t>
                        </w:r>
                      </w:p>
                      <w:p w14:paraId="29A67675" w14:textId="4B2EA82A" w:rsidR="00A933B5" w:rsidRDefault="00A933B5" w:rsidP="00A933B5">
                        <w:pPr>
                          <w:spacing w:after="120" w:line="240" w:lineRule="auto"/>
                          <w:rPr>
                            <w:rFonts w:ascii="Arial" w:hAnsi="Arial" w:cs="Arial"/>
                            <w:sz w:val="16"/>
                            <w:szCs w:val="16"/>
                          </w:rPr>
                        </w:pPr>
                        <w:r>
                          <w:rPr>
                            <w:rFonts w:ascii="Arial" w:hAnsi="Arial" w:cs="Arial"/>
                            <w:sz w:val="16"/>
                            <w:szCs w:val="16"/>
                          </w:rPr>
                          <w:t>10</w:t>
                        </w:r>
                        <w:r w:rsidR="00CA0E31">
                          <w:rPr>
                            <w:rFonts w:ascii="Arial" w:hAnsi="Arial" w:cs="Arial"/>
                            <w:sz w:val="16"/>
                            <w:szCs w:val="16"/>
                          </w:rPr>
                          <w:t>2</w:t>
                        </w:r>
                        <w:r w:rsidR="00FD495F">
                          <w:rPr>
                            <w:rFonts w:ascii="Arial" w:hAnsi="Arial" w:cs="Arial"/>
                            <w:sz w:val="16"/>
                            <w:szCs w:val="16"/>
                          </w:rPr>
                          <w:t>640</w:t>
                        </w:r>
                        <w:r>
                          <w:rPr>
                            <w:rFonts w:ascii="Arial" w:hAnsi="Arial" w:cs="Arial"/>
                            <w:sz w:val="16"/>
                            <w:szCs w:val="16"/>
                          </w:rPr>
                          <w:t xml:space="preserve"> | C2</w:t>
                        </w:r>
                        <w:r w:rsidR="00CA0E31">
                          <w:rPr>
                            <w:rFonts w:ascii="Arial" w:hAnsi="Arial" w:cs="Arial"/>
                            <w:sz w:val="16"/>
                            <w:szCs w:val="16"/>
                          </w:rPr>
                          <w:t>1-17</w:t>
                        </w:r>
                        <w:r w:rsidR="00FD495F">
                          <w:rPr>
                            <w:rFonts w:ascii="Arial" w:hAnsi="Arial" w:cs="Arial"/>
                            <w:sz w:val="16"/>
                            <w:szCs w:val="16"/>
                          </w:rPr>
                          <w:t>820</w:t>
                        </w:r>
                        <w:r>
                          <w:rPr>
                            <w:rFonts w:ascii="Arial" w:hAnsi="Arial" w:cs="Arial"/>
                            <w:sz w:val="16"/>
                            <w:szCs w:val="16"/>
                          </w:rPr>
                          <w:t xml:space="preserve"> | 0</w:t>
                        </w:r>
                        <w:r w:rsidR="00FD495F">
                          <w:rPr>
                            <w:rFonts w:ascii="Arial" w:hAnsi="Arial" w:cs="Arial"/>
                            <w:sz w:val="16"/>
                            <w:szCs w:val="16"/>
                          </w:rPr>
                          <w:t>7</w:t>
                        </w:r>
                        <w:r>
                          <w:rPr>
                            <w:rFonts w:ascii="Arial" w:hAnsi="Arial" w:cs="Arial"/>
                            <w:sz w:val="16"/>
                            <w:szCs w:val="16"/>
                          </w:rPr>
                          <w:t xml:space="preserve">/2021 | EXP </w:t>
                        </w:r>
                        <w:r w:rsidR="00CA0E31">
                          <w:rPr>
                            <w:rFonts w:ascii="Arial" w:hAnsi="Arial" w:cs="Arial"/>
                            <w:sz w:val="16"/>
                            <w:szCs w:val="16"/>
                          </w:rPr>
                          <w:t>0</w:t>
                        </w:r>
                        <w:r w:rsidR="00FD495F">
                          <w:rPr>
                            <w:rFonts w:ascii="Arial" w:hAnsi="Arial" w:cs="Arial"/>
                            <w:sz w:val="16"/>
                            <w:szCs w:val="16"/>
                          </w:rPr>
                          <w:t>7</w:t>
                        </w:r>
                        <w:r>
                          <w:rPr>
                            <w:rFonts w:ascii="Arial" w:hAnsi="Arial" w:cs="Arial"/>
                            <w:sz w:val="16"/>
                            <w:szCs w:val="16"/>
                          </w:rPr>
                          <w:t>/3</w:t>
                        </w:r>
                        <w:r w:rsidR="00FD495F">
                          <w:rPr>
                            <w:rFonts w:ascii="Arial" w:hAnsi="Arial" w:cs="Arial"/>
                            <w:sz w:val="16"/>
                            <w:szCs w:val="16"/>
                          </w:rPr>
                          <w:t>1</w:t>
                        </w:r>
                        <w:r>
                          <w:rPr>
                            <w:rFonts w:ascii="Arial" w:hAnsi="Arial" w:cs="Arial"/>
                            <w:sz w:val="16"/>
                            <w:szCs w:val="16"/>
                          </w:rPr>
                          <w:t>/202</w:t>
                        </w:r>
                        <w:r w:rsidR="00CA0E31">
                          <w:rPr>
                            <w:rFonts w:ascii="Arial" w:hAnsi="Arial" w:cs="Arial"/>
                            <w:sz w:val="16"/>
                            <w:szCs w:val="16"/>
                          </w:rPr>
                          <w:t>2</w:t>
                        </w:r>
                      </w:p>
                      <w:p w14:paraId="700A5642" w14:textId="69AAD043" w:rsidR="00A933B5" w:rsidRPr="004B1C5E" w:rsidRDefault="00A933B5" w:rsidP="00A933B5">
                        <w:pPr>
                          <w:spacing w:after="120" w:line="240" w:lineRule="auto"/>
                          <w:rPr>
                            <w:rFonts w:ascii="Arial" w:hAnsi="Arial" w:cs="Arial"/>
                            <w:sz w:val="16"/>
                            <w:szCs w:val="16"/>
                          </w:rPr>
                        </w:pPr>
                      </w:p>
                      <w:p w14:paraId="1C5DEE7A" w14:textId="131D87E2" w:rsidR="004F6ABF" w:rsidRPr="004B1C5E" w:rsidRDefault="004F6ABF" w:rsidP="004F6ABF">
                        <w:pPr>
                          <w:spacing w:after="120" w:line="240" w:lineRule="auto"/>
                          <w:rPr>
                            <w:rFonts w:ascii="Arial" w:hAnsi="Arial" w:cs="Arial"/>
                            <w:sz w:val="16"/>
                            <w:szCs w:val="16"/>
                          </w:rPr>
                        </w:pPr>
                      </w:p>
                    </w:txbxContent>
                  </v:textbox>
                </v:shape>
                <v:shape id="Text Box 23" o:spid="_x0000_s1030" type="#_x0000_t202" style="position:absolute;left:486;top:4084;width:13909;height:194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4077A185" w14:textId="77777777" w:rsidR="004F6ABF" w:rsidRPr="00A57DA9" w:rsidRDefault="004F6ABF" w:rsidP="004F6ABF">
                        <w:pPr>
                          <w:spacing w:after="120"/>
                          <w:rPr>
                            <w:rFonts w:ascii="Arial" w:hAnsi="Arial" w:cs="Arial"/>
                            <w:b/>
                            <w:sz w:val="16"/>
                            <w:szCs w:val="16"/>
                          </w:rPr>
                        </w:pPr>
                        <w:r w:rsidRPr="00A57DA9">
                          <w:rPr>
                            <w:rFonts w:ascii="Arial" w:hAnsi="Arial" w:cs="Arial"/>
                            <w:b/>
                            <w:sz w:val="16"/>
                            <w:szCs w:val="16"/>
                          </w:rPr>
                          <w:t>AssetMark, Inc.</w:t>
                        </w:r>
                      </w:p>
                      <w:p w14:paraId="487C5125" w14:textId="77777777" w:rsidR="004F6ABF" w:rsidRPr="00A57DA9" w:rsidRDefault="004F6ABF" w:rsidP="004F6ABF">
                        <w:pPr>
                          <w:spacing w:after="120"/>
                          <w:rPr>
                            <w:rFonts w:ascii="Arial" w:hAnsi="Arial" w:cs="Arial"/>
                            <w:sz w:val="16"/>
                            <w:szCs w:val="16"/>
                          </w:rPr>
                        </w:pPr>
                        <w:r w:rsidRPr="00A57DA9">
                          <w:rPr>
                            <w:rFonts w:ascii="Arial" w:hAnsi="Arial" w:cs="Arial"/>
                            <w:sz w:val="16"/>
                            <w:szCs w:val="16"/>
                          </w:rPr>
                          <w:t>1655 Grant Street</w:t>
                        </w:r>
                        <w:r w:rsidRPr="00A57DA9">
                          <w:rPr>
                            <w:rFonts w:ascii="Arial" w:hAnsi="Arial" w:cs="Arial"/>
                            <w:sz w:val="16"/>
                            <w:szCs w:val="16"/>
                          </w:rPr>
                          <w:br/>
                          <w:t>10</w:t>
                        </w:r>
                        <w:r w:rsidRPr="00A57DA9">
                          <w:rPr>
                            <w:rFonts w:ascii="Arial" w:hAnsi="Arial" w:cs="Arial"/>
                            <w:sz w:val="16"/>
                            <w:szCs w:val="16"/>
                            <w:vertAlign w:val="superscript"/>
                          </w:rPr>
                          <w:t>th</w:t>
                        </w:r>
                        <w:r w:rsidRPr="00A57DA9">
                          <w:rPr>
                            <w:rFonts w:ascii="Arial" w:hAnsi="Arial" w:cs="Arial"/>
                            <w:sz w:val="16"/>
                            <w:szCs w:val="16"/>
                          </w:rPr>
                          <w:t xml:space="preserve"> Floor</w:t>
                        </w:r>
                        <w:r w:rsidRPr="00A57DA9">
                          <w:rPr>
                            <w:rFonts w:ascii="Arial" w:hAnsi="Arial" w:cs="Arial"/>
                            <w:sz w:val="16"/>
                            <w:szCs w:val="16"/>
                          </w:rPr>
                          <w:br/>
                          <w:t>Concord, CA 94520-2445</w:t>
                        </w:r>
                        <w:r w:rsidRPr="00A57DA9">
                          <w:rPr>
                            <w:rFonts w:ascii="Arial" w:hAnsi="Arial" w:cs="Arial"/>
                            <w:sz w:val="16"/>
                            <w:szCs w:val="16"/>
                          </w:rPr>
                          <w:br/>
                          <w:t>800-664-5345</w:t>
                        </w:r>
                      </w:p>
                    </w:txbxContent>
                  </v:textbox>
                </v:shape>
                <w10:wrap type="tight" anchorx="margin" anchory="margin"/>
              </v:group>
            </w:pict>
          </mc:Fallback>
        </mc:AlternateContent>
      </w:r>
    </w:p>
    <w:sectPr w:rsidR="000F6A69" w:rsidRPr="009F65E5" w:rsidSect="00890AD2">
      <w:type w:val="continuous"/>
      <w:pgSz w:w="12240" w:h="15840"/>
      <w:pgMar w:top="-1659" w:right="1440" w:bottom="151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44280" w14:textId="77777777" w:rsidR="002824DF" w:rsidRDefault="002824DF" w:rsidP="005C1D70">
      <w:pPr>
        <w:spacing w:after="0" w:line="240" w:lineRule="auto"/>
      </w:pPr>
      <w:r>
        <w:separator/>
      </w:r>
    </w:p>
  </w:endnote>
  <w:endnote w:type="continuationSeparator" w:id="0">
    <w:p w14:paraId="2CCC6373" w14:textId="77777777" w:rsidR="002824DF" w:rsidRDefault="002824DF" w:rsidP="005C1D70">
      <w:pPr>
        <w:spacing w:after="0" w:line="240" w:lineRule="auto"/>
      </w:pPr>
      <w:r>
        <w:continuationSeparator/>
      </w:r>
    </w:p>
  </w:endnote>
  <w:endnote w:id="1">
    <w:p w14:paraId="477A7848" w14:textId="17797631" w:rsidR="009A7096" w:rsidRDefault="009A7096">
      <w:pPr>
        <w:pStyle w:val="EndnoteText"/>
      </w:pPr>
      <w:r>
        <w:rPr>
          <w:rStyle w:val="EndnoteReference"/>
        </w:rPr>
        <w:endnoteRef/>
      </w:r>
      <w:r>
        <w:t xml:space="preserve"> </w:t>
      </w:r>
      <w:r w:rsidRPr="009A7096">
        <w:t>https://www.marketwatch.com/story/sp-500-books-34th-record-of-2021-as-dow-closes-up-over-200-points-nears-may-7-record-high-2021-06-30</w:t>
      </w:r>
    </w:p>
  </w:endnote>
  <w:endnote w:id="2">
    <w:p w14:paraId="1217FC77" w14:textId="7D0683E1" w:rsidR="009A7096" w:rsidRDefault="009A7096">
      <w:pPr>
        <w:pStyle w:val="EndnoteText"/>
      </w:pPr>
      <w:r>
        <w:rPr>
          <w:rStyle w:val="EndnoteReference"/>
        </w:rPr>
        <w:endnoteRef/>
      </w:r>
      <w:r>
        <w:t xml:space="preserve"> </w:t>
      </w:r>
      <w:r w:rsidRPr="009A7096">
        <w:t>https://fred.stlouisfed.org/series/VIXCLS</w:t>
      </w:r>
    </w:p>
  </w:endnote>
  <w:endnote w:id="3">
    <w:p w14:paraId="21B3F374" w14:textId="51383D5F" w:rsidR="009A7096" w:rsidRDefault="009A7096">
      <w:pPr>
        <w:pStyle w:val="EndnoteText"/>
      </w:pPr>
      <w:r>
        <w:rPr>
          <w:rStyle w:val="EndnoteReference"/>
        </w:rPr>
        <w:endnoteRef/>
      </w:r>
      <w:r>
        <w:t xml:space="preserve"> </w:t>
      </w:r>
      <w:r w:rsidRPr="009A7096">
        <w:t>https://am.jpmorgan.com/ch/en/asset-management/adv/insights/market-insights/monthly-market-review/</w:t>
      </w:r>
    </w:p>
  </w:endnote>
  <w:endnote w:id="4">
    <w:p w14:paraId="499C124E" w14:textId="77777777" w:rsidR="005D098B" w:rsidRDefault="005D098B" w:rsidP="005D098B">
      <w:pPr>
        <w:pStyle w:val="EndnoteText"/>
      </w:pPr>
      <w:r>
        <w:rPr>
          <w:rStyle w:val="EndnoteReference"/>
        </w:rPr>
        <w:endnoteRef/>
      </w:r>
      <w:r>
        <w:t xml:space="preserve"> </w:t>
      </w:r>
      <w:r w:rsidRPr="009A7096">
        <w:t>https://www.macrotrends.net/2480/brent-crude-oil-prices-10-year-daily-chart</w:t>
      </w:r>
    </w:p>
  </w:endnote>
  <w:endnote w:id="5">
    <w:p w14:paraId="219D8926" w14:textId="3D21CBCD" w:rsidR="009A7096" w:rsidRDefault="009A7096">
      <w:pPr>
        <w:pStyle w:val="EndnoteText"/>
      </w:pPr>
      <w:r>
        <w:rPr>
          <w:rStyle w:val="EndnoteReference"/>
        </w:rPr>
        <w:endnoteRef/>
      </w:r>
      <w:r>
        <w:t xml:space="preserve"> </w:t>
      </w:r>
      <w:r w:rsidRPr="009A7096">
        <w:t>https://www.treasury.gov/resource-center/data-chart-center/interest-rates/pages/TextView.aspx?data=yieldYear&amp;year=2021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82884803"/>
      <w:docPartObj>
        <w:docPartGallery w:val="Page Numbers (Bottom of Page)"/>
        <w:docPartUnique/>
      </w:docPartObj>
    </w:sdtPr>
    <w:sdtEndPr>
      <w:rPr>
        <w:rStyle w:val="PageNumber"/>
      </w:rPr>
    </w:sdtEndPr>
    <w:sdtContent>
      <w:p w14:paraId="6A74A47C" w14:textId="77777777" w:rsidR="007C4C9B" w:rsidRDefault="007C4C9B" w:rsidP="007E4E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D71998" w14:textId="77777777" w:rsidR="005C1D70" w:rsidRDefault="005C1D70" w:rsidP="007C4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767171" w:themeColor="background2" w:themeShade="80"/>
        <w:sz w:val="20"/>
      </w:rPr>
      <w:id w:val="1965231298"/>
      <w:docPartObj>
        <w:docPartGallery w:val="Page Numbers (Bottom of Page)"/>
        <w:docPartUnique/>
      </w:docPartObj>
    </w:sdtPr>
    <w:sdtEndPr>
      <w:rPr>
        <w:rStyle w:val="PageNumber"/>
      </w:rPr>
    </w:sdtEndPr>
    <w:sdtContent>
      <w:p w14:paraId="667BBCF9" w14:textId="77777777" w:rsidR="007C4C9B" w:rsidRPr="007C4C9B" w:rsidRDefault="007C4C9B" w:rsidP="007C4C9B">
        <w:pPr>
          <w:pStyle w:val="Footer"/>
          <w:framePr w:wrap="none" w:vAnchor="text" w:hAnchor="page" w:x="11383" w:y="263"/>
          <w:rPr>
            <w:rStyle w:val="PageNumber"/>
            <w:rFonts w:ascii="Arial" w:hAnsi="Arial" w:cs="Arial"/>
            <w:color w:val="767171" w:themeColor="background2" w:themeShade="80"/>
            <w:sz w:val="20"/>
          </w:rPr>
        </w:pPr>
        <w:r w:rsidRPr="007C4C9B">
          <w:rPr>
            <w:rStyle w:val="PageNumber"/>
            <w:rFonts w:ascii="Arial" w:hAnsi="Arial" w:cs="Arial"/>
            <w:color w:val="767171" w:themeColor="background2" w:themeShade="80"/>
            <w:sz w:val="20"/>
          </w:rPr>
          <w:fldChar w:fldCharType="begin"/>
        </w:r>
        <w:r w:rsidRPr="007C4C9B">
          <w:rPr>
            <w:rStyle w:val="PageNumber"/>
            <w:rFonts w:ascii="Arial" w:hAnsi="Arial" w:cs="Arial"/>
            <w:color w:val="767171" w:themeColor="background2" w:themeShade="80"/>
            <w:sz w:val="20"/>
          </w:rPr>
          <w:instrText xml:space="preserve"> PAGE </w:instrText>
        </w:r>
        <w:r w:rsidRPr="007C4C9B">
          <w:rPr>
            <w:rStyle w:val="PageNumber"/>
            <w:rFonts w:ascii="Arial" w:hAnsi="Arial" w:cs="Arial"/>
            <w:color w:val="767171" w:themeColor="background2" w:themeShade="80"/>
            <w:sz w:val="20"/>
          </w:rPr>
          <w:fldChar w:fldCharType="separate"/>
        </w:r>
        <w:r w:rsidR="00C146FF">
          <w:rPr>
            <w:rStyle w:val="PageNumber"/>
            <w:rFonts w:ascii="Arial" w:hAnsi="Arial" w:cs="Arial"/>
            <w:noProof/>
            <w:color w:val="767171" w:themeColor="background2" w:themeShade="80"/>
            <w:sz w:val="20"/>
          </w:rPr>
          <w:t>4</w:t>
        </w:r>
        <w:r w:rsidRPr="007C4C9B">
          <w:rPr>
            <w:rStyle w:val="PageNumber"/>
            <w:rFonts w:ascii="Arial" w:hAnsi="Arial" w:cs="Arial"/>
            <w:color w:val="767171" w:themeColor="background2" w:themeShade="80"/>
            <w:sz w:val="20"/>
          </w:rPr>
          <w:fldChar w:fldCharType="end"/>
        </w:r>
      </w:p>
    </w:sdtContent>
  </w:sdt>
  <w:p w14:paraId="340D8F79" w14:textId="77777777" w:rsidR="005C1D70" w:rsidRDefault="00FE3FBC" w:rsidP="007C4C9B">
    <w:pPr>
      <w:pStyle w:val="Footer"/>
      <w:ind w:right="360"/>
    </w:pPr>
    <w:r>
      <w:rPr>
        <w:noProof/>
      </w:rPr>
      <mc:AlternateContent>
        <mc:Choice Requires="wps">
          <w:drawing>
            <wp:anchor distT="0" distB="0" distL="114300" distR="114300" simplePos="0" relativeHeight="251666432" behindDoc="0" locked="0" layoutInCell="1" allowOverlap="1" wp14:anchorId="20DA12BF" wp14:editId="154F3E05">
              <wp:simplePos x="0" y="0"/>
              <wp:positionH relativeFrom="column">
                <wp:posOffset>-457200</wp:posOffset>
              </wp:positionH>
              <wp:positionV relativeFrom="paragraph">
                <wp:posOffset>78740</wp:posOffset>
              </wp:positionV>
              <wp:extent cx="2743200" cy="2527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43200" cy="252730"/>
                      </a:xfrm>
                      <a:prstGeom prst="rect">
                        <a:avLst/>
                      </a:prstGeom>
                      <a:noFill/>
                      <a:ln w="6350">
                        <a:noFill/>
                      </a:ln>
                    </wps:spPr>
                    <wps:txbx>
                      <w:txbxContent>
                        <w:p w14:paraId="312E4BBA" w14:textId="77777777" w:rsidR="00FE3FBC" w:rsidRPr="005C1D70" w:rsidRDefault="00FE3FBC" w:rsidP="00FE3FBC">
                          <w:pPr>
                            <w:rPr>
                              <w:rFonts w:ascii="Arial" w:hAnsi="Arial" w:cs="Arial"/>
                              <w:color w:val="767171" w:themeColor="background2" w:themeShade="80"/>
                              <w:sz w:val="18"/>
                            </w:rPr>
                          </w:pPr>
                          <w:r>
                            <w:rPr>
                              <w:rFonts w:ascii="Arial" w:hAnsi="Arial" w:cs="Arial"/>
                              <w:color w:val="767171" w:themeColor="background2" w:themeShade="80"/>
                              <w:sz w:val="20"/>
                              <w:szCs w:val="36"/>
                            </w:rPr>
                            <w:t xml:space="preserve">For </w:t>
                          </w:r>
                          <w:r w:rsidR="00A02EE9">
                            <w:rPr>
                              <w:rFonts w:ascii="Arial" w:hAnsi="Arial" w:cs="Arial"/>
                              <w:color w:val="767171" w:themeColor="background2" w:themeShade="80"/>
                              <w:sz w:val="20"/>
                              <w:szCs w:val="36"/>
                            </w:rPr>
                            <w:t>general public use</w:t>
                          </w:r>
                          <w:r>
                            <w:rPr>
                              <w:rFonts w:ascii="Arial" w:hAnsi="Arial" w:cs="Arial"/>
                              <w:color w:val="767171" w:themeColor="background2" w:themeShade="80"/>
                              <w:sz w:val="20"/>
                              <w:szCs w:val="36"/>
                            </w:rPr>
                            <w:t>.</w:t>
                          </w:r>
                        </w:p>
                        <w:p w14:paraId="581BF8DC" w14:textId="77777777" w:rsidR="007C4C9B" w:rsidRPr="005C1D70" w:rsidRDefault="007C4C9B" w:rsidP="007C4C9B">
                          <w:pPr>
                            <w:rPr>
                              <w:rFonts w:ascii="Arial" w:hAnsi="Arial" w:cs="Arial"/>
                              <w:color w:val="767171" w:themeColor="background2" w:themeShade="80"/>
                              <w:sz w:val="18"/>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A12BF" id="_x0000_t202" coordsize="21600,21600" o:spt="202" path="m,l,21600r21600,l21600,xe">
              <v:stroke joinstyle="miter"/>
              <v:path gradientshapeok="t" o:connecttype="rect"/>
            </v:shapetype>
            <v:shape id="Text Box 6" o:spid="_x0000_s1031" type="#_x0000_t202" style="position:absolute;margin-left:-36pt;margin-top:6.2pt;width:3in;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" filled="f" stroked="f" strokeweight=".5pt">
              <v:textbox inset="0">
                <w:txbxContent>
                  <w:p w14:paraId="312E4BBA" w14:textId="77777777" w:rsidR="00FE3FBC" w:rsidRPr="005C1D70" w:rsidRDefault="00FE3FBC" w:rsidP="00FE3FBC">
                    <w:pPr>
                      <w:rPr>
                        <w:rFonts w:ascii="Arial" w:hAnsi="Arial" w:cs="Arial"/>
                        <w:color w:val="767171" w:themeColor="background2" w:themeShade="80"/>
                        <w:sz w:val="18"/>
                      </w:rPr>
                    </w:pPr>
                    <w:r>
                      <w:rPr>
                        <w:rFonts w:ascii="Arial" w:hAnsi="Arial" w:cs="Arial"/>
                        <w:color w:val="767171" w:themeColor="background2" w:themeShade="80"/>
                        <w:sz w:val="20"/>
                        <w:szCs w:val="36"/>
                      </w:rPr>
                      <w:t xml:space="preserve">For </w:t>
                    </w:r>
                    <w:r w:rsidR="00A02EE9">
                      <w:rPr>
                        <w:rFonts w:ascii="Arial" w:hAnsi="Arial" w:cs="Arial"/>
                        <w:color w:val="767171" w:themeColor="background2" w:themeShade="80"/>
                        <w:sz w:val="20"/>
                        <w:szCs w:val="36"/>
                      </w:rPr>
                      <w:t>general public use</w:t>
                    </w:r>
                    <w:r>
                      <w:rPr>
                        <w:rFonts w:ascii="Arial" w:hAnsi="Arial" w:cs="Arial"/>
                        <w:color w:val="767171" w:themeColor="background2" w:themeShade="80"/>
                        <w:sz w:val="20"/>
                        <w:szCs w:val="36"/>
                      </w:rPr>
                      <w:t>.</w:t>
                    </w:r>
                  </w:p>
                  <w:p w14:paraId="581BF8DC" w14:textId="77777777" w:rsidR="007C4C9B" w:rsidRPr="005C1D70" w:rsidRDefault="007C4C9B" w:rsidP="007C4C9B">
                    <w:pPr>
                      <w:rPr>
                        <w:rFonts w:ascii="Arial" w:hAnsi="Arial" w:cs="Arial"/>
                        <w:color w:val="767171" w:themeColor="background2" w:themeShade="80"/>
                        <w:sz w:val="18"/>
                      </w:rPr>
                    </w:pPr>
                  </w:p>
                </w:txbxContent>
              </v:textbox>
            </v:shape>
          </w:pict>
        </mc:Fallback>
      </mc:AlternateContent>
    </w:r>
    <w:r w:rsidR="007C4C9B">
      <w:rPr>
        <w:noProof/>
      </w:rPr>
      <mc:AlternateContent>
        <mc:Choice Requires="wps">
          <w:drawing>
            <wp:anchor distT="0" distB="0" distL="114300" distR="114300" simplePos="0" relativeHeight="251668480" behindDoc="0" locked="0" layoutInCell="1" allowOverlap="1" wp14:anchorId="0387E4A2" wp14:editId="661C3BFE">
              <wp:simplePos x="0" y="0"/>
              <wp:positionH relativeFrom="column">
                <wp:posOffset>5386502</wp:posOffset>
              </wp:positionH>
              <wp:positionV relativeFrom="paragraph">
                <wp:posOffset>117475</wp:posOffset>
              </wp:positionV>
              <wp:extent cx="884826" cy="252730"/>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232D97A9" w14:textId="77777777" w:rsidR="007C4C9B" w:rsidRPr="005C1D70" w:rsidRDefault="007C4C9B" w:rsidP="007C4C9B">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7E4A2" id="Text Box 7" o:spid="_x0000_s1032" type="#_x0000_t202" style="position:absolute;margin-left:424.15pt;margin-top:9.25pt;width:69.65pt;height:1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" filled="f" stroked="f" strokeweight=".5pt">
              <v:textbox inset="0,,0">
                <w:txbxContent>
                  <w:p w14:paraId="232D97A9" w14:textId="77777777" w:rsidR="007C4C9B" w:rsidRPr="005C1D70" w:rsidRDefault="007C4C9B" w:rsidP="007C4C9B">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v:textbox>
            </v:shape>
          </w:pict>
        </mc:Fallback>
      </mc:AlternateContent>
    </w:r>
    <w:r w:rsidR="007C4C9B">
      <w:rPr>
        <w:noProof/>
      </w:rPr>
      <mc:AlternateContent>
        <mc:Choice Requires="wps">
          <w:drawing>
            <wp:anchor distT="0" distB="0" distL="114300" distR="114300" simplePos="0" relativeHeight="251664384" behindDoc="0" locked="0" layoutInCell="1" allowOverlap="1" wp14:anchorId="4CF63696" wp14:editId="0209D354">
              <wp:simplePos x="0" y="0"/>
              <wp:positionH relativeFrom="margin">
                <wp:posOffset>-463550</wp:posOffset>
              </wp:positionH>
              <wp:positionV relativeFrom="paragraph">
                <wp:posOffset>-31750</wp:posOffset>
              </wp:positionV>
              <wp:extent cx="68580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C4C6CA" id="Straight Connector 5" o:spid="_x0000_s1026" style="position:absolute;z-index:251664384;visibility:visible;mso-wrap-style:square;mso-wrap-distance-left:9pt;mso-wrap-distance-top:0;mso-wrap-distance-right:9pt;mso-wrap-distance-bottom:0;mso-position-horizontal:absolute;mso-position-horizontal-relative:margin;mso-position-vertical:absolute;mso-position-vertical-relative:text" from="-36.5pt,-2.5pt" to="5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" strokecolor="#a5a5a5 [2092]"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767171" w:themeColor="background2" w:themeShade="80"/>
        <w:sz w:val="20"/>
      </w:rPr>
      <w:id w:val="-1014764887"/>
      <w:docPartObj>
        <w:docPartGallery w:val="Page Numbers (Bottom of Page)"/>
        <w:docPartUnique/>
      </w:docPartObj>
    </w:sdtPr>
    <w:sdtEndPr>
      <w:rPr>
        <w:rStyle w:val="PageNumber"/>
      </w:rPr>
    </w:sdtEndPr>
    <w:sdtContent>
      <w:p w14:paraId="4C8522BA" w14:textId="77777777" w:rsidR="00996FBD" w:rsidRPr="007C4C9B" w:rsidRDefault="00996FBD" w:rsidP="00996FBD">
        <w:pPr>
          <w:pStyle w:val="Footer"/>
          <w:framePr w:wrap="none" w:vAnchor="text" w:hAnchor="page" w:x="11383" w:y="248"/>
          <w:rPr>
            <w:rStyle w:val="PageNumber"/>
            <w:rFonts w:ascii="Arial" w:hAnsi="Arial" w:cs="Arial"/>
            <w:color w:val="767171" w:themeColor="background2" w:themeShade="80"/>
            <w:sz w:val="20"/>
          </w:rPr>
        </w:pPr>
        <w:r w:rsidRPr="007C4C9B">
          <w:rPr>
            <w:rStyle w:val="PageNumber"/>
            <w:rFonts w:ascii="Arial" w:hAnsi="Arial" w:cs="Arial"/>
            <w:color w:val="767171" w:themeColor="background2" w:themeShade="80"/>
            <w:sz w:val="20"/>
          </w:rPr>
          <w:fldChar w:fldCharType="begin"/>
        </w:r>
        <w:r w:rsidRPr="007C4C9B">
          <w:rPr>
            <w:rStyle w:val="PageNumber"/>
            <w:rFonts w:ascii="Arial" w:hAnsi="Arial" w:cs="Arial"/>
            <w:color w:val="767171" w:themeColor="background2" w:themeShade="80"/>
            <w:sz w:val="20"/>
          </w:rPr>
          <w:instrText xml:space="preserve"> PAGE </w:instrText>
        </w:r>
        <w:r w:rsidRPr="007C4C9B">
          <w:rPr>
            <w:rStyle w:val="PageNumber"/>
            <w:rFonts w:ascii="Arial" w:hAnsi="Arial" w:cs="Arial"/>
            <w:color w:val="767171" w:themeColor="background2" w:themeShade="80"/>
            <w:sz w:val="20"/>
          </w:rPr>
          <w:fldChar w:fldCharType="separate"/>
        </w:r>
        <w:r w:rsidR="00992B9C">
          <w:rPr>
            <w:rStyle w:val="PageNumber"/>
            <w:rFonts w:ascii="Arial" w:hAnsi="Arial" w:cs="Arial"/>
            <w:noProof/>
            <w:color w:val="767171" w:themeColor="background2" w:themeShade="80"/>
            <w:sz w:val="20"/>
          </w:rPr>
          <w:t>1</w:t>
        </w:r>
        <w:r w:rsidRPr="007C4C9B">
          <w:rPr>
            <w:rStyle w:val="PageNumber"/>
            <w:rFonts w:ascii="Arial" w:hAnsi="Arial" w:cs="Arial"/>
            <w:color w:val="767171" w:themeColor="background2" w:themeShade="80"/>
            <w:sz w:val="20"/>
          </w:rPr>
          <w:fldChar w:fldCharType="end"/>
        </w:r>
      </w:p>
    </w:sdtContent>
  </w:sdt>
  <w:p w14:paraId="2A9219EE" w14:textId="77777777" w:rsidR="00996FBD" w:rsidRDefault="00FE3FBC" w:rsidP="00996FBD">
    <w:pPr>
      <w:pStyle w:val="Footer"/>
    </w:pPr>
    <w:r w:rsidRPr="00996FBD">
      <w:rPr>
        <w:noProof/>
      </w:rPr>
      <mc:AlternateContent>
        <mc:Choice Requires="wps">
          <w:drawing>
            <wp:anchor distT="0" distB="0" distL="114300" distR="114300" simplePos="0" relativeHeight="251676672" behindDoc="0" locked="0" layoutInCell="1" allowOverlap="1" wp14:anchorId="2EFAE302" wp14:editId="1E349912">
              <wp:simplePos x="0" y="0"/>
              <wp:positionH relativeFrom="column">
                <wp:posOffset>-447040</wp:posOffset>
              </wp:positionH>
              <wp:positionV relativeFrom="paragraph">
                <wp:posOffset>78740</wp:posOffset>
              </wp:positionV>
              <wp:extent cx="2743200" cy="2527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43200" cy="252730"/>
                      </a:xfrm>
                      <a:prstGeom prst="rect">
                        <a:avLst/>
                      </a:prstGeom>
                      <a:noFill/>
                      <a:ln w="6350">
                        <a:noFill/>
                      </a:ln>
                    </wps:spPr>
                    <wps:txbx>
                      <w:txbxContent>
                        <w:p w14:paraId="02AEC2E0" w14:textId="77777777" w:rsidR="00996FBD" w:rsidRPr="005C1D70" w:rsidRDefault="00996FBD" w:rsidP="00996FBD">
                          <w:pPr>
                            <w:rPr>
                              <w:rFonts w:ascii="Arial" w:hAnsi="Arial" w:cs="Arial"/>
                              <w:color w:val="767171" w:themeColor="background2" w:themeShade="80"/>
                              <w:sz w:val="18"/>
                            </w:rPr>
                          </w:pPr>
                          <w:r>
                            <w:rPr>
                              <w:rFonts w:ascii="Arial" w:hAnsi="Arial" w:cs="Arial"/>
                              <w:color w:val="767171" w:themeColor="background2" w:themeShade="80"/>
                              <w:sz w:val="20"/>
                              <w:szCs w:val="36"/>
                            </w:rPr>
                            <w:t xml:space="preserve">For </w:t>
                          </w:r>
                          <w:r w:rsidR="0069692B">
                            <w:rPr>
                              <w:rFonts w:ascii="Arial" w:hAnsi="Arial" w:cs="Arial"/>
                              <w:color w:val="767171" w:themeColor="background2" w:themeShade="80"/>
                              <w:sz w:val="20"/>
                              <w:szCs w:val="36"/>
                            </w:rPr>
                            <w:t>general public use</w:t>
                          </w:r>
                          <w:r w:rsidR="00FE3FBC">
                            <w:rPr>
                              <w:rFonts w:ascii="Arial" w:hAnsi="Arial" w:cs="Arial"/>
                              <w:color w:val="767171" w:themeColor="background2" w:themeShade="80"/>
                              <w:sz w:val="20"/>
                              <w:szCs w:val="36"/>
                            </w:rPr>
                            <w:t>.</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AE302" id="_x0000_t202" coordsize="21600,21600" o:spt="202" path="m,l,21600r21600,l21600,xe">
              <v:stroke joinstyle="miter"/>
              <v:path gradientshapeok="t" o:connecttype="rect"/>
            </v:shapetype>
            <v:shape id="Text Box 13" o:spid="_x0000_s1035" type="#_x0000_t202" style="position:absolute;margin-left:-35.2pt;margin-top:6.2pt;width:3in;height:1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" filled="f" stroked="f" strokeweight=".5pt">
              <v:textbox inset="0">
                <w:txbxContent>
                  <w:p w14:paraId="02AEC2E0" w14:textId="77777777" w:rsidR="00996FBD" w:rsidRPr="005C1D70" w:rsidRDefault="00996FBD" w:rsidP="00996FBD">
                    <w:pPr>
                      <w:rPr>
                        <w:rFonts w:ascii="Arial" w:hAnsi="Arial" w:cs="Arial"/>
                        <w:color w:val="767171" w:themeColor="background2" w:themeShade="80"/>
                        <w:sz w:val="18"/>
                      </w:rPr>
                    </w:pPr>
                    <w:r>
                      <w:rPr>
                        <w:rFonts w:ascii="Arial" w:hAnsi="Arial" w:cs="Arial"/>
                        <w:color w:val="767171" w:themeColor="background2" w:themeShade="80"/>
                        <w:sz w:val="20"/>
                        <w:szCs w:val="36"/>
                      </w:rPr>
                      <w:t xml:space="preserve">For </w:t>
                    </w:r>
                    <w:r w:rsidR="0069692B">
                      <w:rPr>
                        <w:rFonts w:ascii="Arial" w:hAnsi="Arial" w:cs="Arial"/>
                        <w:color w:val="767171" w:themeColor="background2" w:themeShade="80"/>
                        <w:sz w:val="20"/>
                        <w:szCs w:val="36"/>
                      </w:rPr>
                      <w:t>general public use</w:t>
                    </w:r>
                    <w:r w:rsidR="00FE3FBC">
                      <w:rPr>
                        <w:rFonts w:ascii="Arial" w:hAnsi="Arial" w:cs="Arial"/>
                        <w:color w:val="767171" w:themeColor="background2" w:themeShade="80"/>
                        <w:sz w:val="20"/>
                        <w:szCs w:val="36"/>
                      </w:rPr>
                      <w:t>.</w:t>
                    </w:r>
                  </w:p>
                </w:txbxContent>
              </v:textbox>
            </v:shape>
          </w:pict>
        </mc:Fallback>
      </mc:AlternateContent>
    </w:r>
    <w:r w:rsidR="00996FBD" w:rsidRPr="00996FBD">
      <w:t xml:space="preserve"> </w:t>
    </w:r>
    <w:r w:rsidR="00996FBD" w:rsidRPr="00996FBD">
      <w:rPr>
        <w:noProof/>
      </w:rPr>
      <mc:AlternateContent>
        <mc:Choice Requires="wps">
          <w:drawing>
            <wp:anchor distT="0" distB="0" distL="114300" distR="114300" simplePos="0" relativeHeight="251675648" behindDoc="0" locked="0" layoutInCell="1" allowOverlap="1" wp14:anchorId="397A5959" wp14:editId="20A9D11E">
              <wp:simplePos x="0" y="0"/>
              <wp:positionH relativeFrom="margin">
                <wp:posOffset>-454660</wp:posOffset>
              </wp:positionH>
              <wp:positionV relativeFrom="paragraph">
                <wp:posOffset>-37465</wp:posOffset>
              </wp:positionV>
              <wp:extent cx="6858000" cy="0"/>
              <wp:effectExtent l="0" t="0" r="12700" b="12700"/>
              <wp:wrapNone/>
              <wp:docPr id="12" name="Straight Connector 12"/>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7CD5E9" id="Straight Connector 12"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35.8pt,-2.95pt" to="50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" strokecolor="#a5a5a5 [2092]" strokeweight=".5pt">
              <v:stroke joinstyle="miter"/>
              <w10:wrap anchorx="margin"/>
            </v:line>
          </w:pict>
        </mc:Fallback>
      </mc:AlternateContent>
    </w:r>
    <w:r w:rsidR="00996FBD" w:rsidRPr="00996FBD">
      <w:rPr>
        <w:noProof/>
      </w:rPr>
      <mc:AlternateContent>
        <mc:Choice Requires="wps">
          <w:drawing>
            <wp:anchor distT="0" distB="0" distL="114300" distR="114300" simplePos="0" relativeHeight="251677696" behindDoc="0" locked="0" layoutInCell="1" allowOverlap="1" wp14:anchorId="59467632" wp14:editId="56C905B0">
              <wp:simplePos x="0" y="0"/>
              <wp:positionH relativeFrom="column">
                <wp:posOffset>5395162</wp:posOffset>
              </wp:positionH>
              <wp:positionV relativeFrom="paragraph">
                <wp:posOffset>112111</wp:posOffset>
              </wp:positionV>
              <wp:extent cx="884826" cy="252730"/>
              <wp:effectExtent l="0" t="0" r="4445" b="0"/>
              <wp:wrapNone/>
              <wp:docPr id="14" name="Text Box 14"/>
              <wp:cNvGraphicFramePr/>
              <a:graphic xmlns:a="http://schemas.openxmlformats.org/drawingml/2006/main">
                <a:graphicData uri="http://schemas.microsoft.com/office/word/2010/wordprocessingShape">
                  <wps:wsp>
                    <wps:cNvSpPr txBox="1"/>
                    <wps:spPr>
                      <a:xfrm>
                        <a:off x="0" y="0"/>
                        <a:ext cx="884826" cy="252730"/>
                      </a:xfrm>
                      <a:prstGeom prst="rect">
                        <a:avLst/>
                      </a:prstGeom>
                      <a:noFill/>
                      <a:ln w="6350">
                        <a:noFill/>
                      </a:ln>
                    </wps:spPr>
                    <wps:txbx>
                      <w:txbxContent>
                        <w:p w14:paraId="39E8C753" w14:textId="77777777" w:rsidR="00996FBD" w:rsidRPr="005C1D70" w:rsidRDefault="00996FBD" w:rsidP="00996FBD">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67632" id="Text Box 14" o:spid="_x0000_s1036" type="#_x0000_t202" style="position:absolute;margin-left:424.8pt;margin-top:8.85pt;width:69.65pt;height:19.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" filled="f" stroked="f" strokeweight=".5pt">
              <v:textbox inset="0,,0">
                <w:txbxContent>
                  <w:p w14:paraId="39E8C753" w14:textId="77777777" w:rsidR="00996FBD" w:rsidRPr="005C1D70" w:rsidRDefault="00996FBD" w:rsidP="00996FBD">
                    <w:pPr>
                      <w:jc w:val="right"/>
                      <w:rPr>
                        <w:rFonts w:ascii="Arial" w:hAnsi="Arial" w:cs="Arial"/>
                        <w:color w:val="767171" w:themeColor="background2" w:themeShade="80"/>
                        <w:sz w:val="18"/>
                      </w:rPr>
                    </w:pPr>
                    <w:r>
                      <w:rPr>
                        <w:rFonts w:ascii="Arial" w:hAnsi="Arial" w:cs="Arial"/>
                        <w:color w:val="767171" w:themeColor="background2" w:themeShade="80"/>
                        <w:sz w:val="20"/>
                        <w:szCs w:val="36"/>
                      </w:rPr>
                      <w:t xml:space="preserve">AssetMark |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169F7" w14:textId="77777777" w:rsidR="002824DF" w:rsidRDefault="002824DF" w:rsidP="005C1D70">
      <w:pPr>
        <w:spacing w:after="0" w:line="240" w:lineRule="auto"/>
      </w:pPr>
      <w:r>
        <w:separator/>
      </w:r>
    </w:p>
  </w:footnote>
  <w:footnote w:type="continuationSeparator" w:id="0">
    <w:p w14:paraId="1A7EB955" w14:textId="77777777" w:rsidR="002824DF" w:rsidRDefault="002824DF" w:rsidP="005C1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81D54" w14:textId="77777777" w:rsidR="005C1D70" w:rsidRDefault="00996FBD" w:rsidP="00996FBD">
    <w:pPr>
      <w:pStyle w:val="Header"/>
      <w:ind w:left="-720"/>
    </w:pPr>
    <w:r>
      <w:rPr>
        <w:noProof/>
      </w:rPr>
      <mc:AlternateContent>
        <mc:Choice Requires="wps">
          <w:drawing>
            <wp:anchor distT="0" distB="0" distL="114300" distR="114300" simplePos="0" relativeHeight="251679744" behindDoc="0" locked="0" layoutInCell="1" allowOverlap="1" wp14:anchorId="6EE42EAB" wp14:editId="4B24C1D8">
              <wp:simplePos x="0" y="0"/>
              <wp:positionH relativeFrom="margin">
                <wp:posOffset>-460375</wp:posOffset>
              </wp:positionH>
              <wp:positionV relativeFrom="paragraph">
                <wp:posOffset>247839</wp:posOffset>
              </wp:positionV>
              <wp:extent cx="68580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107D81" id="Straight Connector 15" o:spid="_x0000_s1026" style="position:absolute;z-index:251679744;visibility:visible;mso-wrap-style:square;mso-wrap-distance-left:9pt;mso-wrap-distance-top:0;mso-wrap-distance-right:9pt;mso-wrap-distance-bottom:0;mso-position-horizontal:absolute;mso-position-horizontal-relative:margin;mso-position-vertical:absolute;mso-position-vertical-relative:text" from="-36.25pt,19.5pt" to="50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" strokecolor="#a5a5a5 [2092]"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B85D0" w14:textId="77777777" w:rsidR="00996FBD" w:rsidRDefault="009C020D">
    <w:pPr>
      <w:pStyle w:val="Header"/>
    </w:pPr>
    <w:r w:rsidRPr="00996FBD">
      <w:rPr>
        <w:noProof/>
      </w:rPr>
      <mc:AlternateContent>
        <mc:Choice Requires="wps">
          <w:drawing>
            <wp:anchor distT="0" distB="0" distL="114300" distR="114300" simplePos="0" relativeHeight="251673600" behindDoc="0" locked="0" layoutInCell="1" allowOverlap="1" wp14:anchorId="315F954A" wp14:editId="74D19A43">
              <wp:simplePos x="0" y="0"/>
              <wp:positionH relativeFrom="column">
                <wp:posOffset>-457201</wp:posOffset>
              </wp:positionH>
              <wp:positionV relativeFrom="paragraph">
                <wp:posOffset>152400</wp:posOffset>
              </wp:positionV>
              <wp:extent cx="1299633" cy="2514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99633" cy="251460"/>
                      </a:xfrm>
                      <a:prstGeom prst="rect">
                        <a:avLst/>
                      </a:prstGeom>
                      <a:noFill/>
                      <a:ln w="6350">
                        <a:noFill/>
                      </a:ln>
                    </wps:spPr>
                    <wps:txbx>
                      <w:txbxContent>
                        <w:p w14:paraId="118167A3" w14:textId="6821A26C" w:rsidR="00996FBD" w:rsidRPr="00331075" w:rsidRDefault="009443D8" w:rsidP="00996FBD">
                          <w:pPr>
                            <w:rPr>
                              <w:rFonts w:ascii="Arial" w:hAnsi="Arial" w:cs="Arial"/>
                              <w:color w:val="AEAAAA" w:themeColor="background2" w:themeShade="BF"/>
                              <w:sz w:val="18"/>
                            </w:rPr>
                          </w:pPr>
                          <w:r>
                            <w:rPr>
                              <w:rFonts w:ascii="Arial" w:hAnsi="Arial" w:cs="Arial"/>
                              <w:color w:val="AEAAAA" w:themeColor="background2" w:themeShade="BF"/>
                              <w:sz w:val="20"/>
                              <w:szCs w:val="36"/>
                            </w:rPr>
                            <w:t>June</w:t>
                          </w:r>
                          <w:r w:rsidR="006C4671">
                            <w:rPr>
                              <w:rFonts w:ascii="Arial" w:hAnsi="Arial" w:cs="Arial"/>
                              <w:color w:val="AEAAAA" w:themeColor="background2" w:themeShade="BF"/>
                              <w:sz w:val="20"/>
                              <w:szCs w:val="36"/>
                            </w:rPr>
                            <w:t xml:space="preserve"> 2021</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F954A" id="_x0000_t202" coordsize="21600,21600" o:spt="202" path="m,l,21600r21600,l21600,xe">
              <v:stroke joinstyle="miter"/>
              <v:path gradientshapeok="t" o:connecttype="rect"/>
            </v:shapetype>
            <v:shape id="Text Box 10" o:spid="_x0000_s1033" type="#_x0000_t202" style="position:absolute;margin-left:-36pt;margin-top:12pt;width:102.35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" filled="f" stroked="f" strokeweight=".5pt">
              <v:textbox inset="0">
                <w:txbxContent>
                  <w:p w14:paraId="118167A3" w14:textId="6821A26C" w:rsidR="00996FBD" w:rsidRPr="00331075" w:rsidRDefault="009443D8" w:rsidP="00996FBD">
                    <w:pPr>
                      <w:rPr>
                        <w:rFonts w:ascii="Arial" w:hAnsi="Arial" w:cs="Arial"/>
                        <w:color w:val="AEAAAA" w:themeColor="background2" w:themeShade="BF"/>
                        <w:sz w:val="18"/>
                      </w:rPr>
                    </w:pPr>
                    <w:r>
                      <w:rPr>
                        <w:rFonts w:ascii="Arial" w:hAnsi="Arial" w:cs="Arial"/>
                        <w:color w:val="AEAAAA" w:themeColor="background2" w:themeShade="BF"/>
                        <w:sz w:val="20"/>
                        <w:szCs w:val="36"/>
                      </w:rPr>
                      <w:t>June</w:t>
                    </w:r>
                    <w:r w:rsidR="006C4671">
                      <w:rPr>
                        <w:rFonts w:ascii="Arial" w:hAnsi="Arial" w:cs="Arial"/>
                        <w:color w:val="AEAAAA" w:themeColor="background2" w:themeShade="BF"/>
                        <w:sz w:val="20"/>
                        <w:szCs w:val="36"/>
                      </w:rPr>
                      <w:t xml:space="preserve"> 2021</w:t>
                    </w:r>
                  </w:p>
                </w:txbxContent>
              </v:textbox>
            </v:shape>
          </w:pict>
        </mc:Fallback>
      </mc:AlternateContent>
    </w:r>
    <w:r w:rsidR="00331075" w:rsidRPr="00996FBD">
      <w:rPr>
        <w:noProof/>
      </w:rPr>
      <mc:AlternateContent>
        <mc:Choice Requires="wps">
          <w:drawing>
            <wp:anchor distT="0" distB="0" distL="114300" distR="114300" simplePos="0" relativeHeight="251672576" behindDoc="0" locked="0" layoutInCell="1" allowOverlap="1" wp14:anchorId="3B8485CB" wp14:editId="5B83F65F">
              <wp:simplePos x="0" y="0"/>
              <wp:positionH relativeFrom="column">
                <wp:posOffset>-451413</wp:posOffset>
              </wp:positionH>
              <wp:positionV relativeFrom="paragraph">
                <wp:posOffset>457200</wp:posOffset>
              </wp:positionV>
              <wp:extent cx="4805045" cy="755819"/>
              <wp:effectExtent l="0" t="0" r="0" b="0"/>
              <wp:wrapNone/>
              <wp:docPr id="9" name="Text Box 9"/>
              <wp:cNvGraphicFramePr/>
              <a:graphic xmlns:a="http://schemas.openxmlformats.org/drawingml/2006/main">
                <a:graphicData uri="http://schemas.microsoft.com/office/word/2010/wordprocessingShape">
                  <wps:wsp>
                    <wps:cNvSpPr txBox="1"/>
                    <wps:spPr>
                      <a:xfrm>
                        <a:off x="0" y="0"/>
                        <a:ext cx="4805045" cy="755819"/>
                      </a:xfrm>
                      <a:prstGeom prst="rect">
                        <a:avLst/>
                      </a:prstGeom>
                      <a:noFill/>
                      <a:ln w="6350">
                        <a:noFill/>
                      </a:ln>
                    </wps:spPr>
                    <wps:txbx>
                      <w:txbxContent>
                        <w:p w14:paraId="1D6D1B6E" w14:textId="77777777" w:rsidR="00331075" w:rsidRPr="00B5385F" w:rsidRDefault="00F21B59" w:rsidP="00331075">
                          <w:pPr>
                            <w:pStyle w:val="Style1"/>
                            <w:rPr>
                              <w:color w:val="007EBB"/>
                              <w:sz w:val="48"/>
                            </w:rPr>
                          </w:pPr>
                          <w:r w:rsidRPr="00F21B59">
                            <w:rPr>
                              <w:color w:val="BFBFBF" w:themeColor="background1" w:themeShade="BF"/>
                              <w:sz w:val="28"/>
                            </w:rPr>
                            <w:t>QUARTERL</w:t>
                          </w:r>
                          <w:r w:rsidR="00331075" w:rsidRPr="00F21B59">
                            <w:rPr>
                              <w:color w:val="BFBFBF" w:themeColor="background1" w:themeShade="BF"/>
                              <w:sz w:val="28"/>
                            </w:rPr>
                            <w:t>Y</w:t>
                          </w:r>
                          <w:r w:rsidR="00331075" w:rsidRPr="00B5385F">
                            <w:rPr>
                              <w:color w:val="007EBB"/>
                              <w:sz w:val="36"/>
                            </w:rPr>
                            <w:t xml:space="preserve"> </w:t>
                          </w:r>
                        </w:p>
                        <w:p w14:paraId="7DC2028E" w14:textId="77777777" w:rsidR="00996FBD" w:rsidRPr="00C91248" w:rsidRDefault="00331075" w:rsidP="00331075">
                          <w:pPr>
                            <w:pStyle w:val="Heading1"/>
                            <w:rPr>
                              <w:sz w:val="64"/>
                              <w:szCs w:val="64"/>
                            </w:rPr>
                          </w:pPr>
                          <w:r w:rsidRPr="00C91248">
                            <w:rPr>
                              <w:sz w:val="64"/>
                              <w:szCs w:val="64"/>
                            </w:rPr>
                            <w:t>Market Review</w:t>
                          </w:r>
                          <w:r w:rsidR="00996FBD" w:rsidRPr="00C91248">
                            <w:rPr>
                              <w:sz w:val="64"/>
                              <w:szCs w:val="64"/>
                            </w:rPr>
                            <w:t xml:space="preserve">     </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8485CB" id="Text Box 9" o:spid="_x0000_s1034" type="#_x0000_t202" style="position:absolute;margin-left:-35.55pt;margin-top:36pt;width:378.35pt;height: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" filled="f" stroked="f" strokeweight=".5pt">
              <v:textbox inset="0">
                <w:txbxContent>
                  <w:p w14:paraId="1D6D1B6E" w14:textId="77777777" w:rsidR="00331075" w:rsidRPr="00B5385F" w:rsidRDefault="00F21B59" w:rsidP="00331075">
                    <w:pPr>
                      <w:pStyle w:val="Style1"/>
                      <w:rPr>
                        <w:color w:val="007EBB"/>
                        <w:sz w:val="48"/>
                      </w:rPr>
                    </w:pPr>
                    <w:r w:rsidRPr="00F21B59">
                      <w:rPr>
                        <w:color w:val="BFBFBF" w:themeColor="background1" w:themeShade="BF"/>
                        <w:sz w:val="28"/>
                      </w:rPr>
                      <w:t>QUARTERL</w:t>
                    </w:r>
                    <w:r w:rsidR="00331075" w:rsidRPr="00F21B59">
                      <w:rPr>
                        <w:color w:val="BFBFBF" w:themeColor="background1" w:themeShade="BF"/>
                        <w:sz w:val="28"/>
                      </w:rPr>
                      <w:t>Y</w:t>
                    </w:r>
                    <w:r w:rsidR="00331075" w:rsidRPr="00B5385F">
                      <w:rPr>
                        <w:color w:val="007EBB"/>
                        <w:sz w:val="36"/>
                      </w:rPr>
                      <w:t xml:space="preserve"> </w:t>
                    </w:r>
                  </w:p>
                  <w:p w14:paraId="7DC2028E" w14:textId="77777777" w:rsidR="00996FBD" w:rsidRPr="00C91248" w:rsidRDefault="00331075" w:rsidP="00331075">
                    <w:pPr>
                      <w:pStyle w:val="Heading1"/>
                      <w:rPr>
                        <w:sz w:val="64"/>
                        <w:szCs w:val="64"/>
                      </w:rPr>
                    </w:pPr>
                    <w:r w:rsidRPr="00C91248">
                      <w:rPr>
                        <w:sz w:val="64"/>
                        <w:szCs w:val="64"/>
                      </w:rPr>
                      <w:t>Market Review</w:t>
                    </w:r>
                    <w:r w:rsidR="00996FBD" w:rsidRPr="00C91248">
                      <w:rPr>
                        <w:sz w:val="64"/>
                        <w:szCs w:val="64"/>
                      </w:rPr>
                      <w:t xml:space="preserve">     </w:t>
                    </w:r>
                  </w:p>
                </w:txbxContent>
              </v:textbox>
            </v:shape>
          </w:pict>
        </mc:Fallback>
      </mc:AlternateContent>
    </w:r>
    <w:r w:rsidR="00777E17" w:rsidRPr="00996FBD">
      <w:rPr>
        <w:noProof/>
      </w:rPr>
      <mc:AlternateContent>
        <mc:Choice Requires="wps">
          <w:drawing>
            <wp:anchor distT="0" distB="0" distL="114300" distR="114300" simplePos="0" relativeHeight="251670528" behindDoc="0" locked="0" layoutInCell="1" allowOverlap="1" wp14:anchorId="103FBA55" wp14:editId="72F0F13E">
              <wp:simplePos x="0" y="0"/>
              <wp:positionH relativeFrom="margin">
                <wp:posOffset>-904240</wp:posOffset>
              </wp:positionH>
              <wp:positionV relativeFrom="paragraph">
                <wp:posOffset>1250315</wp:posOffset>
              </wp:positionV>
              <wp:extent cx="7772400" cy="36195"/>
              <wp:effectExtent l="0" t="0" r="0" b="1905"/>
              <wp:wrapNone/>
              <wp:docPr id="8" name="Rectangle 8"/>
              <wp:cNvGraphicFramePr/>
              <a:graphic xmlns:a="http://schemas.openxmlformats.org/drawingml/2006/main">
                <a:graphicData uri="http://schemas.microsoft.com/office/word/2010/wordprocessingShape">
                  <wps:wsp>
                    <wps:cNvSpPr/>
                    <wps:spPr>
                      <a:xfrm flipV="1">
                        <a:off x="0" y="0"/>
                        <a:ext cx="7772400" cy="36195"/>
                      </a:xfrm>
                      <a:prstGeom prst="rect">
                        <a:avLst/>
                      </a:prstGeom>
                      <a:solidFill>
                        <a:srgbClr val="004C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A939C" id="Rectangle 8" o:spid="_x0000_s1026" style="position:absolute;margin-left:-71.2pt;margin-top:98.45pt;width:612pt;height:2.85pt;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" fillcolor="#004c7e"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472"/>
    <w:multiLevelType w:val="multilevel"/>
    <w:tmpl w:val="F66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D0C77"/>
    <w:multiLevelType w:val="hybridMultilevel"/>
    <w:tmpl w:val="B8FAF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1078A2"/>
    <w:multiLevelType w:val="hybridMultilevel"/>
    <w:tmpl w:val="60F4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57C22"/>
    <w:multiLevelType w:val="multilevel"/>
    <w:tmpl w:val="DF32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A46A22"/>
    <w:multiLevelType w:val="hybridMultilevel"/>
    <w:tmpl w:val="C5C4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3731C4"/>
    <w:multiLevelType w:val="multilevel"/>
    <w:tmpl w:val="C44E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D70"/>
    <w:rsid w:val="00001A1B"/>
    <w:rsid w:val="00007A7E"/>
    <w:rsid w:val="00016B9E"/>
    <w:rsid w:val="00016C1C"/>
    <w:rsid w:val="0002108F"/>
    <w:rsid w:val="00023357"/>
    <w:rsid w:val="00024E19"/>
    <w:rsid w:val="00027F34"/>
    <w:rsid w:val="0003123B"/>
    <w:rsid w:val="00032AC6"/>
    <w:rsid w:val="00042261"/>
    <w:rsid w:val="00051972"/>
    <w:rsid w:val="0007231D"/>
    <w:rsid w:val="00075C34"/>
    <w:rsid w:val="00080D15"/>
    <w:rsid w:val="00082B70"/>
    <w:rsid w:val="00085ABF"/>
    <w:rsid w:val="00086CF0"/>
    <w:rsid w:val="000A7E8D"/>
    <w:rsid w:val="000C0521"/>
    <w:rsid w:val="000D435A"/>
    <w:rsid w:val="000D4FD7"/>
    <w:rsid w:val="000E4CDF"/>
    <w:rsid w:val="000E6BC0"/>
    <w:rsid w:val="000F263F"/>
    <w:rsid w:val="000F6A69"/>
    <w:rsid w:val="000F6F26"/>
    <w:rsid w:val="001145DB"/>
    <w:rsid w:val="001235D7"/>
    <w:rsid w:val="00140F12"/>
    <w:rsid w:val="00152CB7"/>
    <w:rsid w:val="00156C65"/>
    <w:rsid w:val="00156E9F"/>
    <w:rsid w:val="00165DF6"/>
    <w:rsid w:val="001672AE"/>
    <w:rsid w:val="00173730"/>
    <w:rsid w:val="00182D23"/>
    <w:rsid w:val="0018529C"/>
    <w:rsid w:val="00191601"/>
    <w:rsid w:val="00191B06"/>
    <w:rsid w:val="0019254E"/>
    <w:rsid w:val="001A3F7E"/>
    <w:rsid w:val="001A6B17"/>
    <w:rsid w:val="001B5E8D"/>
    <w:rsid w:val="001B6F30"/>
    <w:rsid w:val="001C1491"/>
    <w:rsid w:val="001C2475"/>
    <w:rsid w:val="001D39CF"/>
    <w:rsid w:val="001D3BE8"/>
    <w:rsid w:val="001D6282"/>
    <w:rsid w:val="001E2992"/>
    <w:rsid w:val="00203FA8"/>
    <w:rsid w:val="002226E5"/>
    <w:rsid w:val="0023363B"/>
    <w:rsid w:val="002367F8"/>
    <w:rsid w:val="00243327"/>
    <w:rsid w:val="00255EB5"/>
    <w:rsid w:val="00257CA6"/>
    <w:rsid w:val="002824DF"/>
    <w:rsid w:val="002A13F1"/>
    <w:rsid w:val="002A5768"/>
    <w:rsid w:val="002B3AF0"/>
    <w:rsid w:val="002C3172"/>
    <w:rsid w:val="002C384C"/>
    <w:rsid w:val="002D3936"/>
    <w:rsid w:val="002D3AD1"/>
    <w:rsid w:val="002D47CD"/>
    <w:rsid w:val="002D792A"/>
    <w:rsid w:val="002D7BC0"/>
    <w:rsid w:val="002E1DE1"/>
    <w:rsid w:val="002E5339"/>
    <w:rsid w:val="0030590B"/>
    <w:rsid w:val="003110DE"/>
    <w:rsid w:val="003111A1"/>
    <w:rsid w:val="0031343F"/>
    <w:rsid w:val="00313B78"/>
    <w:rsid w:val="0031483A"/>
    <w:rsid w:val="00324B21"/>
    <w:rsid w:val="003271BF"/>
    <w:rsid w:val="0033033B"/>
    <w:rsid w:val="00331075"/>
    <w:rsid w:val="003321F1"/>
    <w:rsid w:val="003348C1"/>
    <w:rsid w:val="00363339"/>
    <w:rsid w:val="00363C9F"/>
    <w:rsid w:val="00367858"/>
    <w:rsid w:val="00373226"/>
    <w:rsid w:val="0038286B"/>
    <w:rsid w:val="00382DA1"/>
    <w:rsid w:val="00383327"/>
    <w:rsid w:val="00390879"/>
    <w:rsid w:val="00397AF7"/>
    <w:rsid w:val="003A6020"/>
    <w:rsid w:val="003B11D4"/>
    <w:rsid w:val="003B12C1"/>
    <w:rsid w:val="003D2327"/>
    <w:rsid w:val="003F2CFB"/>
    <w:rsid w:val="003F7A98"/>
    <w:rsid w:val="00413355"/>
    <w:rsid w:val="004169FC"/>
    <w:rsid w:val="00416E91"/>
    <w:rsid w:val="00417473"/>
    <w:rsid w:val="00420FAA"/>
    <w:rsid w:val="00422ED2"/>
    <w:rsid w:val="00444BDF"/>
    <w:rsid w:val="00445A4C"/>
    <w:rsid w:val="004464DA"/>
    <w:rsid w:val="00451267"/>
    <w:rsid w:val="00460169"/>
    <w:rsid w:val="004702F1"/>
    <w:rsid w:val="00482C76"/>
    <w:rsid w:val="004839D8"/>
    <w:rsid w:val="00483E53"/>
    <w:rsid w:val="004915F5"/>
    <w:rsid w:val="00497314"/>
    <w:rsid w:val="00497819"/>
    <w:rsid w:val="004B1C5E"/>
    <w:rsid w:val="004C0A78"/>
    <w:rsid w:val="004C0D0C"/>
    <w:rsid w:val="004C16D2"/>
    <w:rsid w:val="004C52F8"/>
    <w:rsid w:val="004C74CC"/>
    <w:rsid w:val="004D2F5A"/>
    <w:rsid w:val="004E0975"/>
    <w:rsid w:val="004E2AC7"/>
    <w:rsid w:val="004E31E5"/>
    <w:rsid w:val="004F532A"/>
    <w:rsid w:val="004F6ABF"/>
    <w:rsid w:val="0050199E"/>
    <w:rsid w:val="00521AD6"/>
    <w:rsid w:val="0052558D"/>
    <w:rsid w:val="00525FA1"/>
    <w:rsid w:val="005314A5"/>
    <w:rsid w:val="005333FB"/>
    <w:rsid w:val="005371DC"/>
    <w:rsid w:val="00550B80"/>
    <w:rsid w:val="00552D96"/>
    <w:rsid w:val="00564DCE"/>
    <w:rsid w:val="0057379A"/>
    <w:rsid w:val="0057733A"/>
    <w:rsid w:val="00584389"/>
    <w:rsid w:val="005851A4"/>
    <w:rsid w:val="0059459B"/>
    <w:rsid w:val="00597B1A"/>
    <w:rsid w:val="005A1ECC"/>
    <w:rsid w:val="005A26B5"/>
    <w:rsid w:val="005B192D"/>
    <w:rsid w:val="005B43A6"/>
    <w:rsid w:val="005C0619"/>
    <w:rsid w:val="005C0FFC"/>
    <w:rsid w:val="005C1D70"/>
    <w:rsid w:val="005C3098"/>
    <w:rsid w:val="005C53B9"/>
    <w:rsid w:val="005D098B"/>
    <w:rsid w:val="005D65A6"/>
    <w:rsid w:val="005E7352"/>
    <w:rsid w:val="005F1E92"/>
    <w:rsid w:val="005F73BE"/>
    <w:rsid w:val="006017F2"/>
    <w:rsid w:val="00611139"/>
    <w:rsid w:val="00612902"/>
    <w:rsid w:val="00632FC2"/>
    <w:rsid w:val="006334C0"/>
    <w:rsid w:val="0063435D"/>
    <w:rsid w:val="0065139C"/>
    <w:rsid w:val="0067047A"/>
    <w:rsid w:val="00671395"/>
    <w:rsid w:val="006714C7"/>
    <w:rsid w:val="0068795F"/>
    <w:rsid w:val="00691113"/>
    <w:rsid w:val="00693B66"/>
    <w:rsid w:val="0069473F"/>
    <w:rsid w:val="0069692B"/>
    <w:rsid w:val="006A6909"/>
    <w:rsid w:val="006A6FEF"/>
    <w:rsid w:val="006A7692"/>
    <w:rsid w:val="006C41A4"/>
    <w:rsid w:val="006C4671"/>
    <w:rsid w:val="006D25C2"/>
    <w:rsid w:val="006E1B58"/>
    <w:rsid w:val="006E4153"/>
    <w:rsid w:val="006E7715"/>
    <w:rsid w:val="006F17A7"/>
    <w:rsid w:val="006F2EB0"/>
    <w:rsid w:val="00702373"/>
    <w:rsid w:val="0073256E"/>
    <w:rsid w:val="00732B11"/>
    <w:rsid w:val="00741A0D"/>
    <w:rsid w:val="00751874"/>
    <w:rsid w:val="00753722"/>
    <w:rsid w:val="00755B2E"/>
    <w:rsid w:val="00765291"/>
    <w:rsid w:val="00767F19"/>
    <w:rsid w:val="00777E17"/>
    <w:rsid w:val="007A1E85"/>
    <w:rsid w:val="007A3C54"/>
    <w:rsid w:val="007A4A74"/>
    <w:rsid w:val="007C0A81"/>
    <w:rsid w:val="007C3288"/>
    <w:rsid w:val="007C4C9B"/>
    <w:rsid w:val="007D272C"/>
    <w:rsid w:val="007D3263"/>
    <w:rsid w:val="007D74EA"/>
    <w:rsid w:val="007E6121"/>
    <w:rsid w:val="007F020C"/>
    <w:rsid w:val="00805B99"/>
    <w:rsid w:val="0082064B"/>
    <w:rsid w:val="00824465"/>
    <w:rsid w:val="00843DEF"/>
    <w:rsid w:val="008611A4"/>
    <w:rsid w:val="0086319B"/>
    <w:rsid w:val="00876998"/>
    <w:rsid w:val="00877654"/>
    <w:rsid w:val="0088148B"/>
    <w:rsid w:val="0088496E"/>
    <w:rsid w:val="00890AD2"/>
    <w:rsid w:val="008971DD"/>
    <w:rsid w:val="008B6A1B"/>
    <w:rsid w:val="008E24AD"/>
    <w:rsid w:val="008E55AC"/>
    <w:rsid w:val="008F1C4A"/>
    <w:rsid w:val="008F63B8"/>
    <w:rsid w:val="008F6E96"/>
    <w:rsid w:val="00906205"/>
    <w:rsid w:val="00907CE8"/>
    <w:rsid w:val="00934AC9"/>
    <w:rsid w:val="00934B0C"/>
    <w:rsid w:val="00940C5A"/>
    <w:rsid w:val="009443D8"/>
    <w:rsid w:val="0094553F"/>
    <w:rsid w:val="0096229D"/>
    <w:rsid w:val="00972C34"/>
    <w:rsid w:val="0097540F"/>
    <w:rsid w:val="009759E1"/>
    <w:rsid w:val="0097743B"/>
    <w:rsid w:val="00977850"/>
    <w:rsid w:val="00982ED3"/>
    <w:rsid w:val="009867A6"/>
    <w:rsid w:val="00992B9C"/>
    <w:rsid w:val="00992E7E"/>
    <w:rsid w:val="00996FBD"/>
    <w:rsid w:val="009A7096"/>
    <w:rsid w:val="009B73D0"/>
    <w:rsid w:val="009C020D"/>
    <w:rsid w:val="009D580D"/>
    <w:rsid w:val="009D7C0F"/>
    <w:rsid w:val="009E120F"/>
    <w:rsid w:val="009E4E50"/>
    <w:rsid w:val="009F2B80"/>
    <w:rsid w:val="009F32DA"/>
    <w:rsid w:val="009F65E5"/>
    <w:rsid w:val="00A02EE9"/>
    <w:rsid w:val="00A0758A"/>
    <w:rsid w:val="00A07E2D"/>
    <w:rsid w:val="00A10AFA"/>
    <w:rsid w:val="00A15B59"/>
    <w:rsid w:val="00A21D04"/>
    <w:rsid w:val="00A26FC7"/>
    <w:rsid w:val="00A30E04"/>
    <w:rsid w:val="00A31101"/>
    <w:rsid w:val="00A35F97"/>
    <w:rsid w:val="00A57DA9"/>
    <w:rsid w:val="00A63433"/>
    <w:rsid w:val="00A70518"/>
    <w:rsid w:val="00A71C0F"/>
    <w:rsid w:val="00A720C3"/>
    <w:rsid w:val="00A81664"/>
    <w:rsid w:val="00A930E4"/>
    <w:rsid w:val="00A933B5"/>
    <w:rsid w:val="00AA2BDE"/>
    <w:rsid w:val="00AA54FF"/>
    <w:rsid w:val="00AB49F3"/>
    <w:rsid w:val="00AC6A69"/>
    <w:rsid w:val="00AD2DFD"/>
    <w:rsid w:val="00AD48F0"/>
    <w:rsid w:val="00AD5F1A"/>
    <w:rsid w:val="00AE3FA2"/>
    <w:rsid w:val="00AF6065"/>
    <w:rsid w:val="00B07DBA"/>
    <w:rsid w:val="00B16564"/>
    <w:rsid w:val="00B2619E"/>
    <w:rsid w:val="00B42E2A"/>
    <w:rsid w:val="00B45DC5"/>
    <w:rsid w:val="00B5385F"/>
    <w:rsid w:val="00B5675C"/>
    <w:rsid w:val="00B56C04"/>
    <w:rsid w:val="00B63131"/>
    <w:rsid w:val="00B632FA"/>
    <w:rsid w:val="00B81FB1"/>
    <w:rsid w:val="00B9438E"/>
    <w:rsid w:val="00BC0660"/>
    <w:rsid w:val="00BD5DF5"/>
    <w:rsid w:val="00BD5E4A"/>
    <w:rsid w:val="00BD764A"/>
    <w:rsid w:val="00BE5212"/>
    <w:rsid w:val="00C0293D"/>
    <w:rsid w:val="00C03C9F"/>
    <w:rsid w:val="00C12D1C"/>
    <w:rsid w:val="00C146FF"/>
    <w:rsid w:val="00C14AC3"/>
    <w:rsid w:val="00C1725B"/>
    <w:rsid w:val="00C17C8D"/>
    <w:rsid w:val="00C17D03"/>
    <w:rsid w:val="00C21186"/>
    <w:rsid w:val="00C21ED4"/>
    <w:rsid w:val="00C27425"/>
    <w:rsid w:val="00C324AD"/>
    <w:rsid w:val="00C33864"/>
    <w:rsid w:val="00C533BE"/>
    <w:rsid w:val="00C60EE6"/>
    <w:rsid w:val="00C62E1A"/>
    <w:rsid w:val="00C665E2"/>
    <w:rsid w:val="00C66930"/>
    <w:rsid w:val="00C67F5F"/>
    <w:rsid w:val="00C71D62"/>
    <w:rsid w:val="00C74A3D"/>
    <w:rsid w:val="00C86D58"/>
    <w:rsid w:val="00C876D4"/>
    <w:rsid w:val="00C91248"/>
    <w:rsid w:val="00C9777E"/>
    <w:rsid w:val="00CA0E31"/>
    <w:rsid w:val="00CA1D4E"/>
    <w:rsid w:val="00CA260E"/>
    <w:rsid w:val="00CA2A62"/>
    <w:rsid w:val="00CA347D"/>
    <w:rsid w:val="00CC3FB2"/>
    <w:rsid w:val="00CD5413"/>
    <w:rsid w:val="00CF29CB"/>
    <w:rsid w:val="00CF7C1E"/>
    <w:rsid w:val="00D027B1"/>
    <w:rsid w:val="00D17BCA"/>
    <w:rsid w:val="00D46035"/>
    <w:rsid w:val="00D61DB9"/>
    <w:rsid w:val="00D61E40"/>
    <w:rsid w:val="00D67B86"/>
    <w:rsid w:val="00DA443A"/>
    <w:rsid w:val="00DC5C72"/>
    <w:rsid w:val="00DD1D99"/>
    <w:rsid w:val="00DD6A5B"/>
    <w:rsid w:val="00DE10C6"/>
    <w:rsid w:val="00DF0BFE"/>
    <w:rsid w:val="00DF67BB"/>
    <w:rsid w:val="00E0678B"/>
    <w:rsid w:val="00E06DEC"/>
    <w:rsid w:val="00E22F8C"/>
    <w:rsid w:val="00E23CC8"/>
    <w:rsid w:val="00E24606"/>
    <w:rsid w:val="00E35620"/>
    <w:rsid w:val="00E37122"/>
    <w:rsid w:val="00E44BEC"/>
    <w:rsid w:val="00E45713"/>
    <w:rsid w:val="00E50814"/>
    <w:rsid w:val="00E6017C"/>
    <w:rsid w:val="00E71242"/>
    <w:rsid w:val="00E74D75"/>
    <w:rsid w:val="00E80AAA"/>
    <w:rsid w:val="00E844C6"/>
    <w:rsid w:val="00E93AD4"/>
    <w:rsid w:val="00EA117B"/>
    <w:rsid w:val="00EA336A"/>
    <w:rsid w:val="00EA4649"/>
    <w:rsid w:val="00EA5C29"/>
    <w:rsid w:val="00EA69BC"/>
    <w:rsid w:val="00EA7AEB"/>
    <w:rsid w:val="00EC47E9"/>
    <w:rsid w:val="00ED0EB3"/>
    <w:rsid w:val="00EE0CBE"/>
    <w:rsid w:val="00EE303D"/>
    <w:rsid w:val="00EE7C3F"/>
    <w:rsid w:val="00EF0EA5"/>
    <w:rsid w:val="00F03AE6"/>
    <w:rsid w:val="00F077B9"/>
    <w:rsid w:val="00F12383"/>
    <w:rsid w:val="00F13E1C"/>
    <w:rsid w:val="00F16212"/>
    <w:rsid w:val="00F21B59"/>
    <w:rsid w:val="00F27DFC"/>
    <w:rsid w:val="00F30B7F"/>
    <w:rsid w:val="00F344D2"/>
    <w:rsid w:val="00F3503A"/>
    <w:rsid w:val="00F4423A"/>
    <w:rsid w:val="00F62D08"/>
    <w:rsid w:val="00F635B2"/>
    <w:rsid w:val="00F7794F"/>
    <w:rsid w:val="00F9055C"/>
    <w:rsid w:val="00F93B24"/>
    <w:rsid w:val="00F961B8"/>
    <w:rsid w:val="00F97115"/>
    <w:rsid w:val="00FA3F6B"/>
    <w:rsid w:val="00FA52A1"/>
    <w:rsid w:val="00FA6429"/>
    <w:rsid w:val="00FA7B4D"/>
    <w:rsid w:val="00FB2425"/>
    <w:rsid w:val="00FB3AA2"/>
    <w:rsid w:val="00FD22B2"/>
    <w:rsid w:val="00FD495F"/>
    <w:rsid w:val="00FE164E"/>
    <w:rsid w:val="00FE3132"/>
    <w:rsid w:val="00FE3FBC"/>
    <w:rsid w:val="00FF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E1648"/>
  <w15:chartTrackingRefBased/>
  <w15:docId w15:val="{C2A8F3A1-DD10-C348-BE46-CCF0AAE25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6FBD"/>
    <w:pPr>
      <w:spacing w:after="200" w:line="276" w:lineRule="auto"/>
    </w:pPr>
    <w:rPr>
      <w:rFonts w:ascii="Calibri" w:eastAsia="Times New Roman" w:hAnsi="Calibri" w:cs="Times New Roman"/>
      <w:sz w:val="22"/>
      <w:szCs w:val="22"/>
    </w:rPr>
  </w:style>
  <w:style w:type="paragraph" w:styleId="Heading1">
    <w:name w:val="heading 1"/>
    <w:basedOn w:val="Normal"/>
    <w:next w:val="Normal"/>
    <w:link w:val="Heading1Char"/>
    <w:uiPriority w:val="9"/>
    <w:qFormat/>
    <w:rsid w:val="00331075"/>
    <w:pPr>
      <w:keepNext/>
      <w:keepLines/>
      <w:spacing w:after="0"/>
      <w:outlineLvl w:val="0"/>
    </w:pPr>
    <w:rPr>
      <w:rFonts w:ascii="Arial" w:eastAsiaTheme="majorEastAsia" w:hAnsi="Arial" w:cstheme="majorBidi"/>
      <w:color w:val="767171" w:themeColor="background2" w:themeShade="80"/>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5C1D70"/>
  </w:style>
  <w:style w:type="paragraph" w:styleId="Footer">
    <w:name w:val="footer"/>
    <w:basedOn w:val="Normal"/>
    <w:link w:val="FooterChar"/>
    <w:uiPriority w:val="99"/>
    <w:unhideWhenUsed/>
    <w:rsid w:val="005C1D70"/>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5C1D70"/>
  </w:style>
  <w:style w:type="character" w:styleId="PageNumber">
    <w:name w:val="page number"/>
    <w:basedOn w:val="DefaultParagraphFont"/>
    <w:uiPriority w:val="99"/>
    <w:semiHidden/>
    <w:unhideWhenUsed/>
    <w:rsid w:val="007C4C9B"/>
  </w:style>
  <w:style w:type="paragraph" w:styleId="BalloonText">
    <w:name w:val="Balloon Text"/>
    <w:basedOn w:val="Normal"/>
    <w:link w:val="BalloonTextChar"/>
    <w:uiPriority w:val="99"/>
    <w:semiHidden/>
    <w:unhideWhenUsed/>
    <w:rsid w:val="004E2AC7"/>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E2AC7"/>
    <w:rPr>
      <w:rFonts w:ascii="Times New Roman" w:eastAsia="Times New Roman" w:hAnsi="Times New Roman" w:cs="Times New Roman"/>
      <w:sz w:val="18"/>
      <w:szCs w:val="18"/>
    </w:rPr>
  </w:style>
  <w:style w:type="paragraph" w:customStyle="1" w:styleId="Style1">
    <w:name w:val="Style1"/>
    <w:basedOn w:val="Normal"/>
    <w:qFormat/>
    <w:rsid w:val="00331075"/>
    <w:pPr>
      <w:spacing w:after="0" w:line="240" w:lineRule="auto"/>
    </w:pPr>
    <w:rPr>
      <w:rFonts w:ascii="Arial" w:hAnsi="Arial" w:cs="Arial"/>
      <w:color w:val="767171" w:themeColor="background2" w:themeShade="80"/>
      <w:spacing w:val="60"/>
      <w:sz w:val="40"/>
      <w:szCs w:val="36"/>
    </w:rPr>
  </w:style>
  <w:style w:type="character" w:customStyle="1" w:styleId="Heading1Char">
    <w:name w:val="Heading 1 Char"/>
    <w:basedOn w:val="DefaultParagraphFont"/>
    <w:link w:val="Heading1"/>
    <w:uiPriority w:val="9"/>
    <w:rsid w:val="00331075"/>
    <w:rPr>
      <w:rFonts w:ascii="Arial" w:eastAsiaTheme="majorEastAsia" w:hAnsi="Arial" w:cstheme="majorBidi"/>
      <w:color w:val="767171" w:themeColor="background2" w:themeShade="80"/>
      <w:sz w:val="48"/>
      <w:szCs w:val="32"/>
    </w:rPr>
  </w:style>
  <w:style w:type="paragraph" w:styleId="Caption">
    <w:name w:val="caption"/>
    <w:basedOn w:val="Normal"/>
    <w:next w:val="Normal"/>
    <w:uiPriority w:val="35"/>
    <w:unhideWhenUsed/>
    <w:qFormat/>
    <w:rsid w:val="00741A0D"/>
    <w:pPr>
      <w:spacing w:line="240" w:lineRule="auto"/>
    </w:pPr>
    <w:rPr>
      <w:i/>
      <w:iCs/>
      <w:color w:val="44546A" w:themeColor="text2"/>
      <w:sz w:val="18"/>
      <w:szCs w:val="18"/>
    </w:rPr>
  </w:style>
  <w:style w:type="character" w:styleId="PlaceholderText">
    <w:name w:val="Placeholder Text"/>
    <w:basedOn w:val="DefaultParagraphFont"/>
    <w:uiPriority w:val="99"/>
    <w:semiHidden/>
    <w:rsid w:val="00A26FC7"/>
    <w:rPr>
      <w:color w:val="808080"/>
    </w:rPr>
  </w:style>
  <w:style w:type="character" w:styleId="CommentReference">
    <w:name w:val="annotation reference"/>
    <w:basedOn w:val="DefaultParagraphFont"/>
    <w:uiPriority w:val="99"/>
    <w:semiHidden/>
    <w:unhideWhenUsed/>
    <w:rsid w:val="00C324AD"/>
    <w:rPr>
      <w:sz w:val="16"/>
      <w:szCs w:val="16"/>
    </w:rPr>
  </w:style>
  <w:style w:type="paragraph" w:styleId="CommentText">
    <w:name w:val="annotation text"/>
    <w:basedOn w:val="Normal"/>
    <w:link w:val="CommentTextChar"/>
    <w:uiPriority w:val="99"/>
    <w:semiHidden/>
    <w:unhideWhenUsed/>
    <w:rsid w:val="00C324AD"/>
    <w:pPr>
      <w:spacing w:line="240" w:lineRule="auto"/>
    </w:pPr>
    <w:rPr>
      <w:sz w:val="20"/>
      <w:szCs w:val="20"/>
    </w:rPr>
  </w:style>
  <w:style w:type="character" w:customStyle="1" w:styleId="CommentTextChar">
    <w:name w:val="Comment Text Char"/>
    <w:basedOn w:val="DefaultParagraphFont"/>
    <w:link w:val="CommentText"/>
    <w:uiPriority w:val="99"/>
    <w:semiHidden/>
    <w:rsid w:val="00C324A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24AD"/>
    <w:rPr>
      <w:b/>
      <w:bCs/>
    </w:rPr>
  </w:style>
  <w:style w:type="character" w:customStyle="1" w:styleId="CommentSubjectChar">
    <w:name w:val="Comment Subject Char"/>
    <w:basedOn w:val="CommentTextChar"/>
    <w:link w:val="CommentSubject"/>
    <w:uiPriority w:val="99"/>
    <w:semiHidden/>
    <w:rsid w:val="00C324AD"/>
    <w:rPr>
      <w:rFonts w:ascii="Calibri" w:eastAsia="Times New Roman" w:hAnsi="Calibri" w:cs="Times New Roman"/>
      <w:b/>
      <w:bCs/>
      <w:sz w:val="20"/>
      <w:szCs w:val="20"/>
    </w:rPr>
  </w:style>
  <w:style w:type="table" w:styleId="TableGrid">
    <w:name w:val="Table Grid"/>
    <w:basedOn w:val="TableNormal"/>
    <w:uiPriority w:val="39"/>
    <w:rsid w:val="00C27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20D"/>
    <w:pPr>
      <w:spacing w:after="160" w:line="259" w:lineRule="auto"/>
      <w:ind w:left="720"/>
      <w:contextualSpacing/>
    </w:pPr>
    <w:rPr>
      <w:rFonts w:asciiTheme="minorHAnsi" w:eastAsiaTheme="minorHAnsi" w:hAnsiTheme="minorHAnsi" w:cstheme="minorBidi"/>
    </w:rPr>
  </w:style>
  <w:style w:type="paragraph" w:styleId="EndnoteText">
    <w:name w:val="endnote text"/>
    <w:basedOn w:val="Normal"/>
    <w:link w:val="EndnoteTextChar"/>
    <w:uiPriority w:val="99"/>
    <w:semiHidden/>
    <w:unhideWhenUsed/>
    <w:rsid w:val="00AC6A69"/>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AC6A69"/>
    <w:rPr>
      <w:sz w:val="20"/>
      <w:szCs w:val="20"/>
    </w:rPr>
  </w:style>
  <w:style w:type="character" w:styleId="EndnoteReference">
    <w:name w:val="endnote reference"/>
    <w:basedOn w:val="DefaultParagraphFont"/>
    <w:uiPriority w:val="99"/>
    <w:semiHidden/>
    <w:unhideWhenUsed/>
    <w:rsid w:val="00AC6A69"/>
    <w:rPr>
      <w:vertAlign w:val="superscript"/>
    </w:rPr>
  </w:style>
  <w:style w:type="character" w:styleId="Emphasis">
    <w:name w:val="Emphasis"/>
    <w:basedOn w:val="DefaultParagraphFont"/>
    <w:uiPriority w:val="20"/>
    <w:qFormat/>
    <w:rsid w:val="00940C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8311">
      <w:bodyDiv w:val="1"/>
      <w:marLeft w:val="0"/>
      <w:marRight w:val="0"/>
      <w:marTop w:val="0"/>
      <w:marBottom w:val="0"/>
      <w:divBdr>
        <w:top w:val="none" w:sz="0" w:space="0" w:color="auto"/>
        <w:left w:val="none" w:sz="0" w:space="0" w:color="auto"/>
        <w:bottom w:val="none" w:sz="0" w:space="0" w:color="auto"/>
        <w:right w:val="none" w:sz="0" w:space="0" w:color="auto"/>
      </w:divBdr>
    </w:div>
    <w:div w:id="337932078">
      <w:bodyDiv w:val="1"/>
      <w:marLeft w:val="0"/>
      <w:marRight w:val="0"/>
      <w:marTop w:val="0"/>
      <w:marBottom w:val="0"/>
      <w:divBdr>
        <w:top w:val="none" w:sz="0" w:space="0" w:color="auto"/>
        <w:left w:val="none" w:sz="0" w:space="0" w:color="auto"/>
        <w:bottom w:val="none" w:sz="0" w:space="0" w:color="auto"/>
        <w:right w:val="none" w:sz="0" w:space="0" w:color="auto"/>
      </w:divBdr>
    </w:div>
    <w:div w:id="580452723">
      <w:bodyDiv w:val="1"/>
      <w:marLeft w:val="0"/>
      <w:marRight w:val="0"/>
      <w:marTop w:val="0"/>
      <w:marBottom w:val="0"/>
      <w:divBdr>
        <w:top w:val="none" w:sz="0" w:space="0" w:color="auto"/>
        <w:left w:val="none" w:sz="0" w:space="0" w:color="auto"/>
        <w:bottom w:val="none" w:sz="0" w:space="0" w:color="auto"/>
        <w:right w:val="none" w:sz="0" w:space="0" w:color="auto"/>
      </w:divBdr>
    </w:div>
    <w:div w:id="643854818">
      <w:bodyDiv w:val="1"/>
      <w:marLeft w:val="0"/>
      <w:marRight w:val="0"/>
      <w:marTop w:val="0"/>
      <w:marBottom w:val="0"/>
      <w:divBdr>
        <w:top w:val="none" w:sz="0" w:space="0" w:color="auto"/>
        <w:left w:val="none" w:sz="0" w:space="0" w:color="auto"/>
        <w:bottom w:val="none" w:sz="0" w:space="0" w:color="auto"/>
        <w:right w:val="none" w:sz="0" w:space="0" w:color="auto"/>
      </w:divBdr>
    </w:div>
    <w:div w:id="649408801">
      <w:bodyDiv w:val="1"/>
      <w:marLeft w:val="0"/>
      <w:marRight w:val="0"/>
      <w:marTop w:val="0"/>
      <w:marBottom w:val="0"/>
      <w:divBdr>
        <w:top w:val="none" w:sz="0" w:space="0" w:color="auto"/>
        <w:left w:val="none" w:sz="0" w:space="0" w:color="auto"/>
        <w:bottom w:val="none" w:sz="0" w:space="0" w:color="auto"/>
        <w:right w:val="none" w:sz="0" w:space="0" w:color="auto"/>
      </w:divBdr>
    </w:div>
    <w:div w:id="662970860">
      <w:bodyDiv w:val="1"/>
      <w:marLeft w:val="0"/>
      <w:marRight w:val="0"/>
      <w:marTop w:val="0"/>
      <w:marBottom w:val="0"/>
      <w:divBdr>
        <w:top w:val="none" w:sz="0" w:space="0" w:color="auto"/>
        <w:left w:val="none" w:sz="0" w:space="0" w:color="auto"/>
        <w:bottom w:val="none" w:sz="0" w:space="0" w:color="auto"/>
        <w:right w:val="none" w:sz="0" w:space="0" w:color="auto"/>
      </w:divBdr>
    </w:div>
    <w:div w:id="696930849">
      <w:bodyDiv w:val="1"/>
      <w:marLeft w:val="0"/>
      <w:marRight w:val="0"/>
      <w:marTop w:val="0"/>
      <w:marBottom w:val="0"/>
      <w:divBdr>
        <w:top w:val="none" w:sz="0" w:space="0" w:color="auto"/>
        <w:left w:val="none" w:sz="0" w:space="0" w:color="auto"/>
        <w:bottom w:val="none" w:sz="0" w:space="0" w:color="auto"/>
        <w:right w:val="none" w:sz="0" w:space="0" w:color="auto"/>
      </w:divBdr>
    </w:div>
    <w:div w:id="720711095">
      <w:bodyDiv w:val="1"/>
      <w:marLeft w:val="0"/>
      <w:marRight w:val="0"/>
      <w:marTop w:val="0"/>
      <w:marBottom w:val="0"/>
      <w:divBdr>
        <w:top w:val="none" w:sz="0" w:space="0" w:color="auto"/>
        <w:left w:val="none" w:sz="0" w:space="0" w:color="auto"/>
        <w:bottom w:val="none" w:sz="0" w:space="0" w:color="auto"/>
        <w:right w:val="none" w:sz="0" w:space="0" w:color="auto"/>
      </w:divBdr>
    </w:div>
    <w:div w:id="783235595">
      <w:bodyDiv w:val="1"/>
      <w:marLeft w:val="0"/>
      <w:marRight w:val="0"/>
      <w:marTop w:val="0"/>
      <w:marBottom w:val="0"/>
      <w:divBdr>
        <w:top w:val="none" w:sz="0" w:space="0" w:color="auto"/>
        <w:left w:val="none" w:sz="0" w:space="0" w:color="auto"/>
        <w:bottom w:val="none" w:sz="0" w:space="0" w:color="auto"/>
        <w:right w:val="none" w:sz="0" w:space="0" w:color="auto"/>
      </w:divBdr>
    </w:div>
    <w:div w:id="968583458">
      <w:bodyDiv w:val="1"/>
      <w:marLeft w:val="0"/>
      <w:marRight w:val="0"/>
      <w:marTop w:val="0"/>
      <w:marBottom w:val="0"/>
      <w:divBdr>
        <w:top w:val="none" w:sz="0" w:space="0" w:color="auto"/>
        <w:left w:val="none" w:sz="0" w:space="0" w:color="auto"/>
        <w:bottom w:val="none" w:sz="0" w:space="0" w:color="auto"/>
        <w:right w:val="none" w:sz="0" w:space="0" w:color="auto"/>
      </w:divBdr>
    </w:div>
    <w:div w:id="1013072291">
      <w:bodyDiv w:val="1"/>
      <w:marLeft w:val="0"/>
      <w:marRight w:val="0"/>
      <w:marTop w:val="0"/>
      <w:marBottom w:val="0"/>
      <w:divBdr>
        <w:top w:val="none" w:sz="0" w:space="0" w:color="auto"/>
        <w:left w:val="none" w:sz="0" w:space="0" w:color="auto"/>
        <w:bottom w:val="none" w:sz="0" w:space="0" w:color="auto"/>
        <w:right w:val="none" w:sz="0" w:space="0" w:color="auto"/>
      </w:divBdr>
    </w:div>
    <w:div w:id="1030187785">
      <w:bodyDiv w:val="1"/>
      <w:marLeft w:val="0"/>
      <w:marRight w:val="0"/>
      <w:marTop w:val="0"/>
      <w:marBottom w:val="0"/>
      <w:divBdr>
        <w:top w:val="none" w:sz="0" w:space="0" w:color="auto"/>
        <w:left w:val="none" w:sz="0" w:space="0" w:color="auto"/>
        <w:bottom w:val="none" w:sz="0" w:space="0" w:color="auto"/>
        <w:right w:val="none" w:sz="0" w:space="0" w:color="auto"/>
      </w:divBdr>
    </w:div>
    <w:div w:id="1088233270">
      <w:bodyDiv w:val="1"/>
      <w:marLeft w:val="0"/>
      <w:marRight w:val="0"/>
      <w:marTop w:val="0"/>
      <w:marBottom w:val="0"/>
      <w:divBdr>
        <w:top w:val="none" w:sz="0" w:space="0" w:color="auto"/>
        <w:left w:val="none" w:sz="0" w:space="0" w:color="auto"/>
        <w:bottom w:val="none" w:sz="0" w:space="0" w:color="auto"/>
        <w:right w:val="none" w:sz="0" w:space="0" w:color="auto"/>
      </w:divBdr>
    </w:div>
    <w:div w:id="1113280125">
      <w:bodyDiv w:val="1"/>
      <w:marLeft w:val="0"/>
      <w:marRight w:val="0"/>
      <w:marTop w:val="0"/>
      <w:marBottom w:val="0"/>
      <w:divBdr>
        <w:top w:val="none" w:sz="0" w:space="0" w:color="auto"/>
        <w:left w:val="none" w:sz="0" w:space="0" w:color="auto"/>
        <w:bottom w:val="none" w:sz="0" w:space="0" w:color="auto"/>
        <w:right w:val="none" w:sz="0" w:space="0" w:color="auto"/>
      </w:divBdr>
    </w:div>
    <w:div w:id="1403021539">
      <w:bodyDiv w:val="1"/>
      <w:marLeft w:val="0"/>
      <w:marRight w:val="0"/>
      <w:marTop w:val="0"/>
      <w:marBottom w:val="0"/>
      <w:divBdr>
        <w:top w:val="none" w:sz="0" w:space="0" w:color="auto"/>
        <w:left w:val="none" w:sz="0" w:space="0" w:color="auto"/>
        <w:bottom w:val="none" w:sz="0" w:space="0" w:color="auto"/>
        <w:right w:val="none" w:sz="0" w:space="0" w:color="auto"/>
      </w:divBdr>
    </w:div>
    <w:div w:id="1441874967">
      <w:bodyDiv w:val="1"/>
      <w:marLeft w:val="0"/>
      <w:marRight w:val="0"/>
      <w:marTop w:val="0"/>
      <w:marBottom w:val="0"/>
      <w:divBdr>
        <w:top w:val="none" w:sz="0" w:space="0" w:color="auto"/>
        <w:left w:val="none" w:sz="0" w:space="0" w:color="auto"/>
        <w:bottom w:val="none" w:sz="0" w:space="0" w:color="auto"/>
        <w:right w:val="none" w:sz="0" w:space="0" w:color="auto"/>
      </w:divBdr>
    </w:div>
    <w:div w:id="1463958888">
      <w:bodyDiv w:val="1"/>
      <w:marLeft w:val="0"/>
      <w:marRight w:val="0"/>
      <w:marTop w:val="0"/>
      <w:marBottom w:val="0"/>
      <w:divBdr>
        <w:top w:val="none" w:sz="0" w:space="0" w:color="auto"/>
        <w:left w:val="none" w:sz="0" w:space="0" w:color="auto"/>
        <w:bottom w:val="none" w:sz="0" w:space="0" w:color="auto"/>
        <w:right w:val="none" w:sz="0" w:space="0" w:color="auto"/>
      </w:divBdr>
    </w:div>
    <w:div w:id="1529374129">
      <w:bodyDiv w:val="1"/>
      <w:marLeft w:val="0"/>
      <w:marRight w:val="0"/>
      <w:marTop w:val="0"/>
      <w:marBottom w:val="0"/>
      <w:divBdr>
        <w:top w:val="none" w:sz="0" w:space="0" w:color="auto"/>
        <w:left w:val="none" w:sz="0" w:space="0" w:color="auto"/>
        <w:bottom w:val="none" w:sz="0" w:space="0" w:color="auto"/>
        <w:right w:val="none" w:sz="0" w:space="0" w:color="auto"/>
      </w:divBdr>
    </w:div>
    <w:div w:id="1899783674">
      <w:bodyDiv w:val="1"/>
      <w:marLeft w:val="0"/>
      <w:marRight w:val="0"/>
      <w:marTop w:val="0"/>
      <w:marBottom w:val="0"/>
      <w:divBdr>
        <w:top w:val="none" w:sz="0" w:space="0" w:color="auto"/>
        <w:left w:val="none" w:sz="0" w:space="0" w:color="auto"/>
        <w:bottom w:val="none" w:sz="0" w:space="0" w:color="auto"/>
        <w:right w:val="none" w:sz="0" w:space="0" w:color="auto"/>
      </w:divBdr>
    </w:div>
    <w:div w:id="1908759350">
      <w:bodyDiv w:val="1"/>
      <w:marLeft w:val="0"/>
      <w:marRight w:val="0"/>
      <w:marTop w:val="0"/>
      <w:marBottom w:val="0"/>
      <w:divBdr>
        <w:top w:val="none" w:sz="0" w:space="0" w:color="auto"/>
        <w:left w:val="none" w:sz="0" w:space="0" w:color="auto"/>
        <w:bottom w:val="none" w:sz="0" w:space="0" w:color="auto"/>
        <w:right w:val="none" w:sz="0" w:space="0" w:color="auto"/>
      </w:divBdr>
    </w:div>
    <w:div w:id="202586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sp0004aplh\WM0_shared_01\Groups\Quarter%20End%20-%20Market%20Insights\Market%20charts_Q22021%20BEN%20Updat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625522419453666E-2"/>
          <c:y val="0.14877906976744187"/>
          <c:w val="0.96520363780150253"/>
          <c:h val="0.57594966192139896"/>
        </c:manualLayout>
      </c:layout>
      <c:barChart>
        <c:barDir val="col"/>
        <c:grouping val="clustered"/>
        <c:varyColors val="0"/>
        <c:ser>
          <c:idx val="0"/>
          <c:order val="0"/>
          <c:tx>
            <c:strRef>
              <c:f>'Market Performance'!$B$4</c:f>
              <c:strCache>
                <c:ptCount val="1"/>
                <c:pt idx="0">
                  <c:v>US Equities</c:v>
                </c:pt>
              </c:strCache>
            </c:strRef>
          </c:tx>
          <c:spPr>
            <a:solidFill>
              <a:schemeClr val="accent6">
                <a:lumMod val="50000"/>
              </a:schemeClr>
            </a:solidFill>
            <a:ln>
              <a:noFill/>
            </a:ln>
            <a:effectLst/>
          </c:spPr>
          <c:invertIfNegative val="0"/>
          <c:dLbls>
            <c:dLbl>
              <c:idx val="0"/>
              <c:layout>
                <c:manualLayout>
                  <c:x val="-4.9433454964471013E-3"/>
                  <c:y val="7.92483061710309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ECF-434F-84D4-64AF08E7C8B1}"/>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'Market Performance'!$C$3:$G$3</c:f>
              <c:strCache>
                <c:ptCount val="2"/>
                <c:pt idx="0">
                  <c:v>Q2</c:v>
                </c:pt>
                <c:pt idx="1">
                  <c:v>YTD</c:v>
                </c:pt>
              </c:strCache>
            </c:strRef>
          </c:cat>
          <c:val>
            <c:numRef>
              <c:f>'Market Performance'!$C$4:$G$4</c:f>
              <c:numCache>
                <c:formatCode>General</c:formatCode>
                <c:ptCount val="2"/>
                <c:pt idx="0">
                  <c:v>8.5</c:v>
                </c:pt>
                <c:pt idx="1">
                  <c:v>15.3</c:v>
                </c:pt>
              </c:numCache>
            </c:numRef>
          </c:val>
          <c:extLst>
            <c:ext xmlns:c16="http://schemas.microsoft.com/office/drawing/2014/chart" uri="{C3380CC4-5D6E-409C-BE32-E72D297353CC}">
              <c16:uniqueId val="{00000001-0ECF-434F-84D4-64AF08E7C8B1}"/>
            </c:ext>
          </c:extLst>
        </c:ser>
        <c:ser>
          <c:idx val="1"/>
          <c:order val="1"/>
          <c:tx>
            <c:strRef>
              <c:f>'Market Performance'!$B$5</c:f>
              <c:strCache>
                <c:ptCount val="1"/>
                <c:pt idx="0">
                  <c:v>Int'l Equities</c:v>
                </c:pt>
              </c:strCache>
            </c:strRef>
          </c:tx>
          <c:spPr>
            <a:solidFill>
              <a:schemeClr val="accent6">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'Market Performance'!$C$3:$G$3</c:f>
              <c:strCache>
                <c:ptCount val="2"/>
                <c:pt idx="0">
                  <c:v>Q2</c:v>
                </c:pt>
                <c:pt idx="1">
                  <c:v>YTD</c:v>
                </c:pt>
              </c:strCache>
            </c:strRef>
          </c:cat>
          <c:val>
            <c:numRef>
              <c:f>'Market Performance'!$C$5:$G$5</c:f>
              <c:numCache>
                <c:formatCode>General</c:formatCode>
                <c:ptCount val="2"/>
                <c:pt idx="0">
                  <c:v>5.4</c:v>
                </c:pt>
                <c:pt idx="1">
                  <c:v>9.1999999999999993</c:v>
                </c:pt>
              </c:numCache>
            </c:numRef>
          </c:val>
          <c:extLst>
            <c:ext xmlns:c16="http://schemas.microsoft.com/office/drawing/2014/chart" uri="{C3380CC4-5D6E-409C-BE32-E72D297353CC}">
              <c16:uniqueId val="{00000002-0ECF-434F-84D4-64AF08E7C8B1}"/>
            </c:ext>
          </c:extLst>
        </c:ser>
        <c:ser>
          <c:idx val="2"/>
          <c:order val="2"/>
          <c:tx>
            <c:strRef>
              <c:f>'Market Performance'!$B$6</c:f>
              <c:strCache>
                <c:ptCount val="1"/>
                <c:pt idx="0">
                  <c:v>EM Equities</c:v>
                </c:pt>
              </c:strCache>
            </c:strRef>
          </c:tx>
          <c:spPr>
            <a:solidFill>
              <a:schemeClr val="accent6">
                <a:lumMod val="60000"/>
                <a:lumOff val="40000"/>
              </a:schemeClr>
            </a:solidFill>
            <a:ln>
              <a:noFill/>
            </a:ln>
            <a:effectLst/>
          </c:spPr>
          <c:invertIfNegative val="0"/>
          <c:dLbls>
            <c:dLbl>
              <c:idx val="0"/>
              <c:layout>
                <c:manualLayout>
                  <c:x val="1.739818109924870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ECF-434F-84D4-64AF08E7C8B1}"/>
                </c:ext>
              </c:extLst>
            </c:dLbl>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'Market Performance'!$C$3:$G$3</c:f>
              <c:strCache>
                <c:ptCount val="2"/>
                <c:pt idx="0">
                  <c:v>Q2</c:v>
                </c:pt>
                <c:pt idx="1">
                  <c:v>YTD</c:v>
                </c:pt>
              </c:strCache>
            </c:strRef>
          </c:cat>
          <c:val>
            <c:numRef>
              <c:f>'Market Performance'!$C$6:$G$6</c:f>
              <c:numCache>
                <c:formatCode>General</c:formatCode>
                <c:ptCount val="2"/>
                <c:pt idx="0">
                  <c:v>5.0999999999999996</c:v>
                </c:pt>
                <c:pt idx="1">
                  <c:v>7.6</c:v>
                </c:pt>
              </c:numCache>
            </c:numRef>
          </c:val>
          <c:extLst>
            <c:ext xmlns:c16="http://schemas.microsoft.com/office/drawing/2014/chart" uri="{C3380CC4-5D6E-409C-BE32-E72D297353CC}">
              <c16:uniqueId val="{00000004-0ECF-434F-84D4-64AF08E7C8B1}"/>
            </c:ext>
          </c:extLst>
        </c:ser>
        <c:ser>
          <c:idx val="3"/>
          <c:order val="3"/>
          <c:tx>
            <c:strRef>
              <c:f>'Market Performance'!$B$7</c:f>
              <c:strCache>
                <c:ptCount val="1"/>
                <c:pt idx="0">
                  <c:v>US Bonds</c:v>
                </c:pt>
              </c:strCache>
            </c:strRef>
          </c:tx>
          <c:spPr>
            <a:solidFill>
              <a:schemeClr val="accent1">
                <a:lumMod val="5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'Market Performance'!$C$3:$G$3</c:f>
              <c:strCache>
                <c:ptCount val="2"/>
                <c:pt idx="0">
                  <c:v>Q2</c:v>
                </c:pt>
                <c:pt idx="1">
                  <c:v>YTD</c:v>
                </c:pt>
              </c:strCache>
            </c:strRef>
          </c:cat>
          <c:val>
            <c:numRef>
              <c:f>'Market Performance'!$C$7:$G$7</c:f>
              <c:numCache>
                <c:formatCode>General</c:formatCode>
                <c:ptCount val="2"/>
                <c:pt idx="0">
                  <c:v>1.8</c:v>
                </c:pt>
                <c:pt idx="1">
                  <c:v>-1.6</c:v>
                </c:pt>
              </c:numCache>
            </c:numRef>
          </c:val>
          <c:extLst>
            <c:ext xmlns:c16="http://schemas.microsoft.com/office/drawing/2014/chart" uri="{C3380CC4-5D6E-409C-BE32-E72D297353CC}">
              <c16:uniqueId val="{00000005-0ECF-434F-84D4-64AF08E7C8B1}"/>
            </c:ext>
          </c:extLst>
        </c:ser>
        <c:ser>
          <c:idx val="4"/>
          <c:order val="4"/>
          <c:tx>
            <c:strRef>
              <c:f>'Market Performance'!$B$8</c:f>
              <c:strCache>
                <c:ptCount val="1"/>
                <c:pt idx="0">
                  <c:v>Int'l Bonds</c:v>
                </c:pt>
              </c:strCache>
            </c:strRef>
          </c:tx>
          <c:spPr>
            <a:solidFill>
              <a:schemeClr val="accent1">
                <a:lumMod val="75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'Market Performance'!$C$3:$G$3</c:f>
              <c:strCache>
                <c:ptCount val="2"/>
                <c:pt idx="0">
                  <c:v>Q2</c:v>
                </c:pt>
                <c:pt idx="1">
                  <c:v>YTD</c:v>
                </c:pt>
              </c:strCache>
            </c:strRef>
          </c:cat>
          <c:val>
            <c:numRef>
              <c:f>'Market Performance'!$C$8:$G$8</c:f>
              <c:numCache>
                <c:formatCode>General</c:formatCode>
                <c:ptCount val="2"/>
                <c:pt idx="0">
                  <c:v>0.9</c:v>
                </c:pt>
                <c:pt idx="1">
                  <c:v>-4.4000000000000004</c:v>
                </c:pt>
              </c:numCache>
            </c:numRef>
          </c:val>
          <c:extLst>
            <c:ext xmlns:c16="http://schemas.microsoft.com/office/drawing/2014/chart" uri="{C3380CC4-5D6E-409C-BE32-E72D297353CC}">
              <c16:uniqueId val="{00000006-0ECF-434F-84D4-64AF08E7C8B1}"/>
            </c:ext>
          </c:extLst>
        </c:ser>
        <c:ser>
          <c:idx val="5"/>
          <c:order val="5"/>
          <c:tx>
            <c:strRef>
              <c:f>'Market Performance'!$B$9</c:f>
              <c:strCache>
                <c:ptCount val="1"/>
                <c:pt idx="0">
                  <c:v>EM Bonds</c:v>
                </c:pt>
              </c:strCache>
            </c:strRef>
          </c:tx>
          <c:spPr>
            <a:solidFill>
              <a:schemeClr val="accent1">
                <a:lumMod val="60000"/>
                <a:lumOff val="40000"/>
              </a:schemeClr>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'Market Performance'!$C$3:$G$3</c:f>
              <c:strCache>
                <c:ptCount val="2"/>
                <c:pt idx="0">
                  <c:v>Q2</c:v>
                </c:pt>
                <c:pt idx="1">
                  <c:v>YTD</c:v>
                </c:pt>
              </c:strCache>
            </c:strRef>
          </c:cat>
          <c:val>
            <c:numRef>
              <c:f>'Market Performance'!$C$9:$G$9</c:f>
              <c:numCache>
                <c:formatCode>General</c:formatCode>
                <c:ptCount val="2"/>
                <c:pt idx="0">
                  <c:v>3</c:v>
                </c:pt>
                <c:pt idx="1">
                  <c:v>-0.6</c:v>
                </c:pt>
              </c:numCache>
            </c:numRef>
          </c:val>
          <c:extLst>
            <c:ext xmlns:c16="http://schemas.microsoft.com/office/drawing/2014/chart" uri="{C3380CC4-5D6E-409C-BE32-E72D297353CC}">
              <c16:uniqueId val="{00000007-0ECF-434F-84D4-64AF08E7C8B1}"/>
            </c:ext>
          </c:extLst>
        </c:ser>
        <c:dLbls>
          <c:showLegendKey val="0"/>
          <c:showVal val="0"/>
          <c:showCatName val="0"/>
          <c:showSerName val="0"/>
          <c:showPercent val="0"/>
          <c:showBubbleSize val="0"/>
        </c:dLbls>
        <c:gapWidth val="219"/>
        <c:overlap val="-27"/>
        <c:axId val="1898385567"/>
        <c:axId val="1858452879"/>
      </c:barChart>
      <c:catAx>
        <c:axId val="1898385567"/>
        <c:scaling>
          <c:orientation val="minMax"/>
        </c:scaling>
        <c:delete val="0"/>
        <c:axPos val="b"/>
        <c:numFmt formatCode="General" sourceLinked="1"/>
        <c:majorTickMark val="none"/>
        <c:minorTickMark val="none"/>
        <c:tickLblPos val="high"/>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858452879"/>
        <c:crosses val="autoZero"/>
        <c:auto val="1"/>
        <c:lblAlgn val="ctr"/>
        <c:lblOffset val="100"/>
        <c:noMultiLvlLbl val="0"/>
      </c:catAx>
      <c:valAx>
        <c:axId val="1858452879"/>
        <c:scaling>
          <c:orientation val="minMax"/>
        </c:scaling>
        <c:delete val="1"/>
        <c:axPos val="l"/>
        <c:numFmt formatCode="General" sourceLinked="1"/>
        <c:majorTickMark val="none"/>
        <c:minorTickMark val="none"/>
        <c:tickLblPos val="nextTo"/>
        <c:crossAx val="1898385567"/>
        <c:crosses val="autoZero"/>
        <c:crossBetween val="between"/>
      </c:valAx>
      <c:spPr>
        <a:noFill/>
        <a:ln>
          <a:noFill/>
        </a:ln>
        <a:effectLst/>
      </c:spPr>
    </c:plotArea>
    <c:legend>
      <c:legendPos val="b"/>
      <c:layout>
        <c:manualLayout>
          <c:xMode val="edge"/>
          <c:yMode val="edge"/>
          <c:x val="5.0000047634699021E-2"/>
          <c:y val="0.84933131702907994"/>
          <c:w val="0.89999990473060199"/>
          <c:h val="0.1506686829709200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EEF8D7-CB53-B84F-98F8-D565024CA930}">
  <we:reference id="wa104381967" version="1.0.0.0" store="en-US" storeType="OMEX"/>
  <we:alternateReferences>
    <we:reference id="wa104381967" version="1.0.0.0" store="WA10438196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DD04528833D48AE03A722395B8981" ma:contentTypeVersion="10" ma:contentTypeDescription="Create a new document." ma:contentTypeScope="" ma:versionID="2658d150be98af99731427ea3270a5bd">
  <xsd:schema xmlns:xsd="http://www.w3.org/2001/XMLSchema" xmlns:xs="http://www.w3.org/2001/XMLSchema" xmlns:p="http://schemas.microsoft.com/office/2006/metadata/properties" xmlns:ns3="544282d0-16b8-4a3b-b3e7-bd67f99b7e0f" xmlns:ns4="c316bbf3-ecf4-4ea6-8bd0-9b7acfad4581" targetNamespace="http://schemas.microsoft.com/office/2006/metadata/properties" ma:root="true" ma:fieldsID="803485e28f1a8174196fb6807ab1dabf" ns3:_="" ns4:_="">
    <xsd:import namespace="544282d0-16b8-4a3b-b3e7-bd67f99b7e0f"/>
    <xsd:import namespace="c316bbf3-ecf4-4ea6-8bd0-9b7acfad458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282d0-16b8-4a3b-b3e7-bd67f99b7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16bbf3-ecf4-4ea6-8bd0-9b7acfad45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E645D-791C-4EE7-9E5F-AA3791FBE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282d0-16b8-4a3b-b3e7-bd67f99b7e0f"/>
    <ds:schemaRef ds:uri="c316bbf3-ecf4-4ea6-8bd0-9b7acfad4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2D0698-4A8D-451C-B145-A083729996EF}">
  <ds:schemaRefs>
    <ds:schemaRef ds:uri="http://schemas.microsoft.com/sharepoint/v3/contenttype/forms"/>
  </ds:schemaRefs>
</ds:datastoreItem>
</file>

<file path=customXml/itemProps3.xml><?xml version="1.0" encoding="utf-8"?>
<ds:datastoreItem xmlns:ds="http://schemas.openxmlformats.org/officeDocument/2006/customXml" ds:itemID="{42B731A9-96E0-466D-B58E-02877A2396D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CD81D7-374C-4069-A6D3-94C939E7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Chelsey (AssetMark)</dc:creator>
  <cp:keywords/>
  <dc:description/>
  <cp:lastModifiedBy>Clarke, Kate (AssetMark)</cp:lastModifiedBy>
  <cp:revision>9</cp:revision>
  <cp:lastPrinted>2020-01-07T17:46:00Z</cp:lastPrinted>
  <dcterms:created xsi:type="dcterms:W3CDTF">2021-07-03T13:01:00Z</dcterms:created>
  <dcterms:modified xsi:type="dcterms:W3CDTF">2021-07-07T22:33:00Z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0x0101009F1DD04528833D48AE03A722395B8981</vt:lpwstr>
  </property>
</Properties>
</file>