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F8FC9" w14:textId="77777777" w:rsidR="004B1C5E" w:rsidRDefault="004B1C5E" w:rsidP="00996FBD">
      <w:pPr>
        <w:spacing w:after="0"/>
        <w:ind w:left="-720" w:right="-720"/>
        <w:rPr>
          <w:rFonts w:ascii="Arial" w:hAnsi="Arial" w:cs="Arial"/>
          <w:b/>
          <w:color w:val="0070C0"/>
          <w:sz w:val="20"/>
          <w:szCs w:val="20"/>
        </w:rPr>
      </w:pPr>
    </w:p>
    <w:p w14:paraId="464BF5D3" w14:textId="77777777" w:rsidR="004B1C5E" w:rsidRDefault="004B1C5E" w:rsidP="00996FBD">
      <w:pPr>
        <w:spacing w:after="0"/>
        <w:ind w:left="-720" w:right="-720"/>
        <w:rPr>
          <w:rFonts w:ascii="Arial" w:hAnsi="Arial" w:cs="Arial"/>
          <w:b/>
          <w:color w:val="0070C0"/>
          <w:sz w:val="20"/>
          <w:szCs w:val="20"/>
        </w:rPr>
      </w:pPr>
    </w:p>
    <w:p w14:paraId="6B227764" w14:textId="77777777" w:rsidR="004B1C5E" w:rsidRDefault="004B1C5E" w:rsidP="008F63B8">
      <w:pPr>
        <w:spacing w:after="0"/>
        <w:ind w:right="-720"/>
        <w:rPr>
          <w:rFonts w:ascii="Arial" w:hAnsi="Arial" w:cs="Arial"/>
          <w:b/>
          <w:color w:val="0070C0"/>
          <w:sz w:val="20"/>
          <w:szCs w:val="20"/>
        </w:rPr>
      </w:pPr>
    </w:p>
    <w:p w14:paraId="244B2C12" w14:textId="77777777" w:rsidR="004B1C5E" w:rsidRDefault="004B1C5E" w:rsidP="00996FBD">
      <w:pPr>
        <w:spacing w:after="0"/>
        <w:ind w:left="-720" w:right="-720"/>
        <w:rPr>
          <w:rFonts w:ascii="Arial" w:hAnsi="Arial" w:cs="Arial"/>
          <w:b/>
          <w:color w:val="0070C0"/>
          <w:sz w:val="20"/>
          <w:szCs w:val="20"/>
        </w:rPr>
      </w:pPr>
    </w:p>
    <w:p w14:paraId="72E66203" w14:textId="77777777" w:rsidR="004B1C5E" w:rsidRDefault="004B1C5E" w:rsidP="00996FBD">
      <w:pPr>
        <w:spacing w:after="0"/>
        <w:ind w:left="-720" w:right="-720"/>
        <w:rPr>
          <w:rFonts w:ascii="Arial" w:hAnsi="Arial" w:cs="Arial"/>
          <w:b/>
          <w:color w:val="0070C0"/>
          <w:sz w:val="20"/>
          <w:szCs w:val="20"/>
        </w:rPr>
      </w:pPr>
    </w:p>
    <w:p w14:paraId="0B4B0521" w14:textId="1EB7E3A1" w:rsidR="004B1C5E" w:rsidRDefault="004B1C5E" w:rsidP="00996FBD">
      <w:pPr>
        <w:spacing w:after="0"/>
        <w:ind w:left="-720" w:right="-720"/>
        <w:rPr>
          <w:rFonts w:ascii="Arial" w:hAnsi="Arial" w:cs="Arial"/>
          <w:b/>
          <w:color w:val="0070C0"/>
          <w:sz w:val="20"/>
          <w:szCs w:val="20"/>
        </w:rPr>
      </w:pPr>
    </w:p>
    <w:p w14:paraId="0A92056C" w14:textId="5507F879" w:rsidR="00996FBD" w:rsidRPr="00FB2425" w:rsidRDefault="002243CA" w:rsidP="002B3AF0">
      <w:pPr>
        <w:spacing w:after="0"/>
        <w:ind w:left="720" w:right="-360" w:firstLine="720"/>
        <w:rPr>
          <w:rFonts w:ascii="Arial" w:hAnsi="Arial" w:cs="Arial"/>
          <w:b/>
          <w:color w:val="037EBB"/>
          <w:szCs w:val="20"/>
        </w:rPr>
      </w:pPr>
      <w:r>
        <w:rPr>
          <w:noProof/>
        </w:rPr>
        <w:drawing>
          <wp:anchor distT="0" distB="0" distL="114300" distR="114300" simplePos="0" relativeHeight="251675648" behindDoc="0" locked="0" layoutInCell="1" allowOverlap="1" wp14:anchorId="039B80D1" wp14:editId="4D6D15A6">
            <wp:simplePos x="0" y="0"/>
            <wp:positionH relativeFrom="column">
              <wp:posOffset>942975</wp:posOffset>
            </wp:positionH>
            <wp:positionV relativeFrom="page">
              <wp:posOffset>2266950</wp:posOffset>
            </wp:positionV>
            <wp:extent cx="5153025" cy="2076450"/>
            <wp:effectExtent l="0" t="0" r="9525" b="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0A7E8D" w:rsidRPr="007D272C">
        <w:rPr>
          <w:rFonts w:ascii="Arial" w:hAnsi="Arial" w:cs="Arial"/>
          <w:b/>
          <w:noProof/>
          <w:color w:val="3B3838" w:themeColor="background2" w:themeShade="40"/>
          <w:sz w:val="21"/>
          <w:szCs w:val="20"/>
        </w:rPr>
        <w:drawing>
          <wp:anchor distT="0" distB="0" distL="114300" distR="114300" simplePos="0" relativeHeight="251668480" behindDoc="0" locked="0" layoutInCell="1" allowOverlap="1" wp14:anchorId="7008C652" wp14:editId="37E6E39A">
            <wp:simplePos x="0" y="0"/>
            <wp:positionH relativeFrom="column">
              <wp:posOffset>-174625</wp:posOffset>
            </wp:positionH>
            <wp:positionV relativeFrom="paragraph">
              <wp:posOffset>68580</wp:posOffset>
            </wp:positionV>
            <wp:extent cx="558182" cy="658368"/>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58182" cy="658368"/>
                    </a:xfrm>
                    <a:prstGeom prst="rect">
                      <a:avLst/>
                    </a:prstGeom>
                  </pic:spPr>
                </pic:pic>
              </a:graphicData>
            </a:graphic>
            <wp14:sizeRelH relativeFrom="page">
              <wp14:pctWidth>0</wp14:pctWidth>
            </wp14:sizeRelH>
            <wp14:sizeRelV relativeFrom="page">
              <wp14:pctHeight>0</wp14:pctHeight>
            </wp14:sizeRelV>
          </wp:anchor>
        </w:drawing>
      </w:r>
      <w:r w:rsidR="00550B80" w:rsidRPr="007D272C">
        <w:rPr>
          <w:rFonts w:ascii="Arial" w:hAnsi="Arial" w:cs="Arial"/>
          <w:b/>
          <w:color w:val="037EBB"/>
          <w:sz w:val="24"/>
          <w:szCs w:val="20"/>
        </w:rPr>
        <w:t>Market Review</w:t>
      </w:r>
    </w:p>
    <w:p w14:paraId="3BEC6FA2" w14:textId="12EACEB0" w:rsidR="00024E19" w:rsidRPr="005F73BE" w:rsidRDefault="00102089" w:rsidP="00024E19">
      <w:pPr>
        <w:pStyle w:val="ListParagraph"/>
        <w:ind w:left="1440"/>
        <w:rPr>
          <w:rStyle w:val="Emphasis"/>
          <w:rFonts w:ascii="Arial" w:hAnsi="Arial" w:cs="Arial"/>
          <w:i w:val="0"/>
          <w:iCs w:val="0"/>
          <w:color w:val="000000"/>
          <w:sz w:val="16"/>
          <w:szCs w:val="16"/>
          <w:shd w:val="clear" w:color="auto" w:fill="FFFFFF"/>
        </w:rPr>
      </w:pPr>
      <w:r>
        <w:rPr>
          <w:rFonts w:ascii="Arial" w:hAnsi="Arial" w:cs="Arial"/>
          <w:b/>
          <w:bCs/>
          <w:iCs/>
          <w:sz w:val="20"/>
          <w:szCs w:val="20"/>
        </w:rPr>
        <w:t xml:space="preserve"> </w:t>
      </w:r>
      <w:r w:rsidR="00024E19" w:rsidRPr="005F73BE">
        <w:rPr>
          <w:rFonts w:ascii="Arial" w:hAnsi="Arial" w:cs="Arial"/>
          <w:sz w:val="16"/>
          <w:szCs w:val="16"/>
        </w:rPr>
        <w:t xml:space="preserve">Source: FactSet </w:t>
      </w:r>
      <w:r w:rsidR="00024E19" w:rsidRPr="005F73BE">
        <w:rPr>
          <w:rStyle w:val="Emphasis"/>
          <w:rFonts w:ascii="Arial" w:hAnsi="Arial" w:cs="Arial"/>
          <w:i w:val="0"/>
          <w:iCs w:val="0"/>
          <w:color w:val="000000"/>
          <w:sz w:val="16"/>
          <w:szCs w:val="16"/>
          <w:shd w:val="clear" w:color="auto" w:fill="FFFFFF"/>
        </w:rPr>
        <w:t>financial data and analytics</w:t>
      </w:r>
    </w:p>
    <w:p w14:paraId="5B6BAA7C" w14:textId="2A231839" w:rsidR="00024E19" w:rsidRPr="00024E19" w:rsidRDefault="00024E19" w:rsidP="00024E19">
      <w:pPr>
        <w:pStyle w:val="ListParagraph"/>
        <w:ind w:left="1440"/>
        <w:rPr>
          <w:rFonts w:ascii="Arial" w:hAnsi="Arial" w:cs="Arial"/>
          <w:sz w:val="20"/>
          <w:szCs w:val="20"/>
        </w:rPr>
      </w:pPr>
    </w:p>
    <w:p w14:paraId="0558AEA5" w14:textId="2F6BB0A6" w:rsidR="000C6F98" w:rsidRPr="00350C5E" w:rsidRDefault="005817B5" w:rsidP="008901EF">
      <w:pPr>
        <w:pStyle w:val="ListParagraph"/>
        <w:numPr>
          <w:ilvl w:val="0"/>
          <w:numId w:val="3"/>
        </w:numPr>
        <w:contextualSpacing w:val="0"/>
        <w:rPr>
          <w:rFonts w:ascii="Arial" w:hAnsi="Arial" w:cs="Arial"/>
          <w:sz w:val="20"/>
          <w:szCs w:val="20"/>
        </w:rPr>
      </w:pPr>
      <w:bookmarkStart w:id="0" w:name="_Hlk84243018"/>
      <w:r>
        <w:rPr>
          <w:rFonts w:ascii="Arial" w:hAnsi="Arial" w:cs="Arial"/>
          <w:b/>
          <w:bCs/>
          <w:iCs/>
          <w:sz w:val="20"/>
          <w:szCs w:val="20"/>
        </w:rPr>
        <w:t xml:space="preserve">The war in Ukraine, </w:t>
      </w:r>
      <w:r w:rsidR="006E6DB4">
        <w:rPr>
          <w:rFonts w:ascii="Arial" w:hAnsi="Arial" w:cs="Arial"/>
          <w:b/>
          <w:bCs/>
          <w:iCs/>
          <w:sz w:val="20"/>
          <w:szCs w:val="20"/>
        </w:rPr>
        <w:t xml:space="preserve">surging inflation and rising interest rates </w:t>
      </w:r>
      <w:r w:rsidR="004F4FB0">
        <w:rPr>
          <w:rFonts w:ascii="Arial" w:hAnsi="Arial" w:cs="Arial"/>
          <w:b/>
          <w:bCs/>
          <w:iCs/>
          <w:sz w:val="20"/>
          <w:szCs w:val="20"/>
        </w:rPr>
        <w:t>led</w:t>
      </w:r>
      <w:r w:rsidR="006E6DB4">
        <w:rPr>
          <w:rFonts w:ascii="Arial" w:hAnsi="Arial" w:cs="Arial"/>
          <w:b/>
          <w:bCs/>
          <w:iCs/>
          <w:sz w:val="20"/>
          <w:szCs w:val="20"/>
        </w:rPr>
        <w:t xml:space="preserve"> markets </w:t>
      </w:r>
      <w:r w:rsidR="004F4FB0">
        <w:rPr>
          <w:rFonts w:ascii="Arial" w:hAnsi="Arial" w:cs="Arial"/>
          <w:b/>
          <w:bCs/>
          <w:iCs/>
          <w:sz w:val="20"/>
          <w:szCs w:val="20"/>
        </w:rPr>
        <w:t xml:space="preserve">lower </w:t>
      </w:r>
      <w:r w:rsidR="006E6DB4">
        <w:rPr>
          <w:rFonts w:ascii="Arial" w:hAnsi="Arial" w:cs="Arial"/>
          <w:b/>
          <w:bCs/>
          <w:iCs/>
          <w:sz w:val="20"/>
          <w:szCs w:val="20"/>
        </w:rPr>
        <w:t xml:space="preserve">in the first quarter. </w:t>
      </w:r>
      <w:r w:rsidR="007A6091" w:rsidRPr="00042F07">
        <w:rPr>
          <w:rFonts w:ascii="Arial" w:hAnsi="Arial" w:cs="Arial"/>
          <w:b/>
          <w:bCs/>
          <w:iCs/>
          <w:sz w:val="20"/>
          <w:szCs w:val="20"/>
        </w:rPr>
        <w:t>A</w:t>
      </w:r>
      <w:r w:rsidR="004767CA" w:rsidRPr="00042F07">
        <w:rPr>
          <w:rFonts w:ascii="Arial" w:hAnsi="Arial" w:cs="Arial"/>
          <w:b/>
          <w:bCs/>
          <w:iCs/>
          <w:sz w:val="20"/>
          <w:szCs w:val="20"/>
        </w:rPr>
        <w:t>fter a strong 2021</w:t>
      </w:r>
      <w:r w:rsidR="007A6091" w:rsidRPr="00042F07">
        <w:rPr>
          <w:rFonts w:ascii="Arial" w:hAnsi="Arial" w:cs="Arial"/>
          <w:b/>
          <w:bCs/>
          <w:iCs/>
          <w:sz w:val="20"/>
          <w:szCs w:val="20"/>
        </w:rPr>
        <w:t xml:space="preserve">, </w:t>
      </w:r>
      <w:r w:rsidR="00E50814" w:rsidRPr="00042F07">
        <w:rPr>
          <w:rFonts w:ascii="Arial" w:hAnsi="Arial" w:cs="Arial"/>
          <w:b/>
          <w:bCs/>
          <w:iCs/>
          <w:sz w:val="20"/>
          <w:szCs w:val="20"/>
        </w:rPr>
        <w:t xml:space="preserve">US </w:t>
      </w:r>
      <w:r w:rsidR="00F27DFC" w:rsidRPr="00042F07">
        <w:rPr>
          <w:rFonts w:ascii="Arial" w:hAnsi="Arial" w:cs="Arial"/>
          <w:b/>
          <w:bCs/>
          <w:iCs/>
          <w:sz w:val="20"/>
          <w:szCs w:val="20"/>
        </w:rPr>
        <w:t>equities</w:t>
      </w:r>
      <w:r w:rsidR="004767CA" w:rsidRPr="00042F07">
        <w:rPr>
          <w:rFonts w:ascii="Arial" w:hAnsi="Arial" w:cs="Arial"/>
          <w:b/>
          <w:bCs/>
          <w:iCs/>
          <w:sz w:val="20"/>
          <w:szCs w:val="20"/>
        </w:rPr>
        <w:t xml:space="preserve"> saw </w:t>
      </w:r>
      <w:r w:rsidR="002266CE">
        <w:rPr>
          <w:rFonts w:ascii="Arial" w:hAnsi="Arial" w:cs="Arial"/>
          <w:b/>
          <w:bCs/>
          <w:iCs/>
          <w:sz w:val="20"/>
          <w:szCs w:val="20"/>
        </w:rPr>
        <w:t xml:space="preserve">its </w:t>
      </w:r>
      <w:r w:rsidR="004767CA" w:rsidRPr="00042F07">
        <w:rPr>
          <w:rFonts w:ascii="Arial" w:hAnsi="Arial" w:cs="Arial"/>
          <w:b/>
          <w:bCs/>
          <w:iCs/>
          <w:sz w:val="20"/>
          <w:szCs w:val="20"/>
        </w:rPr>
        <w:t>first quarterly loss in two years</w:t>
      </w:r>
      <w:r w:rsidR="00877757" w:rsidRPr="00042F07">
        <w:rPr>
          <w:rFonts w:ascii="Arial" w:hAnsi="Arial" w:cs="Arial"/>
          <w:b/>
          <w:bCs/>
          <w:iCs/>
          <w:sz w:val="20"/>
          <w:szCs w:val="20"/>
        </w:rPr>
        <w:t>.</w:t>
      </w:r>
      <w:bookmarkEnd w:id="0"/>
      <w:r w:rsidR="007A6091" w:rsidRPr="007A6091">
        <w:rPr>
          <w:rFonts w:ascii="Arial" w:hAnsi="Arial" w:cs="Arial"/>
          <w:iCs/>
          <w:sz w:val="20"/>
          <w:szCs w:val="20"/>
        </w:rPr>
        <w:t xml:space="preserve"> </w:t>
      </w:r>
      <w:r w:rsidR="007A6091">
        <w:rPr>
          <w:rFonts w:ascii="Arial" w:hAnsi="Arial" w:cs="Arial"/>
          <w:color w:val="242424"/>
          <w:spacing w:val="-3"/>
          <w:sz w:val="20"/>
          <w:szCs w:val="20"/>
          <w:shd w:val="clear" w:color="auto" w:fill="FFFFFF"/>
        </w:rPr>
        <w:t>During the quarter</w:t>
      </w:r>
      <w:r w:rsidR="002C2B2D">
        <w:rPr>
          <w:rFonts w:ascii="Arial" w:hAnsi="Arial" w:cs="Arial"/>
          <w:color w:val="242424"/>
          <w:spacing w:val="-3"/>
          <w:sz w:val="20"/>
          <w:szCs w:val="20"/>
          <w:shd w:val="clear" w:color="auto" w:fill="FFFFFF"/>
        </w:rPr>
        <w:t xml:space="preserve"> at its wors</w:t>
      </w:r>
      <w:r w:rsidR="003B01AC">
        <w:rPr>
          <w:rFonts w:ascii="Arial" w:hAnsi="Arial" w:cs="Arial"/>
          <w:color w:val="242424"/>
          <w:spacing w:val="-3"/>
          <w:sz w:val="20"/>
          <w:szCs w:val="20"/>
          <w:shd w:val="clear" w:color="auto" w:fill="FFFFFF"/>
        </w:rPr>
        <w:t>t</w:t>
      </w:r>
      <w:r w:rsidR="007A6091">
        <w:rPr>
          <w:rFonts w:ascii="Arial" w:hAnsi="Arial" w:cs="Arial"/>
          <w:color w:val="242424"/>
          <w:spacing w:val="-3"/>
          <w:sz w:val="20"/>
          <w:szCs w:val="20"/>
          <w:shd w:val="clear" w:color="auto" w:fill="FFFFFF"/>
        </w:rPr>
        <w:t>, US equities fell</w:t>
      </w:r>
      <w:r w:rsidR="002C2B2D">
        <w:rPr>
          <w:rFonts w:ascii="Arial" w:hAnsi="Arial" w:cs="Arial"/>
          <w:color w:val="242424"/>
          <w:spacing w:val="-3"/>
          <w:sz w:val="20"/>
          <w:szCs w:val="20"/>
          <w:shd w:val="clear" w:color="auto" w:fill="FFFFFF"/>
        </w:rPr>
        <w:t xml:space="preserve"> </w:t>
      </w:r>
      <w:r w:rsidR="003B01AC">
        <w:rPr>
          <w:rFonts w:ascii="Arial" w:hAnsi="Arial" w:cs="Arial"/>
          <w:color w:val="242424"/>
          <w:spacing w:val="-3"/>
          <w:sz w:val="20"/>
          <w:szCs w:val="20"/>
          <w:shd w:val="clear" w:color="auto" w:fill="FFFFFF"/>
        </w:rPr>
        <w:t xml:space="preserve">13% and thus </w:t>
      </w:r>
      <w:r w:rsidR="007A6091">
        <w:rPr>
          <w:rFonts w:ascii="Arial" w:hAnsi="Arial" w:cs="Arial"/>
          <w:color w:val="242424"/>
          <w:spacing w:val="-3"/>
          <w:sz w:val="20"/>
          <w:szCs w:val="20"/>
          <w:shd w:val="clear" w:color="auto" w:fill="FFFFFF"/>
        </w:rPr>
        <w:t>into official correction</w:t>
      </w:r>
      <w:r w:rsidR="002C2B2D">
        <w:rPr>
          <w:rFonts w:ascii="Arial" w:hAnsi="Arial" w:cs="Arial"/>
          <w:color w:val="242424"/>
          <w:spacing w:val="-3"/>
          <w:sz w:val="20"/>
          <w:szCs w:val="20"/>
          <w:shd w:val="clear" w:color="auto" w:fill="FFFFFF"/>
        </w:rPr>
        <w:t xml:space="preserve"> </w:t>
      </w:r>
      <w:r w:rsidR="003B01AC">
        <w:rPr>
          <w:rFonts w:ascii="Arial" w:hAnsi="Arial" w:cs="Arial"/>
          <w:color w:val="242424"/>
          <w:spacing w:val="-3"/>
          <w:sz w:val="20"/>
          <w:szCs w:val="20"/>
          <w:shd w:val="clear" w:color="auto" w:fill="FFFFFF"/>
        </w:rPr>
        <w:t xml:space="preserve">territory </w:t>
      </w:r>
      <w:r w:rsidR="002C2B2D">
        <w:rPr>
          <w:rFonts w:ascii="Arial" w:hAnsi="Arial" w:cs="Arial"/>
          <w:color w:val="242424"/>
          <w:spacing w:val="-3"/>
          <w:sz w:val="20"/>
          <w:szCs w:val="20"/>
          <w:shd w:val="clear" w:color="auto" w:fill="FFFFFF"/>
        </w:rPr>
        <w:t xml:space="preserve">(defined as </w:t>
      </w:r>
      <w:r w:rsidR="00EC6AD3">
        <w:rPr>
          <w:rFonts w:ascii="Arial" w:hAnsi="Arial" w:cs="Arial"/>
          <w:color w:val="242424"/>
          <w:spacing w:val="-3"/>
          <w:sz w:val="20"/>
          <w:szCs w:val="20"/>
          <w:shd w:val="clear" w:color="auto" w:fill="FFFFFF"/>
        </w:rPr>
        <w:t xml:space="preserve">a </w:t>
      </w:r>
      <w:r w:rsidR="002C2B2D">
        <w:rPr>
          <w:rFonts w:ascii="Arial" w:hAnsi="Arial" w:cs="Arial"/>
          <w:color w:val="242424"/>
          <w:spacing w:val="-3"/>
          <w:sz w:val="20"/>
          <w:szCs w:val="20"/>
          <w:shd w:val="clear" w:color="auto" w:fill="FFFFFF"/>
        </w:rPr>
        <w:t>drop of 10%)</w:t>
      </w:r>
      <w:r w:rsidR="000C6F98" w:rsidRPr="00610734">
        <w:rPr>
          <w:rFonts w:ascii="Arial" w:hAnsi="Arial" w:cs="Arial"/>
          <w:iCs/>
          <w:sz w:val="20"/>
          <w:szCs w:val="20"/>
        </w:rPr>
        <w:t>.</w:t>
      </w:r>
      <w:r w:rsidR="00C10389">
        <w:rPr>
          <w:rFonts w:ascii="Arial" w:hAnsi="Arial" w:cs="Arial"/>
          <w:iCs/>
          <w:sz w:val="20"/>
          <w:szCs w:val="20"/>
        </w:rPr>
        <w:t xml:space="preserve"> While this may be shocking, </w:t>
      </w:r>
      <w:r w:rsidR="00983896">
        <w:rPr>
          <w:rFonts w:ascii="Arial" w:hAnsi="Arial" w:cs="Arial"/>
          <w:iCs/>
          <w:sz w:val="20"/>
          <w:szCs w:val="20"/>
        </w:rPr>
        <w:t xml:space="preserve">it </w:t>
      </w:r>
      <w:r w:rsidR="00C10389">
        <w:rPr>
          <w:rFonts w:ascii="Arial" w:hAnsi="Arial" w:cs="Arial"/>
          <w:iCs/>
          <w:sz w:val="20"/>
          <w:szCs w:val="20"/>
        </w:rPr>
        <w:t xml:space="preserve">remains in line with historical </w:t>
      </w:r>
      <w:r w:rsidR="003B01AC">
        <w:rPr>
          <w:rFonts w:ascii="Arial" w:hAnsi="Arial" w:cs="Arial"/>
          <w:iCs/>
          <w:sz w:val="20"/>
          <w:szCs w:val="20"/>
        </w:rPr>
        <w:t xml:space="preserve">intra-year </w:t>
      </w:r>
      <w:r w:rsidR="002C2B2D">
        <w:rPr>
          <w:rFonts w:ascii="Arial" w:hAnsi="Arial" w:cs="Arial"/>
          <w:iCs/>
          <w:sz w:val="20"/>
          <w:szCs w:val="20"/>
        </w:rPr>
        <w:t>declines.</w:t>
      </w:r>
      <w:r w:rsidR="004C45B2">
        <w:rPr>
          <w:rFonts w:ascii="Arial" w:hAnsi="Arial" w:cs="Arial"/>
          <w:iCs/>
          <w:sz w:val="20"/>
          <w:szCs w:val="20"/>
        </w:rPr>
        <w:t xml:space="preserve"> S</w:t>
      </w:r>
      <w:r w:rsidR="002C2B2D">
        <w:rPr>
          <w:rFonts w:ascii="Arial" w:hAnsi="Arial" w:cs="Arial"/>
          <w:iCs/>
          <w:sz w:val="20"/>
          <w:szCs w:val="20"/>
        </w:rPr>
        <w:t>ince 1980, d</w:t>
      </w:r>
      <w:r w:rsidR="00C10389" w:rsidRPr="00C10389">
        <w:rPr>
          <w:rFonts w:ascii="Arial" w:hAnsi="Arial" w:cs="Arial"/>
          <w:iCs/>
          <w:sz w:val="20"/>
          <w:szCs w:val="20"/>
        </w:rPr>
        <w:t>espite average intra-year drops of 14.0%, annual returns were positive in 32 of 42 years</w:t>
      </w:r>
      <w:r w:rsidR="004C4F52">
        <w:rPr>
          <w:rStyle w:val="EndnoteReference"/>
          <w:rFonts w:ascii="Arial" w:hAnsi="Arial" w:cs="Arial"/>
          <w:iCs/>
          <w:sz w:val="20"/>
          <w:szCs w:val="20"/>
        </w:rPr>
        <w:endnoteReference w:id="1"/>
      </w:r>
      <w:r w:rsidR="002C2B2D">
        <w:rPr>
          <w:rFonts w:ascii="Arial" w:hAnsi="Arial" w:cs="Arial"/>
          <w:iCs/>
          <w:sz w:val="20"/>
          <w:szCs w:val="20"/>
        </w:rPr>
        <w:t xml:space="preserve">. </w:t>
      </w:r>
      <w:r w:rsidR="004C45B2">
        <w:rPr>
          <w:rFonts w:ascii="Arial" w:hAnsi="Arial" w:cs="Arial"/>
          <w:iCs/>
          <w:sz w:val="20"/>
          <w:szCs w:val="20"/>
        </w:rPr>
        <w:t xml:space="preserve">Despite ongoing uncertainty, </w:t>
      </w:r>
      <w:r w:rsidR="00C10389">
        <w:rPr>
          <w:rFonts w:ascii="Arial" w:hAnsi="Arial" w:cs="Arial"/>
          <w:iCs/>
          <w:sz w:val="20"/>
          <w:szCs w:val="20"/>
        </w:rPr>
        <w:t xml:space="preserve">US equities staged a strong </w:t>
      </w:r>
      <w:r w:rsidR="004C45B2">
        <w:rPr>
          <w:rFonts w:ascii="Arial" w:hAnsi="Arial" w:cs="Arial"/>
          <w:iCs/>
          <w:sz w:val="20"/>
          <w:szCs w:val="20"/>
        </w:rPr>
        <w:t xml:space="preserve">late </w:t>
      </w:r>
      <w:r w:rsidR="00C10389">
        <w:rPr>
          <w:rFonts w:ascii="Arial" w:hAnsi="Arial" w:cs="Arial"/>
          <w:iCs/>
          <w:sz w:val="20"/>
          <w:szCs w:val="20"/>
        </w:rPr>
        <w:t>re</w:t>
      </w:r>
      <w:r w:rsidR="009A3768">
        <w:rPr>
          <w:rFonts w:ascii="Arial" w:hAnsi="Arial" w:cs="Arial"/>
          <w:iCs/>
          <w:sz w:val="20"/>
          <w:szCs w:val="20"/>
        </w:rPr>
        <w:t>bound</w:t>
      </w:r>
      <w:r w:rsidR="00042F07">
        <w:rPr>
          <w:rFonts w:ascii="Arial" w:hAnsi="Arial" w:cs="Arial"/>
          <w:iCs/>
          <w:sz w:val="20"/>
          <w:szCs w:val="20"/>
        </w:rPr>
        <w:t xml:space="preserve"> </w:t>
      </w:r>
      <w:r w:rsidR="004C45B2">
        <w:rPr>
          <w:rFonts w:ascii="Arial" w:hAnsi="Arial" w:cs="Arial"/>
          <w:iCs/>
          <w:sz w:val="20"/>
          <w:szCs w:val="20"/>
        </w:rPr>
        <w:t>of</w:t>
      </w:r>
      <w:r w:rsidR="00C10389">
        <w:rPr>
          <w:rFonts w:ascii="Arial" w:hAnsi="Arial" w:cs="Arial"/>
          <w:iCs/>
          <w:sz w:val="20"/>
          <w:szCs w:val="20"/>
        </w:rPr>
        <w:t xml:space="preserve"> nearly 9% </w:t>
      </w:r>
      <w:r w:rsidR="00042F07">
        <w:rPr>
          <w:rFonts w:ascii="Arial" w:hAnsi="Arial" w:cs="Arial"/>
          <w:iCs/>
          <w:sz w:val="20"/>
          <w:szCs w:val="20"/>
        </w:rPr>
        <w:t xml:space="preserve">to end </w:t>
      </w:r>
      <w:r w:rsidR="004C45B2">
        <w:rPr>
          <w:rFonts w:ascii="Arial" w:hAnsi="Arial" w:cs="Arial"/>
          <w:iCs/>
          <w:sz w:val="20"/>
          <w:szCs w:val="20"/>
        </w:rPr>
        <w:t>the quarter at</w:t>
      </w:r>
      <w:r w:rsidR="00C10389">
        <w:rPr>
          <w:rFonts w:ascii="Arial" w:hAnsi="Arial" w:cs="Arial"/>
          <w:iCs/>
          <w:sz w:val="20"/>
          <w:szCs w:val="20"/>
        </w:rPr>
        <w:t xml:space="preserve"> </w:t>
      </w:r>
      <w:r w:rsidR="004C45B2">
        <w:rPr>
          <w:rFonts w:ascii="Arial" w:hAnsi="Arial" w:cs="Arial"/>
          <w:iCs/>
          <w:sz w:val="20"/>
          <w:szCs w:val="20"/>
        </w:rPr>
        <w:t>-</w:t>
      </w:r>
      <w:r w:rsidR="00C10389">
        <w:rPr>
          <w:rFonts w:ascii="Arial" w:hAnsi="Arial" w:cs="Arial"/>
          <w:iCs/>
          <w:sz w:val="20"/>
          <w:szCs w:val="20"/>
        </w:rPr>
        <w:t>4.6%.</w:t>
      </w:r>
      <w:r w:rsidR="007A6091">
        <w:rPr>
          <w:rFonts w:ascii="Arial" w:hAnsi="Arial" w:cs="Arial"/>
          <w:iCs/>
          <w:sz w:val="20"/>
          <w:szCs w:val="20"/>
        </w:rPr>
        <w:t xml:space="preserve">  </w:t>
      </w:r>
    </w:p>
    <w:p w14:paraId="2CD014D7" w14:textId="5880A1D9" w:rsidR="00350C5E" w:rsidRDefault="00350C5E" w:rsidP="00350C5E">
      <w:pPr>
        <w:rPr>
          <w:rFonts w:ascii="Arial" w:hAnsi="Arial" w:cs="Arial"/>
          <w:sz w:val="20"/>
          <w:szCs w:val="20"/>
        </w:rPr>
      </w:pPr>
      <w:r>
        <w:rPr>
          <w:rFonts w:ascii="Arial" w:hAnsi="Arial" w:cs="Arial"/>
          <w:noProof/>
          <w:sz w:val="20"/>
          <w:szCs w:val="20"/>
        </w:rPr>
        <w:drawing>
          <wp:anchor distT="0" distB="0" distL="114300" distR="114300" simplePos="0" relativeHeight="251676672" behindDoc="0" locked="0" layoutInCell="1" allowOverlap="1" wp14:anchorId="3198C000" wp14:editId="1F96A174">
            <wp:simplePos x="0" y="0"/>
            <wp:positionH relativeFrom="column">
              <wp:posOffset>619125</wp:posOffset>
            </wp:positionH>
            <wp:positionV relativeFrom="paragraph">
              <wp:posOffset>17145</wp:posOffset>
            </wp:positionV>
            <wp:extent cx="6162675" cy="293370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62675" cy="2933700"/>
                    </a:xfrm>
                    <a:prstGeom prst="rect">
                      <a:avLst/>
                    </a:prstGeom>
                    <a:noFill/>
                  </pic:spPr>
                </pic:pic>
              </a:graphicData>
            </a:graphic>
            <wp14:sizeRelH relativeFrom="margin">
              <wp14:pctWidth>0</wp14:pctWidth>
            </wp14:sizeRelH>
            <wp14:sizeRelV relativeFrom="margin">
              <wp14:pctHeight>0</wp14:pctHeight>
            </wp14:sizeRelV>
          </wp:anchor>
        </w:drawing>
      </w:r>
    </w:p>
    <w:p w14:paraId="4E7A0A68" w14:textId="5945343B" w:rsidR="00350C5E" w:rsidRDefault="00350C5E" w:rsidP="00350C5E">
      <w:pPr>
        <w:rPr>
          <w:rFonts w:ascii="Arial" w:hAnsi="Arial" w:cs="Arial"/>
          <w:sz w:val="20"/>
          <w:szCs w:val="20"/>
        </w:rPr>
      </w:pPr>
    </w:p>
    <w:p w14:paraId="4EF1B0FF" w14:textId="3281C0FE" w:rsidR="00350C5E" w:rsidRDefault="00350C5E" w:rsidP="00350C5E">
      <w:pPr>
        <w:rPr>
          <w:rFonts w:ascii="Arial" w:hAnsi="Arial" w:cs="Arial"/>
          <w:sz w:val="20"/>
          <w:szCs w:val="20"/>
        </w:rPr>
      </w:pPr>
    </w:p>
    <w:p w14:paraId="36D59D60" w14:textId="3679F3B2" w:rsidR="00350C5E" w:rsidRDefault="00350C5E" w:rsidP="00350C5E">
      <w:pPr>
        <w:rPr>
          <w:rFonts w:ascii="Arial" w:hAnsi="Arial" w:cs="Arial"/>
          <w:sz w:val="20"/>
          <w:szCs w:val="20"/>
        </w:rPr>
      </w:pPr>
    </w:p>
    <w:p w14:paraId="7F86D6A4" w14:textId="240D3FEF" w:rsidR="00350C5E" w:rsidRDefault="00350C5E" w:rsidP="00350C5E">
      <w:pPr>
        <w:rPr>
          <w:rFonts w:ascii="Arial" w:hAnsi="Arial" w:cs="Arial"/>
          <w:sz w:val="20"/>
          <w:szCs w:val="20"/>
        </w:rPr>
      </w:pPr>
    </w:p>
    <w:p w14:paraId="2B5A7EE7" w14:textId="1F0317FA" w:rsidR="00350C5E" w:rsidRDefault="00350C5E" w:rsidP="00350C5E">
      <w:pPr>
        <w:rPr>
          <w:rFonts w:ascii="Arial" w:hAnsi="Arial" w:cs="Arial"/>
          <w:sz w:val="20"/>
          <w:szCs w:val="20"/>
        </w:rPr>
      </w:pPr>
    </w:p>
    <w:p w14:paraId="54BBA0CB" w14:textId="26053080" w:rsidR="00350C5E" w:rsidRDefault="00350C5E" w:rsidP="00350C5E">
      <w:pPr>
        <w:rPr>
          <w:rFonts w:ascii="Arial" w:hAnsi="Arial" w:cs="Arial"/>
          <w:sz w:val="20"/>
          <w:szCs w:val="20"/>
        </w:rPr>
      </w:pPr>
    </w:p>
    <w:p w14:paraId="3022762B" w14:textId="18ED776C" w:rsidR="00350C5E" w:rsidRDefault="00350C5E" w:rsidP="00350C5E">
      <w:pPr>
        <w:rPr>
          <w:rFonts w:ascii="Arial" w:hAnsi="Arial" w:cs="Arial"/>
          <w:sz w:val="20"/>
          <w:szCs w:val="20"/>
        </w:rPr>
      </w:pPr>
    </w:p>
    <w:p w14:paraId="690B2906" w14:textId="746670A2" w:rsidR="00350C5E" w:rsidRDefault="00350C5E" w:rsidP="00350C5E">
      <w:pPr>
        <w:rPr>
          <w:rFonts w:ascii="Arial" w:hAnsi="Arial" w:cs="Arial"/>
          <w:sz w:val="20"/>
          <w:szCs w:val="20"/>
        </w:rPr>
      </w:pPr>
    </w:p>
    <w:p w14:paraId="65FAD300" w14:textId="18FBE9CB" w:rsidR="00350C5E" w:rsidRPr="00350C5E" w:rsidRDefault="00350C5E" w:rsidP="00350C5E">
      <w:pPr>
        <w:rPr>
          <w:rFonts w:ascii="Arial" w:hAnsi="Arial" w:cs="Arial"/>
          <w:sz w:val="20"/>
          <w:szCs w:val="20"/>
        </w:rPr>
      </w:pPr>
      <w:r>
        <w:rPr>
          <w:noProof/>
        </w:rPr>
        <mc:AlternateContent>
          <mc:Choice Requires="wps">
            <w:drawing>
              <wp:anchor distT="0" distB="0" distL="114300" distR="114300" simplePos="0" relativeHeight="251678720" behindDoc="0" locked="0" layoutInCell="1" allowOverlap="1" wp14:anchorId="05C36BC3" wp14:editId="59F6FC71">
                <wp:simplePos x="0" y="0"/>
                <wp:positionH relativeFrom="column">
                  <wp:posOffset>714375</wp:posOffset>
                </wp:positionH>
                <wp:positionV relativeFrom="paragraph">
                  <wp:posOffset>239395</wp:posOffset>
                </wp:positionV>
                <wp:extent cx="4705350" cy="342900"/>
                <wp:effectExtent l="0" t="0" r="0" b="0"/>
                <wp:wrapNone/>
                <wp:docPr id="52" name="TextBox 51">
                  <a:extLst xmlns:a="http://schemas.openxmlformats.org/drawingml/2006/main">
                    <a:ext uri="{FF2B5EF4-FFF2-40B4-BE49-F238E27FC236}">
                      <a16:creationId xmlns:a16="http://schemas.microsoft.com/office/drawing/2014/main" id="{8C22F71A-FED8-4282-8CA0-A68764DC3160}"/>
                    </a:ext>
                  </a:extLst>
                </wp:docPr>
                <wp:cNvGraphicFramePr/>
                <a:graphic xmlns:a="http://schemas.openxmlformats.org/drawingml/2006/main">
                  <a:graphicData uri="http://schemas.microsoft.com/office/word/2010/wordprocessingShape">
                    <wps:wsp>
                      <wps:cNvSpPr txBox="1"/>
                      <wps:spPr>
                        <a:xfrm>
                          <a:off x="0" y="0"/>
                          <a:ext cx="4705350" cy="342900"/>
                        </a:xfrm>
                        <a:prstGeom prst="rect">
                          <a:avLst/>
                        </a:prstGeom>
                        <a:noFill/>
                      </wps:spPr>
                      <wps:txbx>
                        <w:txbxContent>
                          <w:p w14:paraId="58B759A7" w14:textId="77777777" w:rsidR="00350C5E" w:rsidRPr="00350C5E" w:rsidRDefault="00350C5E" w:rsidP="00350C5E">
                            <w:pPr>
                              <w:rPr>
                                <w:sz w:val="16"/>
                                <w:szCs w:val="16"/>
                              </w:rPr>
                            </w:pPr>
                            <w:r w:rsidRPr="00350C5E">
                              <w:rPr>
                                <w:rFonts w:ascii="Arial" w:eastAsia="+mn-ea" w:hAnsi="Arial" w:cs="+mn-cs"/>
                                <w:color w:val="000000"/>
                                <w:kern w:val="24"/>
                                <w:sz w:val="16"/>
                                <w:szCs w:val="16"/>
                              </w:rPr>
                              <w:t xml:space="preserve">Source: Zephyr </w:t>
                            </w:r>
                            <w:proofErr w:type="spellStart"/>
                            <w:r w:rsidRPr="00350C5E">
                              <w:rPr>
                                <w:rFonts w:ascii="Arial" w:eastAsia="+mn-ea" w:hAnsi="Arial" w:cs="+mn-cs"/>
                                <w:color w:val="000000"/>
                                <w:kern w:val="24"/>
                                <w:sz w:val="16"/>
                                <w:szCs w:val="16"/>
                              </w:rPr>
                              <w:t>StyleADVISOR</w:t>
                            </w:r>
                            <w:proofErr w:type="spellEnd"/>
                            <w:r w:rsidRPr="00350C5E">
                              <w:rPr>
                                <w:rFonts w:ascii="Arial" w:eastAsia="+mn-ea" w:hAnsi="Arial" w:cs="+mn-cs"/>
                                <w:color w:val="000000"/>
                                <w:kern w:val="24"/>
                                <w:sz w:val="16"/>
                                <w:szCs w:val="16"/>
                              </w:rPr>
                              <w:t>, Standard &amp; Poor’s, FactSet, CNBC, CNN, CBS, MarketWatch, Forbes</w:t>
                            </w:r>
                          </w:p>
                        </w:txbxContent>
                      </wps:txbx>
                      <wps:bodyPr wrap="square" lIns="0" rtlCol="0">
                        <a:noAutofit/>
                      </wps:bodyPr>
                    </wps:wsp>
                  </a:graphicData>
                </a:graphic>
                <wp14:sizeRelH relativeFrom="margin">
                  <wp14:pctWidth>0</wp14:pctWidth>
                </wp14:sizeRelH>
                <wp14:sizeRelV relativeFrom="margin">
                  <wp14:pctHeight>0</wp14:pctHeight>
                </wp14:sizeRelV>
              </wp:anchor>
            </w:drawing>
          </mc:Choice>
          <mc:Fallback>
            <w:pict>
              <v:shapetype w14:anchorId="05C36BC3" id="_x0000_t202" coordsize="21600,21600" o:spt="202" path="m,l,21600r21600,l21600,xe">
                <v:stroke joinstyle="miter"/>
                <v:path gradientshapeok="t" o:connecttype="rect"/>
              </v:shapetype>
              <v:shape id="TextBox 51" o:spid="_x0000_s1026" type="#_x0000_t202" style="position:absolute;margin-left:56.25pt;margin-top:18.85pt;width:370.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3ZnQEAABgDAAAOAAAAZHJzL2Uyb0RvYy54bWysUttOGzEQfa/EP1h+b3YTSFtW2aACAiEh&#10;QIJ+gOO1s5Zsj/E42c3fd+xcqNo31JexPTM+c+bMLK5GZ9lWRTTgWz6d1JwpL6Ezft3yX293X39w&#10;hkn4TljwquU7hfxqefZlMYRGzaAH26nICMRjM4SW9ymFpqpQ9soJnEBQnoIaohOJnnFddVEMhO5s&#10;Navrb9UAsQsRpEIk7+0+yJcFX2sl07PWqBKzLSduqdhY7CrbarkQzTqK0Bt5oCE+wcIJ46noCepW&#10;JME20fwD5YyMgKDTRIKrQGsjVemBupnWf3Xz2ougSi8kDoaTTPj/YOXT9iUy07V8PuPMC0czelNj&#10;uoaRzadZniFgQ1mvgfLSSH4a89GP5Mxdjzq6fFI/jOIk9O4kLoExSc6L7/X8fE4hSbHzi9llXdSv&#10;Pn6HiOlegWP50vJIwyuaiu0jJmJCqceUXMzDnbE2+zPFPZV8S+NqPPBeQbcj2gPNt+X4vhFRcWYf&#10;PAlIRGKyN1D2Yg/3c5NAm1Ip4+w/H+BJ/kLgsCp5vn++S9bHQi9/AwAA//8DAFBLAwQUAAYACAAA&#10;ACEAQ7pcwd8AAAAJAQAADwAAAGRycy9kb3ducmV2LnhtbEyPwU7DMAyG70i8Q2QkbiztqtGtNJ0Q&#10;0g4MMcG2B3DbrKnWOKXJ1vL2mBMcf/vT78/5erKduOrBt44UxLMIhKbK1S01Co6HzcMShA9INXaO&#10;tIJv7WFd3N7kmNVupE993YdGcAn5DBWYEPpMSl8ZbdHPXK+Jdyc3WAwch0bWA45cbjs5j6JHabEl&#10;vmCw1y9GV+f9xSp43+zeXlfT9lBiux3d10dyNCMpdX83PT+BCHoKfzD86rM6FOxUugvVXnSc4/mC&#10;UQVJmoJgYLlIeFAqWMUpyCKX/z8ofgAAAP//AwBQSwECLQAUAAYACAAAACEAtoM4kv4AAADhAQAA&#10;EwAAAAAAAAAAAAAAAAAAAAAAW0NvbnRlbnRfVHlwZXNdLnhtbFBLAQItABQABgAIAAAAIQA4/SH/&#10;1gAAAJQBAAALAAAAAAAAAAAAAAAAAC8BAABfcmVscy8ucmVsc1BLAQItABQABgAIAAAAIQCVHX3Z&#10;nQEAABgDAAAOAAAAAAAAAAAAAAAAAC4CAABkcnMvZTJvRG9jLnhtbFBLAQItABQABgAIAAAAIQBD&#10;ulzB3wAAAAkBAAAPAAAAAAAAAAAAAAAAAPcDAABkcnMvZG93bnJldi54bWxQSwUGAAAAAAQABADz&#10;AAAAAwUAAAAA&#10;" filled="f" stroked="f">
                <v:textbox inset="0">
                  <w:txbxContent>
                    <w:p w14:paraId="58B759A7" w14:textId="77777777" w:rsidR="00350C5E" w:rsidRPr="00350C5E" w:rsidRDefault="00350C5E" w:rsidP="00350C5E">
                      <w:pPr>
                        <w:rPr>
                          <w:sz w:val="16"/>
                          <w:szCs w:val="16"/>
                        </w:rPr>
                      </w:pPr>
                      <w:r w:rsidRPr="00350C5E">
                        <w:rPr>
                          <w:rFonts w:ascii="Arial" w:eastAsia="+mn-ea" w:hAnsi="Arial" w:cs="+mn-cs"/>
                          <w:color w:val="000000"/>
                          <w:kern w:val="24"/>
                          <w:sz w:val="16"/>
                          <w:szCs w:val="16"/>
                        </w:rPr>
                        <w:t>Source: Zephyr StyleADVISOR, Standard &amp; Poor’s, FactSet, CNBC, CNN, CBS, MarketWatch, Forbes</w:t>
                      </w:r>
                    </w:p>
                  </w:txbxContent>
                </v:textbox>
              </v:shape>
            </w:pict>
          </mc:Fallback>
        </mc:AlternateContent>
      </w:r>
    </w:p>
    <w:p w14:paraId="53E2FE62" w14:textId="2B897D81" w:rsidR="00CA2A62" w:rsidRPr="00042F07" w:rsidRDefault="00CA2A62" w:rsidP="002F0D59">
      <w:pPr>
        <w:pStyle w:val="ListParagraph"/>
        <w:numPr>
          <w:ilvl w:val="0"/>
          <w:numId w:val="3"/>
        </w:numPr>
        <w:rPr>
          <w:rFonts w:ascii="Arial" w:hAnsi="Arial" w:cs="Arial"/>
          <w:iCs/>
          <w:sz w:val="20"/>
          <w:szCs w:val="20"/>
        </w:rPr>
      </w:pPr>
      <w:bookmarkStart w:id="1" w:name="_Hlk84243051"/>
      <w:r w:rsidRPr="00DC2650">
        <w:rPr>
          <w:rFonts w:ascii="Arial" w:hAnsi="Arial" w:cs="Arial"/>
          <w:b/>
          <w:bCs/>
          <w:iCs/>
          <w:sz w:val="20"/>
          <w:szCs w:val="20"/>
        </w:rPr>
        <w:lastRenderedPageBreak/>
        <w:t>Within</w:t>
      </w:r>
      <w:r w:rsidR="00085ABF" w:rsidRPr="00DC2650">
        <w:rPr>
          <w:rFonts w:ascii="Arial" w:hAnsi="Arial" w:cs="Arial"/>
          <w:b/>
          <w:bCs/>
          <w:iCs/>
          <w:sz w:val="20"/>
          <w:szCs w:val="20"/>
        </w:rPr>
        <w:t xml:space="preserve"> </w:t>
      </w:r>
      <w:r w:rsidRPr="00DC2650">
        <w:rPr>
          <w:rFonts w:ascii="Arial" w:hAnsi="Arial" w:cs="Arial"/>
          <w:b/>
          <w:bCs/>
          <w:iCs/>
          <w:sz w:val="20"/>
          <w:szCs w:val="20"/>
        </w:rPr>
        <w:t xml:space="preserve">US </w:t>
      </w:r>
      <w:r w:rsidR="008D7EC8">
        <w:rPr>
          <w:rFonts w:ascii="Arial" w:hAnsi="Arial" w:cs="Arial"/>
          <w:b/>
          <w:bCs/>
          <w:iCs/>
          <w:sz w:val="20"/>
          <w:szCs w:val="20"/>
        </w:rPr>
        <w:t>equities</w:t>
      </w:r>
      <w:r w:rsidR="00085ABF" w:rsidRPr="00DC2650">
        <w:rPr>
          <w:rFonts w:ascii="Arial" w:hAnsi="Arial" w:cs="Arial"/>
          <w:b/>
          <w:bCs/>
          <w:iCs/>
          <w:sz w:val="20"/>
          <w:szCs w:val="20"/>
        </w:rPr>
        <w:t>,</w:t>
      </w:r>
      <w:r w:rsidRPr="00DC2650">
        <w:rPr>
          <w:rFonts w:ascii="Arial" w:hAnsi="Arial" w:cs="Arial"/>
          <w:b/>
          <w:bCs/>
          <w:iCs/>
          <w:sz w:val="20"/>
          <w:szCs w:val="20"/>
        </w:rPr>
        <w:t xml:space="preserve"> </w:t>
      </w:r>
      <w:r w:rsidR="009A3768">
        <w:rPr>
          <w:rFonts w:ascii="Arial" w:hAnsi="Arial" w:cs="Arial"/>
          <w:b/>
          <w:bCs/>
          <w:iCs/>
          <w:sz w:val="20"/>
          <w:szCs w:val="20"/>
        </w:rPr>
        <w:t xml:space="preserve">nine out of </w:t>
      </w:r>
      <w:r w:rsidR="006C72D3">
        <w:rPr>
          <w:rFonts w:ascii="Arial" w:hAnsi="Arial" w:cs="Arial"/>
          <w:b/>
          <w:bCs/>
          <w:iCs/>
          <w:sz w:val="20"/>
          <w:szCs w:val="20"/>
        </w:rPr>
        <w:t xml:space="preserve">11 </w:t>
      </w:r>
      <w:r w:rsidR="009A3768">
        <w:rPr>
          <w:rFonts w:ascii="Arial" w:hAnsi="Arial" w:cs="Arial"/>
          <w:b/>
          <w:bCs/>
          <w:iCs/>
          <w:sz w:val="20"/>
          <w:szCs w:val="20"/>
        </w:rPr>
        <w:t xml:space="preserve">sectors suffered losses in </w:t>
      </w:r>
      <w:r w:rsidR="008D79E6">
        <w:rPr>
          <w:rFonts w:ascii="Arial" w:hAnsi="Arial" w:cs="Arial"/>
          <w:b/>
          <w:bCs/>
          <w:iCs/>
          <w:sz w:val="20"/>
          <w:szCs w:val="20"/>
        </w:rPr>
        <w:t>1</w:t>
      </w:r>
      <w:r w:rsidR="009A3768">
        <w:rPr>
          <w:rFonts w:ascii="Arial" w:hAnsi="Arial" w:cs="Arial"/>
          <w:b/>
          <w:bCs/>
          <w:iCs/>
          <w:sz w:val="20"/>
          <w:szCs w:val="20"/>
        </w:rPr>
        <w:t>Q22</w:t>
      </w:r>
      <w:r w:rsidRPr="00DC2650">
        <w:rPr>
          <w:rFonts w:ascii="Arial" w:hAnsi="Arial" w:cs="Arial"/>
          <w:b/>
          <w:bCs/>
          <w:iCs/>
          <w:sz w:val="20"/>
          <w:szCs w:val="20"/>
        </w:rPr>
        <w:t>.</w:t>
      </w:r>
      <w:bookmarkEnd w:id="1"/>
      <w:r w:rsidR="009A3768">
        <w:rPr>
          <w:rFonts w:ascii="Arial" w:hAnsi="Arial" w:cs="Arial"/>
          <w:b/>
          <w:bCs/>
          <w:iCs/>
          <w:sz w:val="20"/>
          <w:szCs w:val="20"/>
        </w:rPr>
        <w:t xml:space="preserve"> </w:t>
      </w:r>
      <w:r w:rsidR="009A3768" w:rsidRPr="006E6DB4">
        <w:rPr>
          <w:rFonts w:ascii="Arial" w:hAnsi="Arial" w:cs="Arial"/>
          <w:iCs/>
          <w:sz w:val="20"/>
          <w:szCs w:val="20"/>
        </w:rPr>
        <w:t>Two sectors with positive returns included Energy and Utilities. E</w:t>
      </w:r>
      <w:r w:rsidR="008D7EC8" w:rsidRPr="006E6DB4">
        <w:rPr>
          <w:rFonts w:ascii="Arial" w:hAnsi="Arial" w:cs="Arial"/>
          <w:sz w:val="20"/>
          <w:szCs w:val="20"/>
        </w:rPr>
        <w:t>nergy sector</w:t>
      </w:r>
      <w:r w:rsidR="009A3768">
        <w:rPr>
          <w:rFonts w:ascii="Arial" w:hAnsi="Arial" w:cs="Arial"/>
          <w:sz w:val="20"/>
          <w:szCs w:val="20"/>
        </w:rPr>
        <w:t xml:space="preserve"> gained 39% on surging oil prices. </w:t>
      </w:r>
      <w:r w:rsidR="00C7470C">
        <w:rPr>
          <w:rFonts w:ascii="Arial" w:hAnsi="Arial" w:cs="Arial"/>
          <w:sz w:val="20"/>
          <w:szCs w:val="20"/>
        </w:rPr>
        <w:t>Utilities</w:t>
      </w:r>
      <w:r w:rsidR="008D79E6">
        <w:rPr>
          <w:rFonts w:ascii="Arial" w:hAnsi="Arial" w:cs="Arial"/>
          <w:sz w:val="20"/>
          <w:szCs w:val="20"/>
        </w:rPr>
        <w:t>,</w:t>
      </w:r>
      <w:r w:rsidR="00C7470C">
        <w:rPr>
          <w:rFonts w:ascii="Arial" w:hAnsi="Arial" w:cs="Arial"/>
          <w:sz w:val="20"/>
          <w:szCs w:val="20"/>
        </w:rPr>
        <w:t xml:space="preserve"> often considered a defensive</w:t>
      </w:r>
      <w:r w:rsidR="007B5507">
        <w:rPr>
          <w:rFonts w:ascii="Arial" w:hAnsi="Arial" w:cs="Arial"/>
          <w:sz w:val="20"/>
          <w:szCs w:val="20"/>
        </w:rPr>
        <w:t xml:space="preserve"> sector</w:t>
      </w:r>
      <w:r w:rsidR="00C7470C">
        <w:rPr>
          <w:rFonts w:ascii="Arial" w:hAnsi="Arial" w:cs="Arial"/>
          <w:sz w:val="20"/>
          <w:szCs w:val="20"/>
        </w:rPr>
        <w:t>, also gained 4.8%</w:t>
      </w:r>
      <w:r w:rsidR="002F0D59">
        <w:rPr>
          <w:rFonts w:ascii="Arial" w:hAnsi="Arial" w:cs="Arial"/>
          <w:sz w:val="20"/>
          <w:szCs w:val="20"/>
        </w:rPr>
        <w:t>.</w:t>
      </w:r>
      <w:r w:rsidR="00C7470C">
        <w:rPr>
          <w:rFonts w:ascii="Arial" w:hAnsi="Arial" w:cs="Arial"/>
          <w:sz w:val="20"/>
          <w:szCs w:val="20"/>
        </w:rPr>
        <w:t xml:space="preserve"> </w:t>
      </w:r>
      <w:r w:rsidR="007B5507">
        <w:rPr>
          <w:rFonts w:ascii="Arial" w:hAnsi="Arial" w:cs="Arial"/>
          <w:sz w:val="20"/>
          <w:szCs w:val="20"/>
        </w:rPr>
        <w:t xml:space="preserve">Technology related </w:t>
      </w:r>
      <w:r w:rsidR="00585578">
        <w:rPr>
          <w:rFonts w:ascii="Arial" w:hAnsi="Arial" w:cs="Arial"/>
          <w:sz w:val="20"/>
          <w:szCs w:val="20"/>
        </w:rPr>
        <w:t>s</w:t>
      </w:r>
      <w:r w:rsidR="007B5507">
        <w:rPr>
          <w:rFonts w:ascii="Arial" w:hAnsi="Arial" w:cs="Arial"/>
          <w:sz w:val="20"/>
          <w:szCs w:val="20"/>
        </w:rPr>
        <w:t>ectors like Communication Services (-11.9%)</w:t>
      </w:r>
      <w:r w:rsidR="00585578">
        <w:rPr>
          <w:rFonts w:ascii="Arial" w:hAnsi="Arial" w:cs="Arial"/>
          <w:sz w:val="20"/>
          <w:szCs w:val="20"/>
        </w:rPr>
        <w:t xml:space="preserve"> and Consumer Discretionary</w:t>
      </w:r>
      <w:r w:rsidR="00E35710">
        <w:rPr>
          <w:rFonts w:ascii="Arial" w:hAnsi="Arial" w:cs="Arial"/>
          <w:sz w:val="20"/>
          <w:szCs w:val="20"/>
        </w:rPr>
        <w:t xml:space="preserve">     </w:t>
      </w:r>
      <w:proofErr w:type="gramStart"/>
      <w:r w:rsidR="00E35710">
        <w:rPr>
          <w:rFonts w:ascii="Arial" w:hAnsi="Arial" w:cs="Arial"/>
          <w:sz w:val="20"/>
          <w:szCs w:val="20"/>
        </w:rPr>
        <w:t xml:space="preserve">   </w:t>
      </w:r>
      <w:r w:rsidR="00585578">
        <w:rPr>
          <w:rFonts w:ascii="Arial" w:hAnsi="Arial" w:cs="Arial"/>
          <w:sz w:val="20"/>
          <w:szCs w:val="20"/>
        </w:rPr>
        <w:t>(</w:t>
      </w:r>
      <w:proofErr w:type="gramEnd"/>
      <w:r w:rsidR="00585578">
        <w:rPr>
          <w:rFonts w:ascii="Arial" w:hAnsi="Arial" w:cs="Arial"/>
          <w:sz w:val="20"/>
          <w:szCs w:val="20"/>
        </w:rPr>
        <w:t>-9.0%)</w:t>
      </w:r>
      <w:r w:rsidR="007B5507">
        <w:rPr>
          <w:rFonts w:ascii="Arial" w:hAnsi="Arial" w:cs="Arial"/>
          <w:sz w:val="20"/>
          <w:szCs w:val="20"/>
        </w:rPr>
        <w:t xml:space="preserve"> were the worst performers amid fears of rising rates and a slowing economy.</w:t>
      </w:r>
    </w:p>
    <w:p w14:paraId="72166649" w14:textId="77777777" w:rsidR="00DC2650" w:rsidRPr="00DC2650" w:rsidRDefault="00DC2650" w:rsidP="00DC2650">
      <w:pPr>
        <w:pStyle w:val="ListParagraph"/>
        <w:ind w:left="1440"/>
        <w:rPr>
          <w:rFonts w:ascii="Arial" w:hAnsi="Arial" w:cs="Arial"/>
          <w:iCs/>
          <w:sz w:val="20"/>
          <w:szCs w:val="20"/>
        </w:rPr>
      </w:pPr>
    </w:p>
    <w:p w14:paraId="3822CA92" w14:textId="261C5ED5" w:rsidR="002E5339" w:rsidRPr="00AE3FA3" w:rsidRDefault="00E70BFB" w:rsidP="00564559">
      <w:pPr>
        <w:pStyle w:val="ListParagraph"/>
        <w:numPr>
          <w:ilvl w:val="0"/>
          <w:numId w:val="3"/>
        </w:numPr>
        <w:rPr>
          <w:rFonts w:ascii="Arial" w:hAnsi="Arial" w:cs="Arial"/>
          <w:iCs/>
          <w:sz w:val="20"/>
          <w:szCs w:val="20"/>
        </w:rPr>
      </w:pPr>
      <w:bookmarkStart w:id="2" w:name="_Hlk84243081"/>
      <w:r>
        <w:rPr>
          <w:rFonts w:ascii="Arial" w:hAnsi="Arial" w:cs="Arial"/>
          <w:b/>
          <w:bCs/>
          <w:iCs/>
          <w:sz w:val="20"/>
          <w:szCs w:val="20"/>
        </w:rPr>
        <w:t xml:space="preserve">Elevated valuations and rising interest rates </w:t>
      </w:r>
      <w:r w:rsidR="00BA0BB5">
        <w:rPr>
          <w:rFonts w:ascii="Arial" w:hAnsi="Arial" w:cs="Arial"/>
          <w:b/>
          <w:bCs/>
          <w:iCs/>
          <w:sz w:val="20"/>
          <w:szCs w:val="20"/>
        </w:rPr>
        <w:t>hurt</w:t>
      </w:r>
      <w:r>
        <w:rPr>
          <w:rFonts w:ascii="Arial" w:hAnsi="Arial" w:cs="Arial"/>
          <w:b/>
          <w:bCs/>
          <w:iCs/>
          <w:sz w:val="20"/>
          <w:szCs w:val="20"/>
        </w:rPr>
        <w:t xml:space="preserve"> long-duration growth </w:t>
      </w:r>
      <w:r w:rsidR="005817B5">
        <w:rPr>
          <w:rFonts w:ascii="Arial" w:hAnsi="Arial" w:cs="Arial"/>
          <w:b/>
          <w:bCs/>
          <w:iCs/>
          <w:sz w:val="20"/>
          <w:szCs w:val="20"/>
        </w:rPr>
        <w:t>stocks</w:t>
      </w:r>
      <w:r>
        <w:rPr>
          <w:rFonts w:ascii="Arial" w:hAnsi="Arial" w:cs="Arial"/>
          <w:b/>
          <w:bCs/>
          <w:iCs/>
          <w:sz w:val="20"/>
          <w:szCs w:val="20"/>
        </w:rPr>
        <w:t xml:space="preserve">. </w:t>
      </w:r>
      <w:r w:rsidR="00AE3FA3" w:rsidRPr="00AE3FA3">
        <w:rPr>
          <w:rFonts w:ascii="Arial" w:hAnsi="Arial" w:cs="Arial"/>
          <w:iCs/>
          <w:sz w:val="20"/>
          <w:szCs w:val="20"/>
        </w:rPr>
        <w:t xml:space="preserve">The gap between value and growth stocks across size and style was stark and was significantly in favor of </w:t>
      </w:r>
      <w:r w:rsidR="00BA0BB5">
        <w:rPr>
          <w:rFonts w:ascii="Arial" w:hAnsi="Arial" w:cs="Arial"/>
          <w:iCs/>
          <w:sz w:val="20"/>
          <w:szCs w:val="20"/>
        </w:rPr>
        <w:t xml:space="preserve">larger and </w:t>
      </w:r>
      <w:r w:rsidR="005817B5" w:rsidRPr="00AE3FA3">
        <w:rPr>
          <w:rFonts w:ascii="Arial" w:hAnsi="Arial" w:cs="Arial"/>
          <w:iCs/>
          <w:sz w:val="20"/>
          <w:szCs w:val="20"/>
        </w:rPr>
        <w:t>value</w:t>
      </w:r>
      <w:r w:rsidR="005817B5">
        <w:rPr>
          <w:rFonts w:ascii="Arial" w:hAnsi="Arial" w:cs="Arial"/>
          <w:iCs/>
          <w:sz w:val="20"/>
          <w:szCs w:val="20"/>
        </w:rPr>
        <w:t>-oriented</w:t>
      </w:r>
      <w:r w:rsidR="00BA0BB5">
        <w:rPr>
          <w:rFonts w:ascii="Arial" w:hAnsi="Arial" w:cs="Arial"/>
          <w:iCs/>
          <w:sz w:val="20"/>
          <w:szCs w:val="20"/>
        </w:rPr>
        <w:t xml:space="preserve"> s</w:t>
      </w:r>
      <w:r w:rsidR="005817B5">
        <w:rPr>
          <w:rFonts w:ascii="Arial" w:hAnsi="Arial" w:cs="Arial"/>
          <w:iCs/>
          <w:sz w:val="20"/>
          <w:szCs w:val="20"/>
        </w:rPr>
        <w:t>egments</w:t>
      </w:r>
      <w:r w:rsidR="00AE3FA3" w:rsidRPr="00AE3FA3">
        <w:rPr>
          <w:rFonts w:ascii="Arial" w:hAnsi="Arial" w:cs="Arial"/>
          <w:iCs/>
          <w:sz w:val="20"/>
          <w:szCs w:val="20"/>
        </w:rPr>
        <w:t xml:space="preserve">. Large cap value stocks outperformed large </w:t>
      </w:r>
      <w:r w:rsidR="00AE3FA3">
        <w:rPr>
          <w:rFonts w:ascii="Arial" w:hAnsi="Arial" w:cs="Arial"/>
          <w:iCs/>
          <w:sz w:val="20"/>
          <w:szCs w:val="20"/>
        </w:rPr>
        <w:t xml:space="preserve">cap </w:t>
      </w:r>
      <w:r w:rsidR="00AE3FA3" w:rsidRPr="00AE3FA3">
        <w:rPr>
          <w:rFonts w:ascii="Arial" w:hAnsi="Arial" w:cs="Arial"/>
          <w:iCs/>
          <w:sz w:val="20"/>
          <w:szCs w:val="20"/>
        </w:rPr>
        <w:t xml:space="preserve">growth by 8.3%.  </w:t>
      </w:r>
      <w:r w:rsidR="00AE3FA3">
        <w:rPr>
          <w:rFonts w:ascii="Arial" w:hAnsi="Arial" w:cs="Arial"/>
          <w:iCs/>
          <w:sz w:val="20"/>
          <w:szCs w:val="20"/>
        </w:rPr>
        <w:t xml:space="preserve"> </w:t>
      </w:r>
      <w:bookmarkEnd w:id="2"/>
    </w:p>
    <w:p w14:paraId="5A40AC3A" w14:textId="77777777" w:rsidR="009A3768" w:rsidRPr="009A3768" w:rsidRDefault="009A3768" w:rsidP="009A3768">
      <w:pPr>
        <w:pStyle w:val="ListParagraph"/>
        <w:rPr>
          <w:rFonts w:ascii="Arial" w:hAnsi="Arial" w:cs="Arial"/>
          <w:b/>
          <w:bCs/>
          <w:iCs/>
          <w:sz w:val="20"/>
          <w:szCs w:val="20"/>
        </w:rPr>
      </w:pPr>
    </w:p>
    <w:p w14:paraId="711BD807" w14:textId="6C4DD624" w:rsidR="00B55385" w:rsidRPr="004C4F52" w:rsidRDefault="004C4F52" w:rsidP="004C4F52">
      <w:pPr>
        <w:pStyle w:val="ListParagraph"/>
        <w:numPr>
          <w:ilvl w:val="0"/>
          <w:numId w:val="3"/>
        </w:numPr>
        <w:rPr>
          <w:rFonts w:ascii="Arial" w:hAnsi="Arial" w:cs="Arial"/>
          <w:iCs/>
          <w:sz w:val="20"/>
          <w:szCs w:val="20"/>
        </w:rPr>
      </w:pPr>
      <w:r w:rsidRPr="004C4F52">
        <w:rPr>
          <w:rFonts w:ascii="Arial" w:hAnsi="Arial" w:cs="Arial"/>
          <w:b/>
          <w:bCs/>
          <w:iCs/>
          <w:sz w:val="20"/>
          <w:szCs w:val="20"/>
        </w:rPr>
        <w:t xml:space="preserve">Within international equity markets, both developed and emerging markets </w:t>
      </w:r>
      <w:r w:rsidR="009D5C86">
        <w:rPr>
          <w:rFonts w:ascii="Arial" w:hAnsi="Arial" w:cs="Arial"/>
          <w:b/>
          <w:bCs/>
          <w:iCs/>
          <w:sz w:val="20"/>
          <w:szCs w:val="20"/>
        </w:rPr>
        <w:t>fell</w:t>
      </w:r>
      <w:r w:rsidR="008D79E6">
        <w:rPr>
          <w:rFonts w:ascii="Arial" w:hAnsi="Arial" w:cs="Arial"/>
          <w:b/>
          <w:bCs/>
          <w:iCs/>
          <w:sz w:val="20"/>
          <w:szCs w:val="20"/>
        </w:rPr>
        <w:t xml:space="preserve"> </w:t>
      </w:r>
      <w:r w:rsidRPr="004C4F52">
        <w:rPr>
          <w:rFonts w:ascii="Arial" w:hAnsi="Arial" w:cs="Arial"/>
          <w:b/>
          <w:bCs/>
          <w:iCs/>
          <w:sz w:val="20"/>
          <w:szCs w:val="20"/>
        </w:rPr>
        <w:t>5.8% and 6.9%</w:t>
      </w:r>
      <w:r w:rsidR="009D5C86">
        <w:rPr>
          <w:rFonts w:ascii="Arial" w:hAnsi="Arial" w:cs="Arial"/>
          <w:b/>
          <w:bCs/>
          <w:iCs/>
          <w:sz w:val="20"/>
          <w:szCs w:val="20"/>
        </w:rPr>
        <w:t xml:space="preserve"> </w:t>
      </w:r>
      <w:r w:rsidRPr="004C4F52">
        <w:rPr>
          <w:rFonts w:ascii="Arial" w:hAnsi="Arial" w:cs="Arial"/>
          <w:b/>
          <w:bCs/>
          <w:iCs/>
          <w:sz w:val="20"/>
          <w:szCs w:val="20"/>
        </w:rPr>
        <w:t>respectively in 1Q22.</w:t>
      </w:r>
      <w:r w:rsidRPr="004C4F52">
        <w:rPr>
          <w:rFonts w:ascii="Arial" w:hAnsi="Arial" w:cs="Arial"/>
          <w:iCs/>
          <w:sz w:val="20"/>
          <w:szCs w:val="20"/>
        </w:rPr>
        <w:t xml:space="preserve"> The conflict in Ukraine weighed heavily on European markets, given </w:t>
      </w:r>
      <w:r w:rsidR="009D5C86">
        <w:rPr>
          <w:rFonts w:ascii="Arial" w:hAnsi="Arial" w:cs="Arial"/>
          <w:iCs/>
          <w:sz w:val="20"/>
          <w:szCs w:val="20"/>
        </w:rPr>
        <w:t>its</w:t>
      </w:r>
      <w:r w:rsidRPr="004C4F52">
        <w:rPr>
          <w:rFonts w:ascii="Arial" w:hAnsi="Arial" w:cs="Arial"/>
          <w:iCs/>
          <w:sz w:val="20"/>
          <w:szCs w:val="20"/>
        </w:rPr>
        <w:t xml:space="preserve"> reliance on Russian energy. Additionally, emerging markets, particularly China</w:t>
      </w:r>
      <w:r w:rsidR="008D79E6">
        <w:rPr>
          <w:rFonts w:ascii="Arial" w:hAnsi="Arial" w:cs="Arial"/>
          <w:iCs/>
          <w:sz w:val="20"/>
          <w:szCs w:val="20"/>
        </w:rPr>
        <w:t>,</w:t>
      </w:r>
      <w:r w:rsidRPr="004C4F52">
        <w:rPr>
          <w:rFonts w:ascii="Arial" w:hAnsi="Arial" w:cs="Arial"/>
          <w:iCs/>
          <w:sz w:val="20"/>
          <w:szCs w:val="20"/>
        </w:rPr>
        <w:t xml:space="preserve"> </w:t>
      </w:r>
      <w:r w:rsidR="009D5C86">
        <w:rPr>
          <w:rFonts w:ascii="Arial" w:hAnsi="Arial" w:cs="Arial"/>
          <w:iCs/>
          <w:sz w:val="20"/>
          <w:szCs w:val="20"/>
        </w:rPr>
        <w:t>struggled</w:t>
      </w:r>
      <w:r w:rsidRPr="004C4F52">
        <w:rPr>
          <w:rFonts w:ascii="Arial" w:hAnsi="Arial" w:cs="Arial"/>
          <w:iCs/>
          <w:sz w:val="20"/>
          <w:szCs w:val="20"/>
        </w:rPr>
        <w:t xml:space="preserve"> as continued COVID-19 lockdowns</w:t>
      </w:r>
      <w:r w:rsidR="009D5C86">
        <w:rPr>
          <w:rFonts w:ascii="Arial" w:hAnsi="Arial" w:cs="Arial"/>
          <w:iCs/>
          <w:sz w:val="20"/>
          <w:szCs w:val="20"/>
        </w:rPr>
        <w:t xml:space="preserve"> remained highly disruptive to its economy</w:t>
      </w:r>
      <w:r w:rsidRPr="004C4F52">
        <w:rPr>
          <w:rFonts w:ascii="Arial" w:hAnsi="Arial" w:cs="Arial"/>
          <w:iCs/>
          <w:sz w:val="20"/>
          <w:szCs w:val="20"/>
        </w:rPr>
        <w:t>.</w:t>
      </w:r>
    </w:p>
    <w:p w14:paraId="0F7D1D30" w14:textId="77777777" w:rsidR="004C4F52" w:rsidRPr="004C4F52" w:rsidRDefault="004C4F52" w:rsidP="004C4F52">
      <w:pPr>
        <w:pStyle w:val="ListParagraph"/>
        <w:rPr>
          <w:rFonts w:ascii="Arial" w:hAnsi="Arial" w:cs="Arial"/>
          <w:b/>
          <w:bCs/>
          <w:iCs/>
          <w:sz w:val="20"/>
          <w:szCs w:val="20"/>
        </w:rPr>
      </w:pPr>
    </w:p>
    <w:p w14:paraId="73045D4F" w14:textId="0DDBCB41" w:rsidR="00203FA8" w:rsidRPr="002E5339" w:rsidRDefault="00DA45EF" w:rsidP="00F94060">
      <w:pPr>
        <w:pStyle w:val="ListParagraph"/>
        <w:numPr>
          <w:ilvl w:val="0"/>
          <w:numId w:val="3"/>
        </w:numPr>
        <w:rPr>
          <w:rFonts w:ascii="Arial" w:hAnsi="Arial" w:cs="Arial"/>
          <w:b/>
          <w:bCs/>
          <w:iCs/>
          <w:sz w:val="20"/>
          <w:szCs w:val="20"/>
        </w:rPr>
      </w:pPr>
      <w:bookmarkStart w:id="3" w:name="_Hlk84243097"/>
      <w:r>
        <w:rPr>
          <w:rFonts w:ascii="Arial" w:hAnsi="Arial" w:cs="Arial"/>
          <w:b/>
          <w:bCs/>
          <w:iCs/>
          <w:sz w:val="20"/>
          <w:szCs w:val="20"/>
        </w:rPr>
        <w:t>Bonds had their worst quarter in 20 years</w:t>
      </w:r>
      <w:r w:rsidR="00C87FA0">
        <w:rPr>
          <w:rStyle w:val="EndnoteReference"/>
          <w:rFonts w:ascii="Arial" w:hAnsi="Arial" w:cs="Arial"/>
          <w:b/>
          <w:bCs/>
          <w:iCs/>
          <w:sz w:val="20"/>
          <w:szCs w:val="20"/>
        </w:rPr>
        <w:endnoteReference w:id="2"/>
      </w:r>
      <w:r w:rsidR="00B61730">
        <w:rPr>
          <w:rFonts w:ascii="Arial" w:hAnsi="Arial" w:cs="Arial"/>
          <w:b/>
          <w:bCs/>
          <w:iCs/>
          <w:sz w:val="20"/>
          <w:szCs w:val="20"/>
        </w:rPr>
        <w:t xml:space="preserve">. </w:t>
      </w:r>
      <w:r w:rsidR="00203FA8" w:rsidRPr="002E5339">
        <w:rPr>
          <w:rFonts w:ascii="Arial" w:hAnsi="Arial" w:cs="Arial"/>
          <w:iCs/>
          <w:sz w:val="20"/>
          <w:szCs w:val="20"/>
        </w:rPr>
        <w:t xml:space="preserve">US bonds </w:t>
      </w:r>
      <w:r w:rsidR="00AE05E9">
        <w:rPr>
          <w:rFonts w:ascii="Arial" w:hAnsi="Arial" w:cs="Arial"/>
          <w:iCs/>
          <w:sz w:val="20"/>
          <w:szCs w:val="20"/>
        </w:rPr>
        <w:t xml:space="preserve">fell </w:t>
      </w:r>
      <w:r w:rsidR="00174AD5">
        <w:rPr>
          <w:rFonts w:ascii="Arial" w:hAnsi="Arial" w:cs="Arial"/>
          <w:iCs/>
          <w:sz w:val="20"/>
          <w:szCs w:val="20"/>
        </w:rPr>
        <w:t>5.9</w:t>
      </w:r>
      <w:r w:rsidR="00203FA8" w:rsidRPr="002E5339">
        <w:rPr>
          <w:rFonts w:ascii="Arial" w:hAnsi="Arial" w:cs="Arial"/>
          <w:iCs/>
          <w:sz w:val="20"/>
          <w:szCs w:val="20"/>
        </w:rPr>
        <w:t xml:space="preserve">% </w:t>
      </w:r>
      <w:r w:rsidR="005A6987">
        <w:rPr>
          <w:rFonts w:ascii="Arial" w:hAnsi="Arial" w:cs="Arial"/>
          <w:iCs/>
          <w:sz w:val="20"/>
          <w:szCs w:val="20"/>
        </w:rPr>
        <w:t>in 202</w:t>
      </w:r>
      <w:r w:rsidR="00806E04">
        <w:rPr>
          <w:rFonts w:ascii="Arial" w:hAnsi="Arial" w:cs="Arial"/>
          <w:iCs/>
          <w:sz w:val="20"/>
          <w:szCs w:val="20"/>
        </w:rPr>
        <w:t>2</w:t>
      </w:r>
      <w:r w:rsidR="00174AD5">
        <w:rPr>
          <w:rFonts w:ascii="Arial" w:hAnsi="Arial" w:cs="Arial"/>
          <w:iCs/>
          <w:sz w:val="20"/>
          <w:szCs w:val="20"/>
        </w:rPr>
        <w:t xml:space="preserve"> as interest rates rose after the Federal Reserve set out on a more aggressive path to tame inflation</w:t>
      </w:r>
      <w:r w:rsidR="000D0ED5">
        <w:rPr>
          <w:rFonts w:ascii="Arial" w:hAnsi="Arial" w:cs="Arial"/>
          <w:iCs/>
          <w:sz w:val="20"/>
          <w:szCs w:val="20"/>
        </w:rPr>
        <w:t>.</w:t>
      </w:r>
      <w:r w:rsidR="005B40BF">
        <w:rPr>
          <w:rFonts w:ascii="Arial" w:hAnsi="Arial" w:cs="Arial"/>
          <w:iCs/>
          <w:sz w:val="20"/>
          <w:szCs w:val="20"/>
        </w:rPr>
        <w:t xml:space="preserve"> </w:t>
      </w:r>
      <w:r w:rsidR="00174AD5">
        <w:rPr>
          <w:rFonts w:ascii="Arial" w:hAnsi="Arial" w:cs="Arial"/>
          <w:iCs/>
          <w:sz w:val="20"/>
          <w:szCs w:val="20"/>
        </w:rPr>
        <w:t xml:space="preserve">Despite higher inflation, TIPS also fell 3% due to rising rates. Longer-term </w:t>
      </w:r>
      <w:r w:rsidR="00DA3508">
        <w:rPr>
          <w:rFonts w:ascii="Arial" w:hAnsi="Arial" w:cs="Arial"/>
          <w:iCs/>
          <w:sz w:val="20"/>
          <w:szCs w:val="20"/>
        </w:rPr>
        <w:t>Treasuries</w:t>
      </w:r>
      <w:r w:rsidR="008D79E6">
        <w:rPr>
          <w:rFonts w:ascii="Arial" w:hAnsi="Arial" w:cs="Arial"/>
          <w:iCs/>
          <w:sz w:val="20"/>
          <w:szCs w:val="20"/>
        </w:rPr>
        <w:t>,</w:t>
      </w:r>
      <w:r w:rsidR="00174AD5">
        <w:rPr>
          <w:rFonts w:ascii="Arial" w:hAnsi="Arial" w:cs="Arial"/>
          <w:iCs/>
          <w:sz w:val="20"/>
          <w:szCs w:val="20"/>
        </w:rPr>
        <w:t xml:space="preserve"> which have the greatest sensitivity to interest-rate changes</w:t>
      </w:r>
      <w:r w:rsidR="008D79E6">
        <w:rPr>
          <w:rFonts w:ascii="Arial" w:hAnsi="Arial" w:cs="Arial"/>
          <w:iCs/>
          <w:sz w:val="20"/>
          <w:szCs w:val="20"/>
        </w:rPr>
        <w:t>,</w:t>
      </w:r>
      <w:r w:rsidR="00174AD5">
        <w:rPr>
          <w:rFonts w:ascii="Arial" w:hAnsi="Arial" w:cs="Arial"/>
          <w:iCs/>
          <w:sz w:val="20"/>
          <w:szCs w:val="20"/>
        </w:rPr>
        <w:t xml:space="preserve"> were the hardest hit and </w:t>
      </w:r>
      <w:r w:rsidR="00DA3508">
        <w:rPr>
          <w:rFonts w:ascii="Arial" w:hAnsi="Arial" w:cs="Arial"/>
          <w:iCs/>
          <w:sz w:val="20"/>
          <w:szCs w:val="20"/>
        </w:rPr>
        <w:t xml:space="preserve">fell 10.6%. </w:t>
      </w:r>
      <w:r w:rsidR="00F710F4">
        <w:rPr>
          <w:rFonts w:ascii="Arial" w:hAnsi="Arial" w:cs="Arial"/>
          <w:iCs/>
          <w:sz w:val="20"/>
          <w:szCs w:val="20"/>
        </w:rPr>
        <w:t>US h</w:t>
      </w:r>
      <w:r w:rsidR="00F710F4" w:rsidRPr="00F710F4">
        <w:rPr>
          <w:rFonts w:ascii="Arial" w:hAnsi="Arial" w:cs="Arial"/>
          <w:iCs/>
          <w:sz w:val="20"/>
          <w:szCs w:val="20"/>
        </w:rPr>
        <w:t>igh yield</w:t>
      </w:r>
      <w:r w:rsidR="00F710F4">
        <w:rPr>
          <w:rFonts w:ascii="Arial" w:hAnsi="Arial" w:cs="Arial"/>
          <w:iCs/>
          <w:sz w:val="20"/>
          <w:szCs w:val="20"/>
        </w:rPr>
        <w:t xml:space="preserve"> bonds fell</w:t>
      </w:r>
      <w:r w:rsidR="00F710F4" w:rsidRPr="00F710F4">
        <w:rPr>
          <w:rFonts w:ascii="Arial" w:hAnsi="Arial" w:cs="Arial"/>
          <w:iCs/>
          <w:sz w:val="20"/>
          <w:szCs w:val="20"/>
        </w:rPr>
        <w:t xml:space="preserve"> </w:t>
      </w:r>
      <w:r w:rsidR="00F710F4">
        <w:rPr>
          <w:rFonts w:ascii="Arial" w:hAnsi="Arial" w:cs="Arial"/>
          <w:iCs/>
          <w:sz w:val="20"/>
          <w:szCs w:val="20"/>
        </w:rPr>
        <w:t>4.8</w:t>
      </w:r>
      <w:r w:rsidR="00F710F4" w:rsidRPr="00F710F4">
        <w:rPr>
          <w:rFonts w:ascii="Arial" w:hAnsi="Arial" w:cs="Arial"/>
          <w:iCs/>
          <w:sz w:val="20"/>
          <w:szCs w:val="20"/>
        </w:rPr>
        <w:t>% due to the flight to quality stemming from the Russia-Ukraine conflict</w:t>
      </w:r>
      <w:r w:rsidR="00F710F4">
        <w:rPr>
          <w:rFonts w:ascii="Arial" w:hAnsi="Arial" w:cs="Arial"/>
          <w:iCs/>
          <w:sz w:val="20"/>
          <w:szCs w:val="20"/>
        </w:rPr>
        <w:t>. Lastly, a</w:t>
      </w:r>
      <w:r w:rsidR="001B4F72">
        <w:rPr>
          <w:rFonts w:ascii="Arial" w:hAnsi="Arial" w:cs="Arial"/>
          <w:iCs/>
          <w:sz w:val="20"/>
          <w:szCs w:val="20"/>
        </w:rPr>
        <w:t xml:space="preserve"> stronger dollar and inflation woes also led international bonds lower for the quarter</w:t>
      </w:r>
      <w:r w:rsidR="00FB1955">
        <w:rPr>
          <w:rFonts w:ascii="Arial" w:hAnsi="Arial" w:cs="Arial"/>
          <w:iCs/>
          <w:sz w:val="20"/>
          <w:szCs w:val="20"/>
        </w:rPr>
        <w:t xml:space="preserve">.  </w:t>
      </w:r>
      <w:r w:rsidR="00324B21" w:rsidRPr="002E5339">
        <w:rPr>
          <w:rFonts w:ascii="Arial" w:hAnsi="Arial" w:cs="Arial"/>
          <w:iCs/>
          <w:sz w:val="20"/>
          <w:szCs w:val="20"/>
        </w:rPr>
        <w:t xml:space="preserve"> </w:t>
      </w:r>
      <w:bookmarkEnd w:id="3"/>
    </w:p>
    <w:p w14:paraId="3C422F6F" w14:textId="77777777" w:rsidR="00805B99" w:rsidRPr="00203FA8" w:rsidRDefault="00805B99" w:rsidP="00805B99">
      <w:pPr>
        <w:pStyle w:val="ListParagraph"/>
        <w:ind w:left="1440"/>
        <w:rPr>
          <w:rFonts w:ascii="Arial" w:hAnsi="Arial" w:cs="Arial"/>
          <w:b/>
          <w:bCs/>
          <w:iCs/>
          <w:sz w:val="20"/>
          <w:szCs w:val="20"/>
        </w:rPr>
      </w:pPr>
    </w:p>
    <w:p w14:paraId="607859C8" w14:textId="009CAC34" w:rsidR="00934AC9" w:rsidRPr="00413355" w:rsidRDefault="009B0789" w:rsidP="0088431C">
      <w:pPr>
        <w:pStyle w:val="ListParagraph"/>
        <w:numPr>
          <w:ilvl w:val="0"/>
          <w:numId w:val="3"/>
        </w:numPr>
        <w:contextualSpacing w:val="0"/>
        <w:rPr>
          <w:rFonts w:ascii="Arial" w:hAnsi="Arial" w:cs="Arial"/>
          <w:sz w:val="20"/>
          <w:szCs w:val="20"/>
        </w:rPr>
      </w:pPr>
      <w:r>
        <w:rPr>
          <w:rFonts w:ascii="Arial" w:hAnsi="Arial" w:cs="Arial"/>
          <w:b/>
          <w:bCs/>
          <w:iCs/>
          <w:sz w:val="20"/>
          <w:szCs w:val="20"/>
        </w:rPr>
        <w:t>C</w:t>
      </w:r>
      <w:r w:rsidR="00413355" w:rsidRPr="00413355">
        <w:rPr>
          <w:rFonts w:ascii="Arial" w:hAnsi="Arial" w:cs="Arial"/>
          <w:b/>
          <w:bCs/>
          <w:iCs/>
          <w:sz w:val="20"/>
          <w:szCs w:val="20"/>
        </w:rPr>
        <w:t>ommodities</w:t>
      </w:r>
      <w:r w:rsidR="00482D02">
        <w:rPr>
          <w:rFonts w:ascii="Arial" w:hAnsi="Arial" w:cs="Arial"/>
          <w:b/>
          <w:bCs/>
          <w:iCs/>
          <w:sz w:val="20"/>
          <w:szCs w:val="20"/>
        </w:rPr>
        <w:t xml:space="preserve"> </w:t>
      </w:r>
      <w:r w:rsidR="003F76DF">
        <w:rPr>
          <w:rFonts w:ascii="Arial" w:hAnsi="Arial" w:cs="Arial"/>
          <w:b/>
          <w:bCs/>
          <w:iCs/>
          <w:sz w:val="20"/>
          <w:szCs w:val="20"/>
        </w:rPr>
        <w:t xml:space="preserve">were the biggest winners as the war in Ukraine fueled further inflationary pressures leading to a </w:t>
      </w:r>
      <w:r>
        <w:rPr>
          <w:rFonts w:ascii="Arial" w:hAnsi="Arial" w:cs="Arial"/>
          <w:b/>
          <w:bCs/>
          <w:iCs/>
          <w:sz w:val="20"/>
          <w:szCs w:val="20"/>
        </w:rPr>
        <w:t>surge in oil</w:t>
      </w:r>
      <w:r w:rsidR="003F76DF">
        <w:rPr>
          <w:rFonts w:ascii="Arial" w:hAnsi="Arial" w:cs="Arial"/>
          <w:b/>
          <w:bCs/>
          <w:iCs/>
          <w:sz w:val="20"/>
          <w:szCs w:val="20"/>
        </w:rPr>
        <w:t xml:space="preserve"> and grain</w:t>
      </w:r>
      <w:r>
        <w:rPr>
          <w:rFonts w:ascii="Arial" w:hAnsi="Arial" w:cs="Arial"/>
          <w:b/>
          <w:bCs/>
          <w:iCs/>
          <w:sz w:val="20"/>
          <w:szCs w:val="20"/>
        </w:rPr>
        <w:t xml:space="preserve"> prices.</w:t>
      </w:r>
      <w:r w:rsidR="003F76DF">
        <w:rPr>
          <w:rFonts w:ascii="Arial" w:hAnsi="Arial" w:cs="Arial"/>
          <w:b/>
          <w:bCs/>
          <w:iCs/>
          <w:sz w:val="20"/>
          <w:szCs w:val="20"/>
        </w:rPr>
        <w:t xml:space="preserve"> </w:t>
      </w:r>
      <w:r w:rsidR="000469F1">
        <w:rPr>
          <w:rFonts w:ascii="Arial" w:hAnsi="Arial" w:cs="Arial"/>
          <w:iCs/>
          <w:sz w:val="20"/>
          <w:szCs w:val="20"/>
        </w:rPr>
        <w:t xml:space="preserve">Gold </w:t>
      </w:r>
      <w:r w:rsidR="003F76DF">
        <w:rPr>
          <w:rFonts w:ascii="Arial" w:hAnsi="Arial" w:cs="Arial"/>
          <w:iCs/>
          <w:sz w:val="20"/>
          <w:szCs w:val="20"/>
        </w:rPr>
        <w:t>gained 6.6%,</w:t>
      </w:r>
      <w:r w:rsidR="000469F1">
        <w:rPr>
          <w:rFonts w:ascii="Arial" w:hAnsi="Arial" w:cs="Arial"/>
          <w:iCs/>
          <w:sz w:val="20"/>
          <w:szCs w:val="20"/>
        </w:rPr>
        <w:t xml:space="preserve"> living up to its reputation as </w:t>
      </w:r>
      <w:proofErr w:type="gramStart"/>
      <w:r w:rsidR="000469F1">
        <w:rPr>
          <w:rFonts w:ascii="Arial" w:hAnsi="Arial" w:cs="Arial"/>
          <w:iCs/>
          <w:sz w:val="20"/>
          <w:szCs w:val="20"/>
        </w:rPr>
        <w:t>a safe haven</w:t>
      </w:r>
      <w:proofErr w:type="gramEnd"/>
      <w:r w:rsidR="000469F1">
        <w:rPr>
          <w:rFonts w:ascii="Arial" w:hAnsi="Arial" w:cs="Arial"/>
          <w:iCs/>
          <w:sz w:val="20"/>
          <w:szCs w:val="20"/>
        </w:rPr>
        <w:t xml:space="preserve"> during the market </w:t>
      </w:r>
      <w:r w:rsidR="003F76DF">
        <w:rPr>
          <w:rFonts w:ascii="Arial" w:hAnsi="Arial" w:cs="Arial"/>
          <w:iCs/>
          <w:sz w:val="20"/>
          <w:szCs w:val="20"/>
        </w:rPr>
        <w:t>selloff</w:t>
      </w:r>
      <w:r w:rsidR="000469F1">
        <w:rPr>
          <w:rFonts w:ascii="Arial" w:hAnsi="Arial" w:cs="Arial"/>
          <w:iCs/>
          <w:sz w:val="20"/>
          <w:szCs w:val="20"/>
        </w:rPr>
        <w:t>.</w:t>
      </w:r>
      <w:r w:rsidR="003F76DF">
        <w:rPr>
          <w:rFonts w:ascii="Arial" w:hAnsi="Arial" w:cs="Arial"/>
          <w:iCs/>
          <w:sz w:val="20"/>
          <w:szCs w:val="20"/>
        </w:rPr>
        <w:t xml:space="preserve"> Expectations for higher interest rates in the US led the dollar to rally 2.6%.</w:t>
      </w:r>
      <w:r w:rsidR="00B7710C">
        <w:rPr>
          <w:rFonts w:ascii="Arial" w:hAnsi="Arial" w:cs="Arial"/>
          <w:iCs/>
          <w:sz w:val="20"/>
          <w:szCs w:val="20"/>
        </w:rPr>
        <w:t xml:space="preserve"> After a record 2021, </w:t>
      </w:r>
      <w:r w:rsidR="000469F1">
        <w:rPr>
          <w:rFonts w:ascii="Arial" w:hAnsi="Arial" w:cs="Arial"/>
          <w:iCs/>
          <w:sz w:val="20"/>
          <w:szCs w:val="20"/>
        </w:rPr>
        <w:t>U</w:t>
      </w:r>
      <w:r w:rsidR="00C87FA0">
        <w:rPr>
          <w:rFonts w:ascii="Arial" w:hAnsi="Arial" w:cs="Arial"/>
          <w:iCs/>
          <w:sz w:val="20"/>
          <w:szCs w:val="20"/>
        </w:rPr>
        <w:t>S</w:t>
      </w:r>
      <w:r w:rsidR="000469F1">
        <w:rPr>
          <w:rFonts w:ascii="Arial" w:hAnsi="Arial" w:cs="Arial"/>
          <w:iCs/>
          <w:sz w:val="20"/>
          <w:szCs w:val="20"/>
        </w:rPr>
        <w:t xml:space="preserve"> REITs </w:t>
      </w:r>
      <w:r w:rsidR="00B7710C">
        <w:rPr>
          <w:rFonts w:ascii="Arial" w:hAnsi="Arial" w:cs="Arial"/>
          <w:iCs/>
          <w:sz w:val="20"/>
          <w:szCs w:val="20"/>
        </w:rPr>
        <w:t>lost 5.3% over concerns of rising costs due to higher interest rates.</w:t>
      </w:r>
      <w:r w:rsidR="004C4F52" w:rsidRPr="004C4F52">
        <w:rPr>
          <w:rFonts w:ascii="Arial" w:hAnsi="Arial" w:cs="Arial"/>
          <w:iCs/>
          <w:sz w:val="20"/>
          <w:szCs w:val="20"/>
        </w:rPr>
        <w:t xml:space="preserve"> </w:t>
      </w:r>
      <w:r w:rsidR="00C87FA0">
        <w:rPr>
          <w:rFonts w:ascii="Arial" w:hAnsi="Arial" w:cs="Arial"/>
          <w:iCs/>
          <w:sz w:val="20"/>
          <w:szCs w:val="20"/>
        </w:rPr>
        <w:t xml:space="preserve">However, </w:t>
      </w:r>
      <w:r w:rsidR="00E35710">
        <w:rPr>
          <w:rFonts w:ascii="Arial" w:hAnsi="Arial" w:cs="Arial"/>
          <w:iCs/>
          <w:sz w:val="20"/>
          <w:szCs w:val="20"/>
        </w:rPr>
        <w:t>g</w:t>
      </w:r>
      <w:r w:rsidR="00521E72">
        <w:rPr>
          <w:rFonts w:ascii="Arial" w:hAnsi="Arial" w:cs="Arial"/>
          <w:iCs/>
          <w:sz w:val="20"/>
          <w:szCs w:val="20"/>
        </w:rPr>
        <w:t>ains were recorded</w:t>
      </w:r>
      <w:r w:rsidR="00C87FA0">
        <w:rPr>
          <w:rFonts w:ascii="Arial" w:hAnsi="Arial" w:cs="Arial"/>
          <w:iCs/>
          <w:sz w:val="20"/>
          <w:szCs w:val="20"/>
        </w:rPr>
        <w:t xml:space="preserve"> within subsectors such as</w:t>
      </w:r>
      <w:r w:rsidR="004C4F52" w:rsidRPr="004C4F52">
        <w:rPr>
          <w:rFonts w:ascii="Arial" w:hAnsi="Arial" w:cs="Arial"/>
          <w:iCs/>
          <w:sz w:val="20"/>
          <w:szCs w:val="20"/>
        </w:rPr>
        <w:t xml:space="preserve"> </w:t>
      </w:r>
      <w:r w:rsidR="00C87FA0">
        <w:rPr>
          <w:rFonts w:ascii="Arial" w:hAnsi="Arial" w:cs="Arial"/>
          <w:iCs/>
          <w:sz w:val="20"/>
          <w:szCs w:val="20"/>
        </w:rPr>
        <w:t>hotels</w:t>
      </w:r>
      <w:r w:rsidR="004C4F52" w:rsidRPr="004C4F52">
        <w:rPr>
          <w:rFonts w:ascii="Arial" w:hAnsi="Arial" w:cs="Arial"/>
          <w:iCs/>
          <w:sz w:val="20"/>
          <w:szCs w:val="20"/>
        </w:rPr>
        <w:t xml:space="preserve"> and offices, as they continue to benefit from</w:t>
      </w:r>
      <w:r w:rsidR="004C4F52">
        <w:rPr>
          <w:rFonts w:ascii="Arial" w:hAnsi="Arial" w:cs="Arial"/>
          <w:iCs/>
          <w:sz w:val="20"/>
          <w:szCs w:val="20"/>
        </w:rPr>
        <w:t xml:space="preserve"> </w:t>
      </w:r>
      <w:r w:rsidR="004C4F52" w:rsidRPr="004C4F52">
        <w:rPr>
          <w:rFonts w:ascii="Arial" w:hAnsi="Arial" w:cs="Arial"/>
          <w:iCs/>
          <w:sz w:val="20"/>
          <w:szCs w:val="20"/>
        </w:rPr>
        <w:t>easing economic restrictions.</w:t>
      </w:r>
      <w:r w:rsidR="00B56C04" w:rsidRPr="00413355">
        <w:rPr>
          <w:rFonts w:ascii="Arial" w:hAnsi="Arial" w:cs="Arial"/>
          <w:sz w:val="20"/>
          <w:szCs w:val="20"/>
        </w:rPr>
        <w:t xml:space="preserve"> </w:t>
      </w:r>
    </w:p>
    <w:p w14:paraId="52A629D1" w14:textId="760DCAEA" w:rsidR="00140F12" w:rsidRDefault="00140F12" w:rsidP="00D17BCA">
      <w:pPr>
        <w:ind w:left="-720" w:right="-720"/>
        <w:rPr>
          <w:rFonts w:ascii="Arial" w:hAnsi="Arial" w:cs="Arial"/>
          <w:color w:val="343433"/>
          <w:sz w:val="21"/>
        </w:rPr>
        <w:sectPr w:rsidR="00140F12" w:rsidSect="00397AF7">
          <w:headerReference w:type="default" r:id="rId14"/>
          <w:footerReference w:type="even" r:id="rId15"/>
          <w:footerReference w:type="default" r:id="rId16"/>
          <w:headerReference w:type="first" r:id="rId17"/>
          <w:footerReference w:type="first" r:id="rId18"/>
          <w:endnotePr>
            <w:numFmt w:val="decimal"/>
          </w:endnotePr>
          <w:type w:val="continuous"/>
          <w:pgSz w:w="12240" w:h="15840"/>
          <w:pgMar w:top="-1659" w:right="1440" w:bottom="1518" w:left="1440" w:header="720" w:footer="720" w:gutter="0"/>
          <w:cols w:space="720"/>
          <w:titlePg/>
          <w:docGrid w:linePitch="360"/>
        </w:sectPr>
      </w:pPr>
    </w:p>
    <w:p w14:paraId="379DB21C" w14:textId="77777777" w:rsidR="004915F5" w:rsidRDefault="004915F5" w:rsidP="00140F12">
      <w:pPr>
        <w:spacing w:after="120"/>
        <w:ind w:left="-720" w:right="-720"/>
        <w:rPr>
          <w:rFonts w:ascii="Arial" w:hAnsi="Arial" w:cs="Arial"/>
          <w:color w:val="343433"/>
          <w:sz w:val="21"/>
        </w:rPr>
      </w:pPr>
    </w:p>
    <w:p w14:paraId="4B4A08F5" w14:textId="7F17301D" w:rsidR="009F65E5" w:rsidRPr="0040163B" w:rsidRDefault="008F63B8" w:rsidP="00140F12">
      <w:pPr>
        <w:spacing w:after="120"/>
        <w:ind w:left="-720" w:right="-720"/>
        <w:rPr>
          <w:rFonts w:ascii="Arial" w:hAnsi="Arial" w:cs="Arial"/>
          <w:color w:val="343433"/>
          <w:sz w:val="21"/>
        </w:rPr>
      </w:pPr>
      <w:r>
        <w:rPr>
          <w:rFonts w:ascii="Arial" w:hAnsi="Arial" w:cs="Arial"/>
          <w:color w:val="343433"/>
          <w:sz w:val="21"/>
        </w:rPr>
        <w:t>Asset classes are represented by the following indexes:</w:t>
      </w:r>
    </w:p>
    <w:tbl>
      <w:tblPr>
        <w:tblStyle w:val="TableGrid"/>
        <w:tblW w:w="10795" w:type="dxa"/>
        <w:tblInd w:w="-720" w:type="dxa"/>
        <w:tblLook w:val="04A0" w:firstRow="1" w:lastRow="0" w:firstColumn="1" w:lastColumn="0" w:noHBand="0" w:noVBand="1"/>
      </w:tblPr>
      <w:tblGrid>
        <w:gridCol w:w="1615"/>
        <w:gridCol w:w="9180"/>
      </w:tblGrid>
      <w:tr w:rsidR="00762B2D" w14:paraId="1C4EF1F0"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55D03EAD" w14:textId="64A2F3FD" w:rsidR="00762B2D" w:rsidRDefault="00762B2D" w:rsidP="00762B2D">
            <w:pPr>
              <w:spacing w:after="160"/>
              <w:rPr>
                <w:rFonts w:ascii="Arial" w:hAnsi="Arial" w:cs="Arial"/>
                <w:b/>
                <w:color w:val="343433"/>
                <w:sz w:val="16"/>
                <w:szCs w:val="17"/>
              </w:rPr>
            </w:pPr>
            <w:r>
              <w:rPr>
                <w:rFonts w:ascii="Arial" w:hAnsi="Arial" w:cs="Arial"/>
                <w:b/>
                <w:color w:val="343433"/>
                <w:sz w:val="16"/>
                <w:szCs w:val="17"/>
              </w:rPr>
              <w:t>US Equities</w:t>
            </w:r>
          </w:p>
        </w:tc>
        <w:tc>
          <w:tcPr>
            <w:tcW w:w="9180" w:type="dxa"/>
            <w:tcBorders>
              <w:top w:val="single" w:sz="4" w:space="0" w:color="E7E6E6"/>
              <w:left w:val="single" w:sz="4" w:space="0" w:color="E7E6E6"/>
              <w:bottom w:val="single" w:sz="4" w:space="0" w:color="E7E6E6"/>
              <w:right w:val="single" w:sz="4" w:space="0" w:color="E7E6E6"/>
            </w:tcBorders>
          </w:tcPr>
          <w:p w14:paraId="31015CB9" w14:textId="264E3D9E" w:rsidR="00762B2D" w:rsidRPr="0040163B" w:rsidRDefault="00762B2D" w:rsidP="00762B2D">
            <w:pPr>
              <w:spacing w:after="120"/>
              <w:rPr>
                <w:rFonts w:ascii="Arial" w:hAnsi="Arial" w:cs="Arial"/>
                <w:b/>
                <w:color w:val="343433"/>
                <w:sz w:val="16"/>
                <w:szCs w:val="17"/>
              </w:rPr>
            </w:pPr>
            <w:r w:rsidRPr="0040163B">
              <w:rPr>
                <w:rFonts w:ascii="Arial" w:hAnsi="Arial" w:cs="Arial"/>
                <w:b/>
                <w:color w:val="343433"/>
                <w:sz w:val="16"/>
                <w:szCs w:val="17"/>
              </w:rPr>
              <w:t>S&amp;P 500</w:t>
            </w:r>
            <w:r w:rsidRPr="0040163B">
              <w:rPr>
                <w:rFonts w:ascii="Arial" w:hAnsi="Arial" w:cs="Arial"/>
                <w:color w:val="343433"/>
                <w:sz w:val="16"/>
                <w:szCs w:val="17"/>
              </w:rPr>
              <w:t xml:space="preserve"> </w:t>
            </w:r>
            <w:r>
              <w:rPr>
                <w:rFonts w:ascii="Arial" w:hAnsi="Arial" w:cs="Arial"/>
                <w:color w:val="343433"/>
                <w:sz w:val="16"/>
                <w:szCs w:val="17"/>
              </w:rPr>
              <w:t>–</w:t>
            </w:r>
            <w:r w:rsidRPr="0040163B">
              <w:rPr>
                <w:rFonts w:ascii="Arial" w:hAnsi="Arial" w:cs="Arial"/>
                <w:color w:val="343433"/>
                <w:sz w:val="16"/>
                <w:szCs w:val="17"/>
              </w:rPr>
              <w:t xml:space="preserve"> </w:t>
            </w:r>
            <w:r>
              <w:rPr>
                <w:rFonts w:ascii="Arial" w:hAnsi="Arial" w:cs="Arial"/>
                <w:color w:val="343433"/>
                <w:sz w:val="16"/>
                <w:szCs w:val="17"/>
              </w:rPr>
              <w:t>is a</w:t>
            </w:r>
            <w:r w:rsidRPr="0040163B">
              <w:rPr>
                <w:rFonts w:ascii="Arial" w:hAnsi="Arial" w:cs="Arial"/>
                <w:color w:val="343433"/>
                <w:sz w:val="16"/>
                <w:szCs w:val="17"/>
              </w:rPr>
              <w:t xml:space="preserve">n unmanaged index that is generally considered representative of the US equity market, consisting of 500 leading companies in leading industries of the US economy (typically large cap companies) representing approximately 75% of the investable US equity market. </w:t>
            </w:r>
          </w:p>
        </w:tc>
      </w:tr>
      <w:tr w:rsidR="00762B2D" w14:paraId="20B2C35A"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1BA437AA" w14:textId="3C3DCCF2" w:rsidR="00762B2D" w:rsidRDefault="00762B2D" w:rsidP="00762B2D">
            <w:pPr>
              <w:spacing w:after="160"/>
              <w:rPr>
                <w:rFonts w:ascii="Arial" w:hAnsi="Arial" w:cs="Arial"/>
                <w:b/>
                <w:color w:val="343433"/>
                <w:sz w:val="16"/>
                <w:szCs w:val="17"/>
              </w:rPr>
            </w:pPr>
            <w:r>
              <w:rPr>
                <w:rFonts w:ascii="Arial" w:hAnsi="Arial" w:cs="Arial"/>
                <w:b/>
                <w:color w:val="343433"/>
                <w:sz w:val="16"/>
                <w:szCs w:val="17"/>
              </w:rPr>
              <w:t>International Equities</w:t>
            </w:r>
          </w:p>
        </w:tc>
        <w:tc>
          <w:tcPr>
            <w:tcW w:w="9180" w:type="dxa"/>
            <w:tcBorders>
              <w:top w:val="single" w:sz="4" w:space="0" w:color="E7E6E6"/>
              <w:left w:val="single" w:sz="4" w:space="0" w:color="E7E6E6"/>
              <w:bottom w:val="single" w:sz="4" w:space="0" w:color="E7E6E6"/>
              <w:right w:val="single" w:sz="4" w:space="0" w:color="E7E6E6"/>
            </w:tcBorders>
          </w:tcPr>
          <w:p w14:paraId="05F8466F" w14:textId="65D819A3" w:rsidR="00762B2D" w:rsidRPr="0040163B" w:rsidRDefault="00762B2D" w:rsidP="00762B2D">
            <w:pPr>
              <w:spacing w:after="120"/>
              <w:rPr>
                <w:rFonts w:ascii="Arial" w:hAnsi="Arial" w:cs="Arial"/>
                <w:b/>
                <w:color w:val="343433"/>
                <w:sz w:val="16"/>
                <w:szCs w:val="17"/>
              </w:rPr>
            </w:pPr>
            <w:r w:rsidRPr="0040163B">
              <w:rPr>
                <w:rFonts w:ascii="Arial" w:hAnsi="Arial" w:cs="Arial"/>
                <w:b/>
                <w:color w:val="343433"/>
                <w:sz w:val="16"/>
                <w:szCs w:val="17"/>
              </w:rPr>
              <w:t>MSCI EAFE</w:t>
            </w:r>
            <w:r w:rsidRPr="0040163B">
              <w:rPr>
                <w:rFonts w:ascii="Arial" w:hAnsi="Arial" w:cs="Arial"/>
                <w:color w:val="343433"/>
                <w:sz w:val="16"/>
                <w:szCs w:val="17"/>
              </w:rPr>
              <w:t xml:space="preserve"> </w:t>
            </w:r>
            <w:r>
              <w:rPr>
                <w:rFonts w:ascii="Arial" w:hAnsi="Arial" w:cs="Arial"/>
                <w:color w:val="343433"/>
                <w:sz w:val="16"/>
                <w:szCs w:val="17"/>
              </w:rPr>
              <w:t>–</w:t>
            </w:r>
            <w:r w:rsidRPr="0040163B">
              <w:rPr>
                <w:rFonts w:ascii="Arial" w:hAnsi="Arial" w:cs="Arial"/>
                <w:color w:val="343433"/>
                <w:sz w:val="16"/>
                <w:szCs w:val="17"/>
              </w:rPr>
              <w:t xml:space="preserve"> </w:t>
            </w:r>
            <w:r>
              <w:rPr>
                <w:rFonts w:ascii="Arial" w:hAnsi="Arial" w:cs="Arial"/>
                <w:color w:val="343433"/>
                <w:sz w:val="16"/>
                <w:szCs w:val="17"/>
              </w:rPr>
              <w:t>is a</w:t>
            </w:r>
            <w:r w:rsidRPr="0040163B">
              <w:rPr>
                <w:rFonts w:ascii="Arial" w:hAnsi="Arial" w:cs="Arial"/>
                <w:color w:val="343433"/>
                <w:sz w:val="16"/>
                <w:szCs w:val="17"/>
              </w:rPr>
              <w:t xml:space="preserve"> free float-adjusted market capitalization weighted index that is designed to measure the equity market performance of countries considered to represent developed markets, excluding the U.S. and Canada. </w:t>
            </w:r>
          </w:p>
        </w:tc>
      </w:tr>
      <w:tr w:rsidR="00762B2D" w14:paraId="0CD05564"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04FD21ED" w14:textId="2C2F89A0" w:rsidR="00762B2D" w:rsidRDefault="00762B2D" w:rsidP="00762B2D">
            <w:pPr>
              <w:spacing w:after="160"/>
              <w:rPr>
                <w:rFonts w:ascii="Arial" w:hAnsi="Arial" w:cs="Arial"/>
                <w:b/>
                <w:color w:val="343433"/>
                <w:sz w:val="16"/>
                <w:szCs w:val="17"/>
              </w:rPr>
            </w:pPr>
            <w:r>
              <w:rPr>
                <w:rFonts w:ascii="Arial" w:hAnsi="Arial" w:cs="Arial"/>
                <w:b/>
                <w:color w:val="343433"/>
                <w:sz w:val="16"/>
                <w:szCs w:val="17"/>
              </w:rPr>
              <w:t>Emerging Markets Equities</w:t>
            </w:r>
          </w:p>
        </w:tc>
        <w:tc>
          <w:tcPr>
            <w:tcW w:w="9180" w:type="dxa"/>
            <w:tcBorders>
              <w:top w:val="single" w:sz="4" w:space="0" w:color="E7E6E6"/>
              <w:left w:val="single" w:sz="4" w:space="0" w:color="E7E6E6"/>
              <w:bottom w:val="single" w:sz="4" w:space="0" w:color="E7E6E6"/>
              <w:right w:val="single" w:sz="4" w:space="0" w:color="E7E6E6"/>
            </w:tcBorders>
          </w:tcPr>
          <w:p w14:paraId="7E0B267C" w14:textId="6C794EA3" w:rsidR="00762B2D" w:rsidRPr="0040163B" w:rsidRDefault="00762B2D" w:rsidP="00762B2D">
            <w:pPr>
              <w:spacing w:after="120"/>
              <w:rPr>
                <w:rFonts w:ascii="Arial" w:hAnsi="Arial" w:cs="Arial"/>
                <w:b/>
                <w:color w:val="343433"/>
                <w:sz w:val="16"/>
                <w:szCs w:val="17"/>
              </w:rPr>
            </w:pPr>
            <w:r w:rsidRPr="0040163B">
              <w:rPr>
                <w:rFonts w:ascii="Arial" w:hAnsi="Arial" w:cs="Arial"/>
                <w:b/>
                <w:color w:val="343433"/>
                <w:sz w:val="16"/>
                <w:szCs w:val="17"/>
              </w:rPr>
              <w:t>MSCI Emerging Markets</w:t>
            </w:r>
            <w:r w:rsidRPr="0040163B">
              <w:rPr>
                <w:rFonts w:ascii="Arial" w:hAnsi="Arial" w:cs="Arial"/>
                <w:color w:val="343433"/>
                <w:sz w:val="16"/>
                <w:szCs w:val="17"/>
              </w:rPr>
              <w:t xml:space="preserve"> </w:t>
            </w:r>
            <w:r>
              <w:rPr>
                <w:rFonts w:ascii="Arial" w:hAnsi="Arial" w:cs="Arial"/>
                <w:color w:val="343433"/>
                <w:sz w:val="16"/>
                <w:szCs w:val="17"/>
              </w:rPr>
              <w:t>–</w:t>
            </w:r>
            <w:r w:rsidRPr="0040163B">
              <w:rPr>
                <w:rFonts w:ascii="Arial" w:hAnsi="Arial" w:cs="Arial"/>
                <w:color w:val="343433"/>
                <w:sz w:val="16"/>
                <w:szCs w:val="17"/>
              </w:rPr>
              <w:t xml:space="preserve"> </w:t>
            </w:r>
            <w:r>
              <w:rPr>
                <w:rFonts w:ascii="Arial" w:hAnsi="Arial" w:cs="Arial"/>
                <w:color w:val="343433"/>
                <w:sz w:val="16"/>
                <w:szCs w:val="17"/>
              </w:rPr>
              <w:t>is a</w:t>
            </w:r>
            <w:r w:rsidRPr="0040163B">
              <w:rPr>
                <w:rFonts w:ascii="Arial" w:hAnsi="Arial" w:cs="Arial"/>
                <w:color w:val="343433"/>
                <w:sz w:val="16"/>
                <w:szCs w:val="17"/>
              </w:rPr>
              <w:t xml:space="preserve"> free float-adjusted, market capitalization index that is designed to measure the equity market performance of countries considered to represent emerging markets</w:t>
            </w:r>
            <w:r>
              <w:rPr>
                <w:rFonts w:ascii="Arial" w:hAnsi="Arial" w:cs="Arial"/>
                <w:color w:val="343433"/>
                <w:sz w:val="16"/>
                <w:szCs w:val="17"/>
              </w:rPr>
              <w:t>.</w:t>
            </w:r>
          </w:p>
        </w:tc>
      </w:tr>
      <w:tr w:rsidR="00A27DE3" w14:paraId="38DB68D0"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768A9445" w14:textId="25B316CF" w:rsidR="00A27DE3" w:rsidRDefault="00A27DE3" w:rsidP="00A27DE3">
            <w:pPr>
              <w:spacing w:after="160"/>
              <w:rPr>
                <w:rFonts w:ascii="Arial" w:hAnsi="Arial" w:cs="Arial"/>
                <w:b/>
                <w:color w:val="343433"/>
                <w:sz w:val="16"/>
                <w:szCs w:val="17"/>
              </w:rPr>
            </w:pPr>
            <w:r>
              <w:rPr>
                <w:rFonts w:ascii="Arial" w:hAnsi="Arial" w:cs="Arial"/>
                <w:b/>
                <w:color w:val="343433"/>
                <w:sz w:val="16"/>
                <w:szCs w:val="17"/>
              </w:rPr>
              <w:t>China</w:t>
            </w:r>
          </w:p>
        </w:tc>
        <w:tc>
          <w:tcPr>
            <w:tcW w:w="9180" w:type="dxa"/>
            <w:tcBorders>
              <w:top w:val="single" w:sz="4" w:space="0" w:color="E7E6E6"/>
              <w:left w:val="single" w:sz="4" w:space="0" w:color="E7E6E6"/>
              <w:bottom w:val="single" w:sz="4" w:space="0" w:color="E7E6E6"/>
              <w:right w:val="single" w:sz="4" w:space="0" w:color="E7E6E6"/>
            </w:tcBorders>
          </w:tcPr>
          <w:p w14:paraId="3D6723F6" w14:textId="627ED04C" w:rsidR="00A27DE3" w:rsidRPr="0040163B" w:rsidRDefault="00A27DE3" w:rsidP="00A27DE3">
            <w:pPr>
              <w:spacing w:after="120"/>
              <w:rPr>
                <w:rFonts w:ascii="Arial" w:hAnsi="Arial" w:cs="Arial"/>
                <w:b/>
                <w:color w:val="343433"/>
                <w:sz w:val="16"/>
                <w:szCs w:val="17"/>
              </w:rPr>
            </w:pPr>
            <w:r>
              <w:rPr>
                <w:rFonts w:ascii="Arial" w:hAnsi="Arial" w:cs="Arial"/>
                <w:b/>
                <w:color w:val="343433"/>
                <w:sz w:val="16"/>
                <w:szCs w:val="17"/>
              </w:rPr>
              <w:t xml:space="preserve">MSCI China - </w:t>
            </w:r>
            <w:r w:rsidRPr="0086319B">
              <w:rPr>
                <w:rFonts w:ascii="Arial" w:hAnsi="Arial" w:cs="Arial"/>
                <w:color w:val="343433"/>
                <w:sz w:val="16"/>
                <w:szCs w:val="17"/>
              </w:rPr>
              <w:t>measures the performance of small-cap equities in developed market countries around the world, excluding the U.S. and Canada. The index covers approximately 14% of the market cap in each country.</w:t>
            </w:r>
          </w:p>
        </w:tc>
      </w:tr>
      <w:tr w:rsidR="00A27DE3" w14:paraId="53FA813D"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66E02AAC" w14:textId="23AA13A4" w:rsidR="00A27DE3" w:rsidRDefault="00A27DE3" w:rsidP="00A27DE3">
            <w:pPr>
              <w:spacing w:after="160"/>
              <w:rPr>
                <w:rFonts w:ascii="Arial" w:hAnsi="Arial" w:cs="Arial"/>
                <w:b/>
                <w:color w:val="343433"/>
                <w:sz w:val="16"/>
                <w:szCs w:val="17"/>
              </w:rPr>
            </w:pPr>
            <w:r>
              <w:rPr>
                <w:rFonts w:ascii="Arial" w:hAnsi="Arial" w:cs="Arial"/>
                <w:b/>
                <w:color w:val="343433"/>
                <w:sz w:val="16"/>
                <w:szCs w:val="17"/>
              </w:rPr>
              <w:t>US Small Cap</w:t>
            </w:r>
            <w:r w:rsidR="004A70CE">
              <w:rPr>
                <w:rFonts w:ascii="Arial" w:hAnsi="Arial" w:cs="Arial"/>
                <w:b/>
                <w:color w:val="343433"/>
                <w:sz w:val="16"/>
                <w:szCs w:val="17"/>
              </w:rPr>
              <w:t xml:space="preserve"> </w:t>
            </w:r>
            <w:r w:rsidR="00334AF7">
              <w:rPr>
                <w:rFonts w:ascii="Arial" w:hAnsi="Arial" w:cs="Arial"/>
                <w:b/>
                <w:color w:val="343433"/>
                <w:sz w:val="16"/>
                <w:szCs w:val="17"/>
              </w:rPr>
              <w:t>Growth</w:t>
            </w:r>
          </w:p>
        </w:tc>
        <w:tc>
          <w:tcPr>
            <w:tcW w:w="9180" w:type="dxa"/>
            <w:tcBorders>
              <w:top w:val="single" w:sz="4" w:space="0" w:color="E7E6E6"/>
              <w:left w:val="single" w:sz="4" w:space="0" w:color="E7E6E6"/>
              <w:bottom w:val="single" w:sz="4" w:space="0" w:color="E7E6E6"/>
              <w:right w:val="single" w:sz="4" w:space="0" w:color="E7E6E6"/>
            </w:tcBorders>
          </w:tcPr>
          <w:p w14:paraId="40D20444" w14:textId="6B660D3D" w:rsidR="00A27DE3" w:rsidRPr="00334AF7" w:rsidRDefault="00334AF7" w:rsidP="00A27DE3">
            <w:pPr>
              <w:spacing w:after="120"/>
              <w:rPr>
                <w:rFonts w:ascii="Arial" w:hAnsi="Arial" w:cs="Arial"/>
                <w:b/>
                <w:bCs/>
                <w:color w:val="343433"/>
                <w:sz w:val="16"/>
                <w:szCs w:val="16"/>
              </w:rPr>
            </w:pPr>
            <w:r w:rsidRPr="009B6440">
              <w:rPr>
                <w:rFonts w:ascii="Arial" w:hAnsi="Arial" w:cs="Arial"/>
                <w:b/>
                <w:color w:val="343433"/>
                <w:sz w:val="16"/>
                <w:szCs w:val="17"/>
              </w:rPr>
              <w:t>S&amp;P 600 Growth</w:t>
            </w:r>
            <w:r>
              <w:rPr>
                <w:rFonts w:ascii="Arial" w:hAnsi="Arial" w:cs="Arial"/>
                <w:b/>
                <w:bCs/>
                <w:color w:val="343433"/>
                <w:sz w:val="16"/>
                <w:szCs w:val="16"/>
              </w:rPr>
              <w:t xml:space="preserve"> - </w:t>
            </w:r>
            <w:r w:rsidRPr="00334AF7">
              <w:rPr>
                <w:rFonts w:ascii="Arial" w:hAnsi="Arial" w:cs="Arial"/>
                <w:color w:val="343433"/>
                <w:sz w:val="16"/>
                <w:szCs w:val="16"/>
              </w:rPr>
              <w:t>measures the performance of the small cap growth segment of the US equity market.</w:t>
            </w:r>
          </w:p>
        </w:tc>
      </w:tr>
      <w:tr w:rsidR="00A27DE3" w14:paraId="0D0C9866"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743A939D" w14:textId="33BC3FBD" w:rsidR="00A27DE3" w:rsidRDefault="00A27DE3" w:rsidP="00A27DE3">
            <w:pPr>
              <w:spacing w:after="160"/>
              <w:rPr>
                <w:rFonts w:ascii="Arial" w:hAnsi="Arial" w:cs="Arial"/>
                <w:b/>
                <w:color w:val="343433"/>
                <w:sz w:val="16"/>
                <w:szCs w:val="17"/>
              </w:rPr>
            </w:pPr>
            <w:r>
              <w:rPr>
                <w:rFonts w:ascii="Arial" w:hAnsi="Arial" w:cs="Arial"/>
                <w:b/>
                <w:color w:val="343433"/>
                <w:sz w:val="16"/>
                <w:szCs w:val="17"/>
              </w:rPr>
              <w:lastRenderedPageBreak/>
              <w:t xml:space="preserve">US </w:t>
            </w:r>
            <w:r w:rsidR="004A70CE">
              <w:rPr>
                <w:rFonts w:ascii="Arial" w:hAnsi="Arial" w:cs="Arial"/>
                <w:b/>
                <w:color w:val="343433"/>
                <w:sz w:val="16"/>
                <w:szCs w:val="17"/>
              </w:rPr>
              <w:t xml:space="preserve">Small Cap </w:t>
            </w:r>
            <w:r w:rsidR="00334AF7">
              <w:rPr>
                <w:rFonts w:ascii="Arial" w:hAnsi="Arial" w:cs="Arial"/>
                <w:b/>
                <w:color w:val="343433"/>
                <w:sz w:val="16"/>
                <w:szCs w:val="17"/>
              </w:rPr>
              <w:t>Value</w:t>
            </w:r>
          </w:p>
        </w:tc>
        <w:tc>
          <w:tcPr>
            <w:tcW w:w="9180" w:type="dxa"/>
            <w:tcBorders>
              <w:top w:val="single" w:sz="4" w:space="0" w:color="E7E6E6"/>
              <w:left w:val="single" w:sz="4" w:space="0" w:color="E7E6E6"/>
              <w:bottom w:val="single" w:sz="4" w:space="0" w:color="E7E6E6"/>
              <w:right w:val="single" w:sz="4" w:space="0" w:color="E7E6E6"/>
            </w:tcBorders>
          </w:tcPr>
          <w:p w14:paraId="063DD477" w14:textId="0B3464B4" w:rsidR="00A27DE3" w:rsidRDefault="00334AF7" w:rsidP="00A27DE3">
            <w:pPr>
              <w:spacing w:after="120"/>
              <w:rPr>
                <w:rFonts w:ascii="Arial" w:hAnsi="Arial" w:cs="Arial"/>
                <w:b/>
                <w:color w:val="343433"/>
                <w:sz w:val="16"/>
                <w:szCs w:val="17"/>
              </w:rPr>
            </w:pPr>
            <w:r w:rsidRPr="009B6440">
              <w:rPr>
                <w:rFonts w:ascii="Arial" w:hAnsi="Arial" w:cs="Arial"/>
                <w:b/>
                <w:color w:val="343433"/>
                <w:sz w:val="16"/>
                <w:szCs w:val="17"/>
              </w:rPr>
              <w:t>S&amp;P 600 Value</w:t>
            </w:r>
            <w:r>
              <w:rPr>
                <w:rFonts w:ascii="Arial" w:hAnsi="Arial" w:cs="Arial"/>
                <w:b/>
                <w:bCs/>
                <w:color w:val="343433"/>
                <w:sz w:val="16"/>
                <w:szCs w:val="16"/>
              </w:rPr>
              <w:t xml:space="preserve"> - </w:t>
            </w:r>
            <w:r w:rsidRPr="00334AF7">
              <w:rPr>
                <w:rFonts w:ascii="Arial" w:hAnsi="Arial" w:cs="Arial"/>
                <w:color w:val="343433"/>
                <w:sz w:val="16"/>
                <w:szCs w:val="16"/>
              </w:rPr>
              <w:t>measures the performance of the small cap value segment of the US equity market.</w:t>
            </w:r>
          </w:p>
        </w:tc>
      </w:tr>
      <w:tr w:rsidR="004A70CE" w14:paraId="589F241B"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448C75FE" w14:textId="1957B842" w:rsidR="004A70CE" w:rsidRDefault="004A70CE" w:rsidP="00A27DE3">
            <w:pPr>
              <w:spacing w:after="160"/>
              <w:rPr>
                <w:rFonts w:ascii="Arial" w:hAnsi="Arial" w:cs="Arial"/>
                <w:b/>
                <w:color w:val="343433"/>
                <w:sz w:val="16"/>
                <w:szCs w:val="17"/>
              </w:rPr>
            </w:pPr>
            <w:r>
              <w:rPr>
                <w:rFonts w:ascii="Arial" w:hAnsi="Arial" w:cs="Arial"/>
                <w:b/>
                <w:color w:val="343433"/>
                <w:sz w:val="16"/>
                <w:szCs w:val="17"/>
              </w:rPr>
              <w:t>US Mid Cap Value</w:t>
            </w:r>
          </w:p>
        </w:tc>
        <w:tc>
          <w:tcPr>
            <w:tcW w:w="9180" w:type="dxa"/>
            <w:tcBorders>
              <w:top w:val="single" w:sz="4" w:space="0" w:color="E7E6E6"/>
              <w:left w:val="single" w:sz="4" w:space="0" w:color="E7E6E6"/>
              <w:bottom w:val="single" w:sz="4" w:space="0" w:color="E7E6E6"/>
              <w:right w:val="single" w:sz="4" w:space="0" w:color="E7E6E6"/>
            </w:tcBorders>
          </w:tcPr>
          <w:p w14:paraId="5B975B87" w14:textId="5F45B015" w:rsidR="004A70CE" w:rsidRPr="0086319B" w:rsidRDefault="00334AF7" w:rsidP="00A27DE3">
            <w:pPr>
              <w:spacing w:after="120"/>
              <w:rPr>
                <w:rFonts w:ascii="Arial" w:hAnsi="Arial" w:cs="Arial"/>
                <w:b/>
                <w:color w:val="000000"/>
                <w:sz w:val="16"/>
                <w:szCs w:val="16"/>
              </w:rPr>
            </w:pPr>
            <w:r w:rsidRPr="009B6440">
              <w:rPr>
                <w:rFonts w:ascii="Arial" w:hAnsi="Arial" w:cs="Arial"/>
                <w:b/>
                <w:color w:val="343433"/>
                <w:sz w:val="16"/>
                <w:szCs w:val="17"/>
              </w:rPr>
              <w:t>S&amp;P 400 Value</w:t>
            </w:r>
            <w:r>
              <w:rPr>
                <w:rFonts w:ascii="Arial" w:hAnsi="Arial" w:cs="Arial"/>
                <w:b/>
                <w:color w:val="000000"/>
                <w:sz w:val="16"/>
                <w:szCs w:val="16"/>
              </w:rPr>
              <w:t xml:space="preserve"> </w:t>
            </w:r>
            <w:r w:rsidRPr="00334AF7">
              <w:rPr>
                <w:rFonts w:ascii="Arial" w:hAnsi="Arial" w:cs="Arial"/>
                <w:bCs/>
                <w:color w:val="000000"/>
                <w:sz w:val="16"/>
                <w:szCs w:val="16"/>
              </w:rPr>
              <w:t>– measures the performance of the mid cap value segment of the US equity market.</w:t>
            </w:r>
          </w:p>
        </w:tc>
      </w:tr>
      <w:tr w:rsidR="004A70CE" w14:paraId="6D9F2941"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10FEA055" w14:textId="04E16AE5" w:rsidR="004A70CE" w:rsidRDefault="004A70CE" w:rsidP="00A27DE3">
            <w:pPr>
              <w:spacing w:after="160"/>
              <w:rPr>
                <w:rFonts w:ascii="Arial" w:hAnsi="Arial" w:cs="Arial"/>
                <w:b/>
                <w:color w:val="343433"/>
                <w:sz w:val="16"/>
                <w:szCs w:val="17"/>
              </w:rPr>
            </w:pPr>
            <w:r>
              <w:rPr>
                <w:rFonts w:ascii="Arial" w:hAnsi="Arial" w:cs="Arial"/>
                <w:b/>
                <w:color w:val="343433"/>
                <w:sz w:val="16"/>
                <w:szCs w:val="17"/>
              </w:rPr>
              <w:t>US Mid Cap Growth</w:t>
            </w:r>
          </w:p>
        </w:tc>
        <w:tc>
          <w:tcPr>
            <w:tcW w:w="9180" w:type="dxa"/>
            <w:tcBorders>
              <w:top w:val="single" w:sz="4" w:space="0" w:color="E7E6E6"/>
              <w:left w:val="single" w:sz="4" w:space="0" w:color="E7E6E6"/>
              <w:bottom w:val="single" w:sz="4" w:space="0" w:color="E7E6E6"/>
              <w:right w:val="single" w:sz="4" w:space="0" w:color="E7E6E6"/>
            </w:tcBorders>
          </w:tcPr>
          <w:p w14:paraId="13598DBC" w14:textId="1DDC3A71" w:rsidR="004A70CE" w:rsidRPr="0086319B" w:rsidRDefault="00334AF7" w:rsidP="00A27DE3">
            <w:pPr>
              <w:spacing w:after="120"/>
              <w:rPr>
                <w:rFonts w:ascii="Arial" w:hAnsi="Arial" w:cs="Arial"/>
                <w:b/>
                <w:color w:val="000000"/>
                <w:sz w:val="16"/>
                <w:szCs w:val="16"/>
              </w:rPr>
            </w:pPr>
            <w:r w:rsidRPr="009B6440">
              <w:rPr>
                <w:rFonts w:ascii="Arial" w:hAnsi="Arial" w:cs="Arial"/>
                <w:b/>
                <w:color w:val="343433"/>
                <w:sz w:val="16"/>
                <w:szCs w:val="17"/>
              </w:rPr>
              <w:t>S&amp;P 400 Growth</w:t>
            </w:r>
            <w:r>
              <w:rPr>
                <w:rFonts w:ascii="Arial" w:hAnsi="Arial" w:cs="Arial"/>
                <w:b/>
                <w:color w:val="000000"/>
                <w:sz w:val="16"/>
                <w:szCs w:val="16"/>
              </w:rPr>
              <w:t xml:space="preserve"> </w:t>
            </w:r>
            <w:r w:rsidRPr="00334AF7">
              <w:rPr>
                <w:rFonts w:ascii="Arial" w:hAnsi="Arial" w:cs="Arial"/>
                <w:bCs/>
                <w:color w:val="000000"/>
                <w:sz w:val="16"/>
                <w:szCs w:val="16"/>
              </w:rPr>
              <w:t>– meas</w:t>
            </w:r>
            <w:r>
              <w:rPr>
                <w:rFonts w:ascii="Arial" w:hAnsi="Arial" w:cs="Arial"/>
                <w:bCs/>
                <w:color w:val="000000"/>
                <w:sz w:val="16"/>
                <w:szCs w:val="16"/>
              </w:rPr>
              <w:t>ures the performance of the mid cap growth segment of the US equity market</w:t>
            </w:r>
          </w:p>
        </w:tc>
      </w:tr>
      <w:tr w:rsidR="004A70CE" w14:paraId="7C142D89"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7182B7DD" w14:textId="3ED9E4B6" w:rsidR="004A70CE" w:rsidRDefault="004A70CE" w:rsidP="00A27DE3">
            <w:pPr>
              <w:spacing w:after="160"/>
              <w:rPr>
                <w:rFonts w:ascii="Arial" w:hAnsi="Arial" w:cs="Arial"/>
                <w:b/>
                <w:color w:val="343433"/>
                <w:sz w:val="16"/>
                <w:szCs w:val="17"/>
              </w:rPr>
            </w:pPr>
            <w:r>
              <w:rPr>
                <w:rFonts w:ascii="Arial" w:hAnsi="Arial" w:cs="Arial"/>
                <w:b/>
                <w:color w:val="343433"/>
                <w:sz w:val="16"/>
                <w:szCs w:val="17"/>
              </w:rPr>
              <w:t>US Large Cap Value</w:t>
            </w:r>
          </w:p>
        </w:tc>
        <w:tc>
          <w:tcPr>
            <w:tcW w:w="9180" w:type="dxa"/>
            <w:tcBorders>
              <w:top w:val="single" w:sz="4" w:space="0" w:color="E7E6E6"/>
              <w:left w:val="single" w:sz="4" w:space="0" w:color="E7E6E6"/>
              <w:bottom w:val="single" w:sz="4" w:space="0" w:color="E7E6E6"/>
              <w:right w:val="single" w:sz="4" w:space="0" w:color="E7E6E6"/>
            </w:tcBorders>
          </w:tcPr>
          <w:p w14:paraId="3ED492E5" w14:textId="078D79DB" w:rsidR="004A70CE" w:rsidRPr="0086319B" w:rsidRDefault="00334AF7" w:rsidP="00A27DE3">
            <w:pPr>
              <w:spacing w:after="120"/>
              <w:rPr>
                <w:rFonts w:ascii="Arial" w:hAnsi="Arial" w:cs="Arial"/>
                <w:b/>
                <w:color w:val="000000"/>
                <w:sz w:val="16"/>
                <w:szCs w:val="16"/>
              </w:rPr>
            </w:pPr>
            <w:r w:rsidRPr="009B6440">
              <w:rPr>
                <w:rFonts w:ascii="Arial" w:hAnsi="Arial" w:cs="Arial"/>
                <w:b/>
                <w:color w:val="343433"/>
                <w:sz w:val="16"/>
                <w:szCs w:val="17"/>
              </w:rPr>
              <w:t>S&amp;P 500 Value</w:t>
            </w:r>
            <w:r>
              <w:rPr>
                <w:rFonts w:ascii="Arial" w:hAnsi="Arial" w:cs="Arial"/>
                <w:b/>
                <w:color w:val="000000"/>
                <w:sz w:val="16"/>
                <w:szCs w:val="16"/>
              </w:rPr>
              <w:t xml:space="preserve"> </w:t>
            </w:r>
            <w:r w:rsidRPr="00334AF7">
              <w:rPr>
                <w:rFonts w:ascii="Arial" w:hAnsi="Arial" w:cs="Arial"/>
                <w:bCs/>
                <w:color w:val="000000"/>
                <w:sz w:val="16"/>
                <w:szCs w:val="16"/>
              </w:rPr>
              <w:t>– measures the performance of the large cap value segment of the US equity market</w:t>
            </w:r>
          </w:p>
        </w:tc>
      </w:tr>
      <w:tr w:rsidR="004A70CE" w14:paraId="73745119"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6CEA7CC6" w14:textId="12C18084" w:rsidR="004A70CE" w:rsidRDefault="004A70CE" w:rsidP="00A27DE3">
            <w:pPr>
              <w:spacing w:after="160"/>
              <w:rPr>
                <w:rFonts w:ascii="Arial" w:hAnsi="Arial" w:cs="Arial"/>
                <w:b/>
                <w:color w:val="343433"/>
                <w:sz w:val="16"/>
                <w:szCs w:val="17"/>
              </w:rPr>
            </w:pPr>
            <w:r>
              <w:rPr>
                <w:rFonts w:ascii="Arial" w:hAnsi="Arial" w:cs="Arial"/>
                <w:b/>
                <w:color w:val="343433"/>
                <w:sz w:val="16"/>
                <w:szCs w:val="17"/>
              </w:rPr>
              <w:t>US Large Cap Growth</w:t>
            </w:r>
          </w:p>
        </w:tc>
        <w:tc>
          <w:tcPr>
            <w:tcW w:w="9180" w:type="dxa"/>
            <w:tcBorders>
              <w:top w:val="single" w:sz="4" w:space="0" w:color="E7E6E6"/>
              <w:left w:val="single" w:sz="4" w:space="0" w:color="E7E6E6"/>
              <w:bottom w:val="single" w:sz="4" w:space="0" w:color="E7E6E6"/>
              <w:right w:val="single" w:sz="4" w:space="0" w:color="E7E6E6"/>
            </w:tcBorders>
          </w:tcPr>
          <w:p w14:paraId="7AC1AF70" w14:textId="00256E1D" w:rsidR="004A70CE" w:rsidRPr="0086319B" w:rsidRDefault="00334AF7" w:rsidP="00A27DE3">
            <w:pPr>
              <w:spacing w:after="120"/>
              <w:rPr>
                <w:rFonts w:ascii="Arial" w:hAnsi="Arial" w:cs="Arial"/>
                <w:b/>
                <w:color w:val="000000"/>
                <w:sz w:val="16"/>
                <w:szCs w:val="16"/>
              </w:rPr>
            </w:pPr>
            <w:r w:rsidRPr="009B6440">
              <w:rPr>
                <w:rFonts w:ascii="Arial" w:hAnsi="Arial" w:cs="Arial"/>
                <w:b/>
                <w:color w:val="343433"/>
                <w:sz w:val="16"/>
                <w:szCs w:val="17"/>
              </w:rPr>
              <w:t>S&amp;P 500 Growth</w:t>
            </w:r>
            <w:r>
              <w:rPr>
                <w:rFonts w:ascii="Arial" w:hAnsi="Arial" w:cs="Arial"/>
                <w:b/>
                <w:color w:val="000000"/>
                <w:sz w:val="16"/>
                <w:szCs w:val="16"/>
              </w:rPr>
              <w:t xml:space="preserve"> </w:t>
            </w:r>
            <w:r w:rsidRPr="00334AF7">
              <w:rPr>
                <w:rFonts w:ascii="Arial" w:hAnsi="Arial" w:cs="Arial"/>
                <w:bCs/>
                <w:color w:val="000000"/>
                <w:sz w:val="16"/>
                <w:szCs w:val="16"/>
              </w:rPr>
              <w:t>– measures the performance of the large cap growth segment of the US equity market</w:t>
            </w:r>
          </w:p>
        </w:tc>
      </w:tr>
      <w:tr w:rsidR="00A27DE3" w14:paraId="2BF00A1F"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2F689800" w14:textId="6F64AC50" w:rsidR="00A27DE3" w:rsidRDefault="00A27DE3" w:rsidP="00A27DE3">
            <w:pPr>
              <w:spacing w:after="160"/>
              <w:rPr>
                <w:rFonts w:ascii="Arial" w:hAnsi="Arial" w:cs="Arial"/>
                <w:b/>
                <w:color w:val="343433"/>
                <w:sz w:val="16"/>
                <w:szCs w:val="17"/>
              </w:rPr>
            </w:pPr>
            <w:r>
              <w:rPr>
                <w:rFonts w:ascii="Arial" w:hAnsi="Arial" w:cs="Arial"/>
                <w:b/>
                <w:color w:val="343433"/>
                <w:sz w:val="16"/>
                <w:szCs w:val="17"/>
              </w:rPr>
              <w:t>US Bonds</w:t>
            </w:r>
          </w:p>
        </w:tc>
        <w:tc>
          <w:tcPr>
            <w:tcW w:w="9180" w:type="dxa"/>
            <w:tcBorders>
              <w:top w:val="single" w:sz="4" w:space="0" w:color="E7E6E6"/>
              <w:left w:val="single" w:sz="4" w:space="0" w:color="E7E6E6"/>
              <w:bottom w:val="single" w:sz="4" w:space="0" w:color="E7E6E6"/>
              <w:right w:val="single" w:sz="4" w:space="0" w:color="E7E6E6"/>
            </w:tcBorders>
          </w:tcPr>
          <w:p w14:paraId="5A9BF417" w14:textId="414ACADE" w:rsidR="00A27DE3" w:rsidRPr="0040163B" w:rsidRDefault="00A27DE3" w:rsidP="00A27DE3">
            <w:pPr>
              <w:spacing w:after="120"/>
              <w:rPr>
                <w:rFonts w:ascii="Arial" w:hAnsi="Arial" w:cs="Arial"/>
                <w:b/>
                <w:color w:val="343433"/>
                <w:sz w:val="16"/>
                <w:szCs w:val="17"/>
              </w:rPr>
            </w:pPr>
            <w:r>
              <w:rPr>
                <w:rFonts w:ascii="Arial" w:hAnsi="Arial" w:cs="Arial"/>
                <w:b/>
                <w:color w:val="343433"/>
                <w:sz w:val="16"/>
                <w:szCs w:val="17"/>
              </w:rPr>
              <w:t xml:space="preserve">Bloomberg US Aggregate </w:t>
            </w:r>
            <w:r w:rsidRPr="009B6440">
              <w:rPr>
                <w:rFonts w:ascii="Arial" w:hAnsi="Arial" w:cs="Arial"/>
                <w:bCs/>
                <w:color w:val="000000"/>
                <w:sz w:val="16"/>
                <w:szCs w:val="16"/>
              </w:rPr>
              <w:t>—</w:t>
            </w:r>
            <w:r w:rsidRPr="009B6440">
              <w:rPr>
                <w:rFonts w:ascii="Arial" w:hAnsi="Arial" w:cs="Arial"/>
                <w:b/>
                <w:color w:val="000000"/>
                <w:sz w:val="16"/>
                <w:szCs w:val="16"/>
              </w:rPr>
              <w:t xml:space="preserve"> </w:t>
            </w:r>
            <w:r>
              <w:rPr>
                <w:rFonts w:ascii="Arial" w:hAnsi="Arial" w:cs="Arial"/>
                <w:color w:val="343433"/>
                <w:sz w:val="16"/>
                <w:szCs w:val="17"/>
              </w:rPr>
              <w:t xml:space="preserve">measures the market of USD-denominated, investment grade, fixed-rate taxable bond market of SEC-registered securities, including bonds from the Treasury, government-related, corporate, mortgage-backed securities (agency fixed-rate and hybrid ARM passthroughs), ABS and CMBS sectors. US Agency Hybrid </w:t>
            </w:r>
            <w:proofErr w:type="gramStart"/>
            <w:r>
              <w:rPr>
                <w:rFonts w:ascii="Arial" w:hAnsi="Arial" w:cs="Arial"/>
                <w:color w:val="343433"/>
                <w:sz w:val="16"/>
                <w:szCs w:val="17"/>
              </w:rPr>
              <w:t>Adjustable Rate</w:t>
            </w:r>
            <w:proofErr w:type="gramEnd"/>
            <w:r>
              <w:rPr>
                <w:rFonts w:ascii="Arial" w:hAnsi="Arial" w:cs="Arial"/>
                <w:color w:val="343433"/>
                <w:sz w:val="16"/>
                <w:szCs w:val="17"/>
              </w:rPr>
              <w:t xml:space="preserve"> Mortgage (ARM) securities were added to the US Aggregate Index on April 1, 2007. </w:t>
            </w:r>
          </w:p>
        </w:tc>
      </w:tr>
      <w:tr w:rsidR="00A27DE3" w14:paraId="563AD8AD"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724671F2" w14:textId="042C2D37" w:rsidR="00A27DE3" w:rsidRDefault="00A27DE3" w:rsidP="00A27DE3">
            <w:pPr>
              <w:spacing w:after="160"/>
              <w:rPr>
                <w:rFonts w:ascii="Arial" w:hAnsi="Arial" w:cs="Arial"/>
                <w:b/>
                <w:color w:val="343433"/>
                <w:sz w:val="16"/>
                <w:szCs w:val="17"/>
              </w:rPr>
            </w:pPr>
            <w:r>
              <w:rPr>
                <w:rFonts w:ascii="Arial" w:hAnsi="Arial" w:cs="Arial"/>
                <w:b/>
                <w:color w:val="343433"/>
                <w:sz w:val="16"/>
                <w:szCs w:val="17"/>
              </w:rPr>
              <w:t>International Bonds</w:t>
            </w:r>
          </w:p>
        </w:tc>
        <w:tc>
          <w:tcPr>
            <w:tcW w:w="9180" w:type="dxa"/>
            <w:tcBorders>
              <w:top w:val="single" w:sz="4" w:space="0" w:color="E7E6E6"/>
              <w:left w:val="single" w:sz="4" w:space="0" w:color="E7E6E6"/>
              <w:bottom w:val="single" w:sz="4" w:space="0" w:color="E7E6E6"/>
              <w:right w:val="single" w:sz="4" w:space="0" w:color="E7E6E6"/>
            </w:tcBorders>
          </w:tcPr>
          <w:p w14:paraId="138E540B" w14:textId="04F7F5B7" w:rsidR="00A27DE3" w:rsidRPr="005C0619" w:rsidRDefault="00A27DE3" w:rsidP="00A27DE3">
            <w:pPr>
              <w:spacing w:after="120"/>
              <w:rPr>
                <w:rFonts w:ascii="Arial" w:hAnsi="Arial" w:cs="Arial"/>
                <w:color w:val="343433"/>
                <w:sz w:val="16"/>
                <w:szCs w:val="17"/>
              </w:rPr>
            </w:pPr>
            <w:r w:rsidRPr="0040163B">
              <w:rPr>
                <w:rFonts w:ascii="Arial" w:hAnsi="Arial" w:cs="Arial"/>
                <w:b/>
                <w:color w:val="343433"/>
                <w:sz w:val="16"/>
                <w:szCs w:val="17"/>
              </w:rPr>
              <w:t>Bloomberg Global Aggregate ex USD</w:t>
            </w:r>
            <w:r w:rsidRPr="0040163B">
              <w:rPr>
                <w:rFonts w:ascii="Arial" w:hAnsi="Arial" w:cs="Arial"/>
                <w:color w:val="343433"/>
                <w:sz w:val="16"/>
                <w:szCs w:val="17"/>
              </w:rPr>
              <w:t xml:space="preserve"> - is a flagship hard currency Emerg</w:t>
            </w:r>
            <w:r>
              <w:rPr>
                <w:rFonts w:ascii="Arial" w:hAnsi="Arial" w:cs="Arial"/>
                <w:color w:val="343433"/>
                <w:sz w:val="16"/>
                <w:szCs w:val="17"/>
              </w:rPr>
              <w:t>ing</w:t>
            </w:r>
            <w:r w:rsidRPr="0040163B">
              <w:rPr>
                <w:rFonts w:ascii="Arial" w:hAnsi="Arial" w:cs="Arial"/>
                <w:color w:val="343433"/>
                <w:sz w:val="16"/>
                <w:szCs w:val="17"/>
              </w:rPr>
              <w:t xml:space="preserve"> Markets debt benchmark that includes fixed and floating-rate US dollar-denominated debt issued from sovereign, quasi-sovereign, and corporate EM issuers. Country eligibility and classification as Emerging Markets is rules-based and reviewed annually using World Bank income group and International Monetary Fund (IMF) country classification.</w:t>
            </w:r>
          </w:p>
        </w:tc>
      </w:tr>
      <w:tr w:rsidR="00A27DE3" w14:paraId="660109FC"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2A9744E8" w14:textId="2CBBC206" w:rsidR="00A27DE3" w:rsidRDefault="00A27DE3" w:rsidP="00A27DE3">
            <w:pPr>
              <w:spacing w:after="160"/>
              <w:rPr>
                <w:rFonts w:ascii="Arial" w:hAnsi="Arial" w:cs="Arial"/>
                <w:b/>
                <w:color w:val="343433"/>
                <w:sz w:val="16"/>
                <w:szCs w:val="17"/>
              </w:rPr>
            </w:pPr>
            <w:r>
              <w:rPr>
                <w:rFonts w:ascii="Arial" w:hAnsi="Arial" w:cs="Arial"/>
                <w:b/>
                <w:color w:val="343433"/>
                <w:sz w:val="16"/>
                <w:szCs w:val="17"/>
              </w:rPr>
              <w:t>Emerging Markets Bonds</w:t>
            </w:r>
          </w:p>
        </w:tc>
        <w:tc>
          <w:tcPr>
            <w:tcW w:w="9180" w:type="dxa"/>
            <w:tcBorders>
              <w:top w:val="single" w:sz="4" w:space="0" w:color="E7E6E6"/>
              <w:left w:val="single" w:sz="4" w:space="0" w:color="E7E6E6"/>
              <w:bottom w:val="single" w:sz="4" w:space="0" w:color="E7E6E6"/>
              <w:right w:val="single" w:sz="4" w:space="0" w:color="E7E6E6"/>
            </w:tcBorders>
          </w:tcPr>
          <w:p w14:paraId="083B4CE1" w14:textId="7570E0A4" w:rsidR="00A27DE3" w:rsidRPr="00D17BCA" w:rsidRDefault="00A27DE3" w:rsidP="00A27DE3">
            <w:pPr>
              <w:spacing w:after="160"/>
              <w:rPr>
                <w:rFonts w:ascii="Arial" w:hAnsi="Arial" w:cs="Arial"/>
                <w:color w:val="343433"/>
                <w:sz w:val="16"/>
                <w:szCs w:val="17"/>
              </w:rPr>
            </w:pPr>
            <w:r w:rsidRPr="0040163B">
              <w:rPr>
                <w:rFonts w:ascii="Arial" w:hAnsi="Arial" w:cs="Arial"/>
                <w:b/>
                <w:color w:val="343433"/>
                <w:sz w:val="16"/>
                <w:szCs w:val="17"/>
              </w:rPr>
              <w:t>Bloomberg Emerging Markets USD Aggregate</w:t>
            </w:r>
            <w:r w:rsidRPr="0040163B">
              <w:rPr>
                <w:rFonts w:ascii="Arial" w:hAnsi="Arial" w:cs="Arial"/>
                <w:color w:val="343433"/>
                <w:sz w:val="16"/>
                <w:szCs w:val="17"/>
              </w:rPr>
              <w:t xml:space="preserve"> - is a </w:t>
            </w:r>
            <w:r>
              <w:rPr>
                <w:rFonts w:ascii="Arial" w:hAnsi="Arial" w:cs="Arial"/>
                <w:color w:val="343433"/>
                <w:sz w:val="16"/>
                <w:szCs w:val="17"/>
              </w:rPr>
              <w:t>flagship hard currency Emerging</w:t>
            </w:r>
            <w:r w:rsidRPr="0040163B">
              <w:rPr>
                <w:rFonts w:ascii="Arial" w:hAnsi="Arial" w:cs="Arial"/>
                <w:color w:val="343433"/>
                <w:sz w:val="16"/>
                <w:szCs w:val="17"/>
              </w:rPr>
              <w:t xml:space="preserve"> Markets debt benchmark that includes fixed and floating-rate US dollar-denominated debt issued from sovereign, quasi-sovereign, and corporate EM issuers. Country eligibility and classification as Emerging Markets is rules-based and reviewed annually using World Bank income group and International Monetary Fund (IMF) country classification.</w:t>
            </w:r>
          </w:p>
        </w:tc>
      </w:tr>
      <w:tr w:rsidR="00A27DE3" w14:paraId="4B1FDE88"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4A7E2563" w14:textId="2C6CF1E9" w:rsidR="00A27DE3" w:rsidRDefault="00A27DE3" w:rsidP="00A27DE3">
            <w:pPr>
              <w:spacing w:after="160"/>
              <w:rPr>
                <w:rFonts w:ascii="Arial" w:hAnsi="Arial" w:cs="Arial"/>
                <w:b/>
                <w:color w:val="343433"/>
                <w:sz w:val="16"/>
                <w:szCs w:val="17"/>
              </w:rPr>
            </w:pPr>
            <w:r>
              <w:rPr>
                <w:rFonts w:ascii="Arial" w:hAnsi="Arial" w:cs="Arial"/>
                <w:b/>
                <w:color w:val="343433"/>
                <w:sz w:val="16"/>
                <w:szCs w:val="17"/>
              </w:rPr>
              <w:t>TIPS</w:t>
            </w:r>
          </w:p>
        </w:tc>
        <w:tc>
          <w:tcPr>
            <w:tcW w:w="9180" w:type="dxa"/>
            <w:tcBorders>
              <w:top w:val="single" w:sz="4" w:space="0" w:color="E7E6E6"/>
              <w:left w:val="single" w:sz="4" w:space="0" w:color="E7E6E6"/>
              <w:bottom w:val="single" w:sz="4" w:space="0" w:color="E7E6E6"/>
              <w:right w:val="single" w:sz="4" w:space="0" w:color="E7E6E6"/>
            </w:tcBorders>
          </w:tcPr>
          <w:p w14:paraId="646D2B38" w14:textId="0241B1D7" w:rsidR="00A27DE3" w:rsidRPr="0040163B" w:rsidRDefault="00431ABC" w:rsidP="00A27DE3">
            <w:pPr>
              <w:spacing w:after="160"/>
              <w:rPr>
                <w:rFonts w:ascii="Arial" w:hAnsi="Arial" w:cs="Arial"/>
                <w:b/>
                <w:color w:val="343433"/>
                <w:sz w:val="16"/>
                <w:szCs w:val="17"/>
              </w:rPr>
            </w:pPr>
            <w:r>
              <w:rPr>
                <w:rFonts w:ascii="Arial" w:hAnsi="Arial" w:cs="Arial"/>
                <w:b/>
                <w:color w:val="343433"/>
                <w:sz w:val="16"/>
                <w:szCs w:val="17"/>
              </w:rPr>
              <w:t>B</w:t>
            </w:r>
            <w:r w:rsidR="00BB3771">
              <w:rPr>
                <w:rFonts w:ascii="Arial" w:hAnsi="Arial" w:cs="Arial"/>
                <w:b/>
                <w:color w:val="343433"/>
                <w:sz w:val="16"/>
                <w:szCs w:val="17"/>
              </w:rPr>
              <w:t>loomberg</w:t>
            </w:r>
            <w:r>
              <w:rPr>
                <w:rFonts w:ascii="Arial" w:hAnsi="Arial" w:cs="Arial"/>
                <w:b/>
                <w:color w:val="343433"/>
                <w:sz w:val="16"/>
                <w:szCs w:val="17"/>
              </w:rPr>
              <w:t xml:space="preserve"> US TIPS</w:t>
            </w:r>
            <w:r w:rsidR="00A27DE3">
              <w:rPr>
                <w:rFonts w:ascii="Arial" w:hAnsi="Arial" w:cs="Arial"/>
                <w:b/>
                <w:color w:val="343433"/>
                <w:sz w:val="16"/>
                <w:szCs w:val="17"/>
              </w:rPr>
              <w:t xml:space="preserve"> </w:t>
            </w:r>
            <w:r w:rsidR="00A27DE3" w:rsidRPr="00431ABC">
              <w:rPr>
                <w:rFonts w:ascii="Arial" w:hAnsi="Arial" w:cs="Arial"/>
                <w:bCs/>
                <w:color w:val="343433"/>
                <w:sz w:val="16"/>
                <w:szCs w:val="17"/>
              </w:rPr>
              <w:t>-</w:t>
            </w:r>
            <w:r w:rsidR="00A27DE3">
              <w:rPr>
                <w:rFonts w:ascii="Arial" w:hAnsi="Arial" w:cs="Arial"/>
                <w:b/>
                <w:color w:val="343433"/>
                <w:sz w:val="16"/>
                <w:szCs w:val="17"/>
              </w:rPr>
              <w:t xml:space="preserve"> </w:t>
            </w:r>
            <w:r w:rsidRPr="00431ABC">
              <w:rPr>
                <w:rFonts w:ascii="Arial" w:hAnsi="Arial" w:cs="Arial"/>
                <w:color w:val="343433"/>
                <w:sz w:val="16"/>
                <w:szCs w:val="17"/>
              </w:rPr>
              <w:t>measures the performance of inflation-protected securities issued by the US Treasury.</w:t>
            </w:r>
          </w:p>
        </w:tc>
      </w:tr>
      <w:tr w:rsidR="00BB3771" w14:paraId="5DEB02D2"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0E6C8C1C" w14:textId="7F76BDF9" w:rsidR="00BB3771" w:rsidRDefault="00BB3771" w:rsidP="00A27DE3">
            <w:pPr>
              <w:spacing w:after="160"/>
              <w:rPr>
                <w:rFonts w:ascii="Arial" w:hAnsi="Arial" w:cs="Arial"/>
                <w:b/>
                <w:color w:val="343433"/>
                <w:sz w:val="16"/>
                <w:szCs w:val="17"/>
              </w:rPr>
            </w:pPr>
            <w:r>
              <w:rPr>
                <w:rFonts w:ascii="Arial" w:hAnsi="Arial" w:cs="Arial"/>
                <w:b/>
                <w:color w:val="343433"/>
                <w:sz w:val="16"/>
                <w:szCs w:val="17"/>
              </w:rPr>
              <w:t>US Long Treasuries</w:t>
            </w:r>
          </w:p>
        </w:tc>
        <w:tc>
          <w:tcPr>
            <w:tcW w:w="9180" w:type="dxa"/>
            <w:tcBorders>
              <w:top w:val="single" w:sz="4" w:space="0" w:color="E7E6E6"/>
              <w:left w:val="single" w:sz="4" w:space="0" w:color="E7E6E6"/>
              <w:bottom w:val="single" w:sz="4" w:space="0" w:color="E7E6E6"/>
              <w:right w:val="single" w:sz="4" w:space="0" w:color="E7E6E6"/>
            </w:tcBorders>
          </w:tcPr>
          <w:p w14:paraId="7547C8B0" w14:textId="5EF0F414" w:rsidR="00BB3771" w:rsidRPr="00BB3771" w:rsidRDefault="00BB3771" w:rsidP="00A27DE3">
            <w:pPr>
              <w:spacing w:after="160"/>
              <w:rPr>
                <w:rFonts w:ascii="Arial" w:hAnsi="Arial" w:cs="Arial"/>
                <w:bCs/>
                <w:color w:val="343433"/>
                <w:sz w:val="16"/>
                <w:szCs w:val="17"/>
              </w:rPr>
            </w:pPr>
            <w:r w:rsidRPr="00BB3771">
              <w:rPr>
                <w:rFonts w:ascii="Arial" w:hAnsi="Arial" w:cs="Arial"/>
                <w:b/>
                <w:color w:val="343433"/>
                <w:sz w:val="16"/>
                <w:szCs w:val="17"/>
              </w:rPr>
              <w:t>Bloomberg Long Treasuries</w:t>
            </w:r>
            <w:r>
              <w:rPr>
                <w:rFonts w:ascii="Arial" w:hAnsi="Arial" w:cs="Arial"/>
                <w:bCs/>
                <w:color w:val="343433"/>
                <w:sz w:val="16"/>
                <w:szCs w:val="17"/>
              </w:rPr>
              <w:t xml:space="preserve"> - </w:t>
            </w:r>
            <w:r w:rsidRPr="00BB3771">
              <w:rPr>
                <w:rFonts w:ascii="Arial" w:hAnsi="Arial" w:cs="Arial"/>
                <w:bCs/>
                <w:color w:val="343433"/>
                <w:sz w:val="16"/>
                <w:szCs w:val="17"/>
              </w:rPr>
              <w:t xml:space="preserve">measures the performance of </w:t>
            </w:r>
            <w:r>
              <w:rPr>
                <w:rFonts w:ascii="Arial" w:hAnsi="Arial" w:cs="Arial"/>
                <w:bCs/>
                <w:color w:val="343433"/>
                <w:sz w:val="16"/>
                <w:szCs w:val="17"/>
              </w:rPr>
              <w:t>long</w:t>
            </w:r>
            <w:r w:rsidRPr="00BB3771">
              <w:rPr>
                <w:rFonts w:ascii="Arial" w:hAnsi="Arial" w:cs="Arial"/>
                <w:bCs/>
                <w:color w:val="343433"/>
                <w:sz w:val="16"/>
                <w:szCs w:val="17"/>
              </w:rPr>
              <w:t>-term US Treasury bonds, including all publicly issued securities that have a remaining maturity of ten or more years, are: non-convertible, denominated in US dollars, rated investment-grade, fixed-rate and have $250 or more of outstanding face value.</w:t>
            </w:r>
          </w:p>
        </w:tc>
      </w:tr>
      <w:tr w:rsidR="00A27DE3" w14:paraId="42045002"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2F5B748E" w14:textId="3A3661E6" w:rsidR="00A27DE3" w:rsidRDefault="00A27DE3" w:rsidP="00A27DE3">
            <w:pPr>
              <w:spacing w:after="160"/>
              <w:rPr>
                <w:rFonts w:ascii="Arial" w:hAnsi="Arial" w:cs="Arial"/>
                <w:b/>
                <w:color w:val="343433"/>
                <w:sz w:val="16"/>
                <w:szCs w:val="17"/>
              </w:rPr>
            </w:pPr>
            <w:r>
              <w:rPr>
                <w:rFonts w:ascii="Arial" w:hAnsi="Arial" w:cs="Arial"/>
                <w:b/>
                <w:color w:val="343433"/>
                <w:sz w:val="16"/>
                <w:szCs w:val="17"/>
              </w:rPr>
              <w:t>High-Yield Bonds</w:t>
            </w:r>
          </w:p>
        </w:tc>
        <w:tc>
          <w:tcPr>
            <w:tcW w:w="9180" w:type="dxa"/>
            <w:tcBorders>
              <w:top w:val="single" w:sz="4" w:space="0" w:color="E7E6E6"/>
              <w:left w:val="single" w:sz="4" w:space="0" w:color="E7E6E6"/>
              <w:bottom w:val="single" w:sz="4" w:space="0" w:color="E7E6E6"/>
              <w:right w:val="single" w:sz="4" w:space="0" w:color="E7E6E6"/>
            </w:tcBorders>
          </w:tcPr>
          <w:p w14:paraId="62932521" w14:textId="535686DD" w:rsidR="00A27DE3" w:rsidRDefault="00A27DE3" w:rsidP="00A27DE3">
            <w:pPr>
              <w:spacing w:after="160"/>
              <w:rPr>
                <w:rFonts w:ascii="Arial" w:hAnsi="Arial" w:cs="Arial"/>
                <w:b/>
                <w:color w:val="343433"/>
                <w:sz w:val="16"/>
                <w:szCs w:val="17"/>
              </w:rPr>
            </w:pPr>
            <w:r w:rsidRPr="0040163B">
              <w:rPr>
                <w:rFonts w:ascii="Arial" w:hAnsi="Arial" w:cs="Arial"/>
                <w:b/>
                <w:color w:val="343433"/>
                <w:sz w:val="16"/>
                <w:szCs w:val="17"/>
              </w:rPr>
              <w:t>Bloomberg US Corporate High Yield</w:t>
            </w:r>
            <w:r w:rsidRPr="0040163B">
              <w:rPr>
                <w:rFonts w:ascii="Arial" w:hAnsi="Arial" w:cs="Arial"/>
                <w:color w:val="343433"/>
                <w:sz w:val="16"/>
                <w:szCs w:val="17"/>
              </w:rPr>
              <w:t xml:space="preserve"> - measures the market of USD-denominated, non-investment grade, fixed-rate, taxable corporate bonds. Securities are classified as high yield if the middle rating of Moody’s, Fitch, and S&amp;P is Ba1/BB+/BB+ or below. The index excludes emerging market debt.</w:t>
            </w:r>
          </w:p>
        </w:tc>
      </w:tr>
      <w:tr w:rsidR="00A27DE3" w14:paraId="60267239"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44F360E3" w14:textId="44B9B165" w:rsidR="00A27DE3" w:rsidRPr="002C384C" w:rsidRDefault="00A27DE3" w:rsidP="00A27DE3">
            <w:pPr>
              <w:spacing w:after="160"/>
              <w:rPr>
                <w:rFonts w:ascii="Arial" w:hAnsi="Arial" w:cs="Arial"/>
                <w:b/>
                <w:color w:val="343433"/>
                <w:sz w:val="16"/>
                <w:szCs w:val="17"/>
              </w:rPr>
            </w:pPr>
            <w:r w:rsidRPr="00FC2692">
              <w:rPr>
                <w:rFonts w:ascii="Arial" w:hAnsi="Arial" w:cs="Arial"/>
                <w:b/>
                <w:color w:val="343433"/>
                <w:sz w:val="16"/>
                <w:szCs w:val="17"/>
              </w:rPr>
              <w:t>Utilities</w:t>
            </w:r>
          </w:p>
        </w:tc>
        <w:tc>
          <w:tcPr>
            <w:tcW w:w="9180" w:type="dxa"/>
            <w:tcBorders>
              <w:top w:val="single" w:sz="4" w:space="0" w:color="E7E6E6"/>
              <w:left w:val="single" w:sz="4" w:space="0" w:color="E7E6E6"/>
              <w:bottom w:val="single" w:sz="4" w:space="0" w:color="E7E6E6"/>
              <w:right w:val="single" w:sz="4" w:space="0" w:color="E7E6E6"/>
            </w:tcBorders>
          </w:tcPr>
          <w:p w14:paraId="47D8B862" w14:textId="20B74EB3" w:rsidR="00A27DE3" w:rsidRPr="002C384C" w:rsidRDefault="00A27DE3" w:rsidP="00A27DE3">
            <w:pPr>
              <w:spacing w:after="160"/>
              <w:rPr>
                <w:rFonts w:ascii="Arial" w:hAnsi="Arial" w:cs="Arial"/>
                <w:color w:val="000000"/>
                <w:sz w:val="16"/>
                <w:szCs w:val="16"/>
              </w:rPr>
            </w:pPr>
            <w:r w:rsidRPr="002812BF">
              <w:rPr>
                <w:rFonts w:ascii="Arial" w:hAnsi="Arial" w:cs="Arial"/>
                <w:b/>
                <w:color w:val="343433"/>
                <w:sz w:val="16"/>
                <w:szCs w:val="17"/>
              </w:rPr>
              <w:t>S&amp;P 500 Sector</w:t>
            </w:r>
            <w:r w:rsidR="00FC2692" w:rsidRPr="002812BF">
              <w:rPr>
                <w:rFonts w:ascii="Arial" w:hAnsi="Arial" w:cs="Arial"/>
                <w:b/>
                <w:color w:val="343433"/>
                <w:sz w:val="16"/>
                <w:szCs w:val="17"/>
              </w:rPr>
              <w:t xml:space="preserve"> Utilities</w:t>
            </w:r>
            <w:r>
              <w:rPr>
                <w:rFonts w:ascii="Arial" w:hAnsi="Arial" w:cs="Arial"/>
                <w:b/>
                <w:color w:val="000000"/>
                <w:sz w:val="16"/>
                <w:szCs w:val="16"/>
              </w:rPr>
              <w:t xml:space="preserve"> - </w:t>
            </w:r>
            <w:r w:rsidR="00FC2692" w:rsidRPr="00FC2692">
              <w:rPr>
                <w:rFonts w:ascii="Arial" w:hAnsi="Arial" w:cs="Arial"/>
                <w:bCs/>
                <w:color w:val="000000"/>
                <w:sz w:val="16"/>
                <w:szCs w:val="16"/>
              </w:rPr>
              <w:t xml:space="preserve">measures the performance of companies that product, generate, transmit or distribute electricity, </w:t>
            </w:r>
            <w:proofErr w:type="gramStart"/>
            <w:r w:rsidR="00FC2692" w:rsidRPr="00FC2692">
              <w:rPr>
                <w:rFonts w:ascii="Arial" w:hAnsi="Arial" w:cs="Arial"/>
                <w:bCs/>
                <w:color w:val="000000"/>
                <w:sz w:val="16"/>
                <w:szCs w:val="16"/>
              </w:rPr>
              <w:t>water</w:t>
            </w:r>
            <w:proofErr w:type="gramEnd"/>
            <w:r w:rsidR="00FC2692" w:rsidRPr="00FC2692">
              <w:rPr>
                <w:rFonts w:ascii="Arial" w:hAnsi="Arial" w:cs="Arial"/>
                <w:bCs/>
                <w:color w:val="000000"/>
                <w:sz w:val="16"/>
                <w:szCs w:val="16"/>
              </w:rPr>
              <w:t xml:space="preserve"> or natural gas, and also includes power producers &amp; energy traders and companies that engage in generation and distribution of electricity using renewable sources</w:t>
            </w:r>
            <w:r w:rsidRPr="00BD5DF5">
              <w:rPr>
                <w:rFonts w:ascii="Arial" w:hAnsi="Arial" w:cs="Arial"/>
                <w:bCs/>
                <w:color w:val="000000"/>
                <w:sz w:val="16"/>
                <w:szCs w:val="16"/>
              </w:rPr>
              <w:t>.</w:t>
            </w:r>
          </w:p>
        </w:tc>
      </w:tr>
      <w:tr w:rsidR="00A27DE3" w14:paraId="19E11C19"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5B09A424" w14:textId="32663A07" w:rsidR="00A27DE3" w:rsidRDefault="00A27DE3" w:rsidP="00A27DE3">
            <w:pPr>
              <w:spacing w:after="160"/>
              <w:rPr>
                <w:rFonts w:ascii="Arial" w:hAnsi="Arial" w:cs="Arial"/>
                <w:b/>
                <w:color w:val="343433"/>
                <w:sz w:val="16"/>
                <w:szCs w:val="17"/>
              </w:rPr>
            </w:pPr>
            <w:r>
              <w:rPr>
                <w:rFonts w:ascii="Arial" w:hAnsi="Arial" w:cs="Arial"/>
                <w:b/>
                <w:color w:val="343433"/>
                <w:sz w:val="16"/>
                <w:szCs w:val="17"/>
              </w:rPr>
              <w:t>Co</w:t>
            </w:r>
            <w:r w:rsidR="00BB3771">
              <w:rPr>
                <w:rFonts w:ascii="Arial" w:hAnsi="Arial" w:cs="Arial"/>
                <w:b/>
                <w:color w:val="343433"/>
                <w:sz w:val="16"/>
                <w:szCs w:val="17"/>
              </w:rPr>
              <w:t>mmunication Services</w:t>
            </w:r>
          </w:p>
        </w:tc>
        <w:tc>
          <w:tcPr>
            <w:tcW w:w="9180" w:type="dxa"/>
            <w:tcBorders>
              <w:top w:val="single" w:sz="4" w:space="0" w:color="E7E6E6"/>
              <w:left w:val="single" w:sz="4" w:space="0" w:color="E7E6E6"/>
              <w:bottom w:val="single" w:sz="4" w:space="0" w:color="E7E6E6"/>
              <w:right w:val="single" w:sz="4" w:space="0" w:color="E7E6E6"/>
            </w:tcBorders>
          </w:tcPr>
          <w:p w14:paraId="1BEACDAD" w14:textId="096303DA" w:rsidR="00A27DE3" w:rsidRPr="00FC2692" w:rsidRDefault="00FC2692" w:rsidP="00A27DE3">
            <w:pPr>
              <w:spacing w:after="160"/>
              <w:rPr>
                <w:rFonts w:ascii="Arial" w:hAnsi="Arial" w:cs="Arial"/>
                <w:bCs/>
                <w:color w:val="000000"/>
                <w:sz w:val="16"/>
                <w:szCs w:val="16"/>
              </w:rPr>
            </w:pPr>
            <w:r w:rsidRPr="002812BF">
              <w:rPr>
                <w:rFonts w:ascii="Arial" w:hAnsi="Arial" w:cs="Arial"/>
                <w:b/>
                <w:color w:val="343433"/>
                <w:sz w:val="16"/>
                <w:szCs w:val="17"/>
              </w:rPr>
              <w:t>S&amp;P 500 Sector Co</w:t>
            </w:r>
            <w:r w:rsidR="00BB3771" w:rsidRPr="002812BF">
              <w:rPr>
                <w:rFonts w:ascii="Arial" w:hAnsi="Arial" w:cs="Arial"/>
                <w:b/>
                <w:color w:val="343433"/>
                <w:sz w:val="16"/>
                <w:szCs w:val="17"/>
              </w:rPr>
              <w:t>mmunication Services</w:t>
            </w:r>
            <w:r>
              <w:rPr>
                <w:rFonts w:ascii="Arial" w:hAnsi="Arial" w:cs="Arial"/>
                <w:b/>
                <w:color w:val="000000"/>
                <w:sz w:val="16"/>
                <w:szCs w:val="16"/>
              </w:rPr>
              <w:t xml:space="preserve"> - </w:t>
            </w:r>
            <w:r w:rsidR="00BB3771" w:rsidRPr="00BB3771">
              <w:rPr>
                <w:rFonts w:ascii="Arial" w:hAnsi="Arial" w:cs="Arial"/>
                <w:bCs/>
                <w:color w:val="000000"/>
                <w:sz w:val="16"/>
                <w:szCs w:val="16"/>
              </w:rPr>
              <w:t>measures the performance of companies from the media, retailing, and software &amp; services industries in the U.S</w:t>
            </w:r>
            <w:r w:rsidR="00BB3771">
              <w:rPr>
                <w:rFonts w:ascii="Arial" w:hAnsi="Arial" w:cs="Arial"/>
                <w:bCs/>
                <w:color w:val="000000"/>
                <w:sz w:val="16"/>
                <w:szCs w:val="16"/>
              </w:rPr>
              <w:t>.</w:t>
            </w:r>
          </w:p>
        </w:tc>
      </w:tr>
      <w:tr w:rsidR="00A27DE3" w14:paraId="55BBB1A9" w14:textId="77777777" w:rsidTr="00BB3771">
        <w:trPr>
          <w:trHeight w:val="833"/>
        </w:trPr>
        <w:tc>
          <w:tcPr>
            <w:tcW w:w="1615" w:type="dxa"/>
            <w:tcBorders>
              <w:top w:val="single" w:sz="4" w:space="0" w:color="E7E6E6"/>
              <w:left w:val="single" w:sz="4" w:space="0" w:color="E7E6E6"/>
              <w:bottom w:val="single" w:sz="4" w:space="0" w:color="E7E6E6"/>
              <w:right w:val="single" w:sz="4" w:space="0" w:color="E7E6E6"/>
            </w:tcBorders>
          </w:tcPr>
          <w:p w14:paraId="4F870CF7" w14:textId="64AC009D" w:rsidR="00BB3771" w:rsidRPr="009B6440" w:rsidRDefault="00BB3771" w:rsidP="00BB3771">
            <w:pPr>
              <w:spacing w:after="160"/>
              <w:rPr>
                <w:rFonts w:ascii="Arial" w:hAnsi="Arial" w:cs="Arial"/>
                <w:b/>
                <w:color w:val="343433"/>
                <w:sz w:val="16"/>
                <w:szCs w:val="17"/>
              </w:rPr>
            </w:pPr>
            <w:r w:rsidRPr="009B6440">
              <w:rPr>
                <w:rFonts w:ascii="Arial" w:hAnsi="Arial" w:cs="Arial"/>
                <w:b/>
                <w:color w:val="343433"/>
                <w:sz w:val="16"/>
                <w:szCs w:val="17"/>
              </w:rPr>
              <w:t>Consumer Discretionary</w:t>
            </w:r>
          </w:p>
          <w:p w14:paraId="31F6983A" w14:textId="2265F044" w:rsidR="00A27DE3" w:rsidRPr="002C384C" w:rsidRDefault="00A27DE3" w:rsidP="00A27DE3">
            <w:pPr>
              <w:spacing w:after="160"/>
              <w:rPr>
                <w:rFonts w:ascii="Arial" w:hAnsi="Arial" w:cs="Arial"/>
                <w:b/>
                <w:color w:val="343433"/>
                <w:sz w:val="16"/>
                <w:szCs w:val="17"/>
              </w:rPr>
            </w:pPr>
          </w:p>
        </w:tc>
        <w:tc>
          <w:tcPr>
            <w:tcW w:w="9180" w:type="dxa"/>
            <w:tcBorders>
              <w:top w:val="single" w:sz="4" w:space="0" w:color="E7E6E6"/>
              <w:left w:val="single" w:sz="4" w:space="0" w:color="E7E6E6"/>
              <w:bottom w:val="single" w:sz="4" w:space="0" w:color="E7E6E6"/>
              <w:right w:val="single" w:sz="4" w:space="0" w:color="E7E6E6"/>
            </w:tcBorders>
          </w:tcPr>
          <w:p w14:paraId="5C3AC59B" w14:textId="1CBE5CF1" w:rsidR="00A27DE3" w:rsidRPr="002C384C" w:rsidRDefault="00A27DE3" w:rsidP="00BB3771">
            <w:pPr>
              <w:spacing w:after="160"/>
              <w:rPr>
                <w:rFonts w:ascii="Arial" w:hAnsi="Arial" w:cs="Arial"/>
                <w:color w:val="000000"/>
                <w:sz w:val="16"/>
                <w:szCs w:val="16"/>
              </w:rPr>
            </w:pPr>
            <w:r w:rsidRPr="002812BF">
              <w:rPr>
                <w:rFonts w:ascii="Arial" w:hAnsi="Arial" w:cs="Arial"/>
                <w:b/>
                <w:color w:val="343433"/>
                <w:sz w:val="16"/>
                <w:szCs w:val="17"/>
              </w:rPr>
              <w:t xml:space="preserve">S&amp;P 500 </w:t>
            </w:r>
            <w:r w:rsidR="00BB3771" w:rsidRPr="002812BF">
              <w:rPr>
                <w:rFonts w:ascii="Arial" w:hAnsi="Arial" w:cs="Arial"/>
                <w:b/>
                <w:color w:val="343433"/>
                <w:sz w:val="16"/>
                <w:szCs w:val="17"/>
              </w:rPr>
              <w:t>Consumer Discretionary</w:t>
            </w:r>
            <w:r w:rsidRPr="002812BF">
              <w:rPr>
                <w:rFonts w:ascii="Arial" w:hAnsi="Arial" w:cs="Arial"/>
                <w:b/>
                <w:color w:val="343433"/>
                <w:sz w:val="16"/>
                <w:szCs w:val="17"/>
              </w:rPr>
              <w:t xml:space="preserve"> Sector</w:t>
            </w:r>
            <w:r>
              <w:rPr>
                <w:rFonts w:ascii="Arial" w:hAnsi="Arial" w:cs="Arial"/>
                <w:color w:val="000000"/>
                <w:sz w:val="16"/>
                <w:szCs w:val="16"/>
              </w:rPr>
              <w:t xml:space="preserve"> - </w:t>
            </w:r>
            <w:r w:rsidR="00BB3771" w:rsidRPr="00BB3771">
              <w:rPr>
                <w:rFonts w:ascii="Arial" w:hAnsi="Arial" w:cs="Arial"/>
                <w:color w:val="000000"/>
                <w:sz w:val="16"/>
                <w:szCs w:val="16"/>
              </w:rPr>
              <w:t xml:space="preserve">measures the performance of companies involved in industries such as: automobiles and components, consumer durables, apparel, hotels, restaurants, leisure, </w:t>
            </w:r>
            <w:proofErr w:type="gramStart"/>
            <w:r w:rsidR="00BB3771" w:rsidRPr="00BB3771">
              <w:rPr>
                <w:rFonts w:ascii="Arial" w:hAnsi="Arial" w:cs="Arial"/>
                <w:color w:val="000000"/>
                <w:sz w:val="16"/>
                <w:szCs w:val="16"/>
              </w:rPr>
              <w:t>media</w:t>
            </w:r>
            <w:proofErr w:type="gramEnd"/>
            <w:r w:rsidR="00BB3771" w:rsidRPr="00BB3771">
              <w:rPr>
                <w:rFonts w:ascii="Arial" w:hAnsi="Arial" w:cs="Arial"/>
                <w:color w:val="000000"/>
                <w:sz w:val="16"/>
                <w:szCs w:val="16"/>
              </w:rPr>
              <w:t xml:space="preserve"> and retailing.</w:t>
            </w:r>
          </w:p>
        </w:tc>
      </w:tr>
      <w:tr w:rsidR="00A27DE3" w14:paraId="5564DFE3"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5B306A72" w14:textId="12512DD1" w:rsidR="00A27DE3" w:rsidRPr="002C384C" w:rsidRDefault="00A27DE3" w:rsidP="00A27DE3">
            <w:pPr>
              <w:spacing w:after="160"/>
              <w:rPr>
                <w:rFonts w:ascii="Arial" w:hAnsi="Arial" w:cs="Arial"/>
                <w:b/>
                <w:color w:val="343433"/>
                <w:sz w:val="16"/>
                <w:szCs w:val="17"/>
              </w:rPr>
            </w:pPr>
            <w:r w:rsidRPr="00FC2692">
              <w:rPr>
                <w:rFonts w:ascii="Arial" w:hAnsi="Arial" w:cs="Arial"/>
                <w:b/>
                <w:color w:val="343433"/>
                <w:sz w:val="16"/>
                <w:szCs w:val="17"/>
              </w:rPr>
              <w:t>Real Estate</w:t>
            </w:r>
          </w:p>
        </w:tc>
        <w:tc>
          <w:tcPr>
            <w:tcW w:w="9180" w:type="dxa"/>
            <w:tcBorders>
              <w:top w:val="single" w:sz="4" w:space="0" w:color="E7E6E6"/>
              <w:left w:val="single" w:sz="4" w:space="0" w:color="E7E6E6"/>
              <w:bottom w:val="single" w:sz="4" w:space="0" w:color="E7E6E6"/>
              <w:right w:val="single" w:sz="4" w:space="0" w:color="E7E6E6"/>
            </w:tcBorders>
          </w:tcPr>
          <w:p w14:paraId="6B707C7E" w14:textId="380E5F63" w:rsidR="00A27DE3" w:rsidRPr="002C384C" w:rsidRDefault="00A27DE3" w:rsidP="00A27DE3">
            <w:pPr>
              <w:spacing w:after="160"/>
              <w:rPr>
                <w:rFonts w:ascii="Arial" w:hAnsi="Arial" w:cs="Arial"/>
                <w:color w:val="000000"/>
                <w:sz w:val="16"/>
                <w:szCs w:val="16"/>
              </w:rPr>
            </w:pPr>
            <w:r w:rsidRPr="002812BF">
              <w:rPr>
                <w:rFonts w:ascii="Arial" w:hAnsi="Arial" w:cs="Arial"/>
                <w:b/>
                <w:color w:val="343433"/>
                <w:sz w:val="16"/>
                <w:szCs w:val="17"/>
              </w:rPr>
              <w:t xml:space="preserve">S&amp;P 500 Sector </w:t>
            </w:r>
            <w:r w:rsidR="00FC2692" w:rsidRPr="002812BF">
              <w:rPr>
                <w:rFonts w:ascii="Arial" w:hAnsi="Arial" w:cs="Arial"/>
                <w:b/>
                <w:color w:val="343433"/>
                <w:sz w:val="16"/>
                <w:szCs w:val="17"/>
              </w:rPr>
              <w:t>Real Estate</w:t>
            </w:r>
            <w:r>
              <w:rPr>
                <w:rFonts w:ascii="Arial" w:hAnsi="Arial" w:cs="Arial"/>
                <w:color w:val="000000"/>
                <w:sz w:val="16"/>
                <w:szCs w:val="16"/>
              </w:rPr>
              <w:t xml:space="preserve"> - </w:t>
            </w:r>
            <w:r w:rsidR="00FC2692" w:rsidRPr="00FC2692">
              <w:rPr>
                <w:rFonts w:ascii="Arial" w:hAnsi="Arial" w:cs="Arial"/>
                <w:color w:val="000000"/>
                <w:sz w:val="16"/>
                <w:szCs w:val="16"/>
              </w:rPr>
              <w:t>measures the performance of companies from the following industries:  real estate management &amp; development and REITS, excluding mortgage REITS.</w:t>
            </w:r>
          </w:p>
        </w:tc>
      </w:tr>
      <w:tr w:rsidR="00A27DE3" w14:paraId="5B051311"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0EC84B31" w14:textId="3A2DFB09" w:rsidR="00A27DE3" w:rsidRPr="002C384C" w:rsidRDefault="00A27DE3" w:rsidP="00A27DE3">
            <w:pPr>
              <w:spacing w:after="160"/>
              <w:rPr>
                <w:rFonts w:ascii="Arial" w:hAnsi="Arial" w:cs="Arial"/>
                <w:b/>
                <w:color w:val="343433"/>
                <w:sz w:val="16"/>
                <w:szCs w:val="17"/>
              </w:rPr>
            </w:pPr>
            <w:r w:rsidRPr="00FC2692">
              <w:rPr>
                <w:rFonts w:ascii="Arial" w:hAnsi="Arial" w:cs="Arial"/>
                <w:b/>
                <w:color w:val="343433"/>
                <w:sz w:val="16"/>
                <w:szCs w:val="17"/>
              </w:rPr>
              <w:t>Energy</w:t>
            </w:r>
          </w:p>
        </w:tc>
        <w:tc>
          <w:tcPr>
            <w:tcW w:w="9180" w:type="dxa"/>
            <w:tcBorders>
              <w:top w:val="single" w:sz="4" w:space="0" w:color="E7E6E6"/>
              <w:left w:val="single" w:sz="4" w:space="0" w:color="E7E6E6"/>
              <w:bottom w:val="single" w:sz="4" w:space="0" w:color="E7E6E6"/>
              <w:right w:val="single" w:sz="4" w:space="0" w:color="E7E6E6"/>
            </w:tcBorders>
          </w:tcPr>
          <w:p w14:paraId="34F94CD3" w14:textId="2A2A1163" w:rsidR="00FC2692" w:rsidRPr="00FC2692" w:rsidRDefault="00A27DE3" w:rsidP="00A27DE3">
            <w:pPr>
              <w:spacing w:after="160"/>
              <w:rPr>
                <w:rFonts w:ascii="Arial" w:hAnsi="Arial" w:cs="Arial"/>
                <w:bCs/>
                <w:color w:val="343433"/>
                <w:sz w:val="16"/>
                <w:szCs w:val="17"/>
              </w:rPr>
            </w:pPr>
            <w:r>
              <w:rPr>
                <w:rFonts w:ascii="Arial" w:hAnsi="Arial" w:cs="Arial"/>
                <w:b/>
                <w:color w:val="343433"/>
                <w:sz w:val="16"/>
                <w:szCs w:val="17"/>
              </w:rPr>
              <w:t xml:space="preserve">S&amp;P 500 Sector </w:t>
            </w:r>
            <w:r w:rsidR="00FC2692">
              <w:rPr>
                <w:rFonts w:ascii="Arial" w:hAnsi="Arial" w:cs="Arial"/>
                <w:b/>
                <w:color w:val="343433"/>
                <w:sz w:val="16"/>
                <w:szCs w:val="17"/>
              </w:rPr>
              <w:t>Energy</w:t>
            </w:r>
            <w:r>
              <w:rPr>
                <w:rFonts w:ascii="Arial" w:hAnsi="Arial" w:cs="Arial"/>
                <w:b/>
                <w:color w:val="343433"/>
                <w:sz w:val="16"/>
                <w:szCs w:val="17"/>
              </w:rPr>
              <w:t xml:space="preserve"> - </w:t>
            </w:r>
            <w:r w:rsidR="00FC2692" w:rsidRPr="00FC2692">
              <w:rPr>
                <w:rFonts w:ascii="Arial" w:hAnsi="Arial" w:cs="Arial"/>
                <w:bCs/>
                <w:color w:val="343433"/>
                <w:sz w:val="16"/>
                <w:szCs w:val="17"/>
              </w:rPr>
              <w:t>measures the performance of companies involved in the development and production of crude oil, natural gas and provide drilling and other energy-related services</w:t>
            </w:r>
            <w:r w:rsidR="00FC2692">
              <w:rPr>
                <w:rFonts w:ascii="Arial" w:hAnsi="Arial" w:cs="Arial"/>
                <w:bCs/>
                <w:color w:val="343433"/>
                <w:sz w:val="16"/>
                <w:szCs w:val="17"/>
              </w:rPr>
              <w:t>.</w:t>
            </w:r>
          </w:p>
        </w:tc>
      </w:tr>
      <w:tr w:rsidR="00A27DE3" w14:paraId="13EEFDA3"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796D3D4D" w14:textId="5D0298AD" w:rsidR="00A27DE3" w:rsidRPr="00080D15" w:rsidRDefault="00A27DE3" w:rsidP="00A27DE3">
            <w:pPr>
              <w:spacing w:after="160"/>
              <w:rPr>
                <w:rFonts w:ascii="Arial" w:hAnsi="Arial" w:cs="Arial"/>
                <w:b/>
                <w:color w:val="343433"/>
                <w:sz w:val="16"/>
                <w:szCs w:val="17"/>
              </w:rPr>
            </w:pPr>
            <w:r>
              <w:rPr>
                <w:rFonts w:ascii="Arial" w:hAnsi="Arial" w:cs="Arial"/>
                <w:b/>
                <w:color w:val="343433"/>
                <w:sz w:val="16"/>
                <w:szCs w:val="17"/>
              </w:rPr>
              <w:t>US REITs</w:t>
            </w:r>
          </w:p>
        </w:tc>
        <w:tc>
          <w:tcPr>
            <w:tcW w:w="9180" w:type="dxa"/>
            <w:tcBorders>
              <w:top w:val="single" w:sz="4" w:space="0" w:color="E7E6E6"/>
              <w:left w:val="single" w:sz="4" w:space="0" w:color="E7E6E6"/>
              <w:bottom w:val="single" w:sz="4" w:space="0" w:color="E7E6E6"/>
              <w:right w:val="single" w:sz="4" w:space="0" w:color="E7E6E6"/>
            </w:tcBorders>
          </w:tcPr>
          <w:p w14:paraId="6ED59CD8" w14:textId="12753C87" w:rsidR="00A27DE3" w:rsidRPr="00080D15" w:rsidRDefault="00A27DE3" w:rsidP="00A27DE3">
            <w:pPr>
              <w:spacing w:after="160"/>
              <w:rPr>
                <w:rFonts w:ascii="Arial" w:hAnsi="Arial" w:cs="Arial"/>
                <w:b/>
                <w:color w:val="343433"/>
                <w:sz w:val="16"/>
                <w:szCs w:val="17"/>
              </w:rPr>
            </w:pPr>
            <w:r>
              <w:rPr>
                <w:rFonts w:ascii="Arial" w:hAnsi="Arial" w:cs="Arial"/>
                <w:b/>
                <w:color w:val="343433"/>
                <w:sz w:val="16"/>
                <w:szCs w:val="17"/>
              </w:rPr>
              <w:t xml:space="preserve">FTSE NAREIT All Equity REIT - </w:t>
            </w:r>
            <w:r w:rsidRPr="0086319B">
              <w:rPr>
                <w:rFonts w:ascii="Arial" w:hAnsi="Arial" w:cs="Arial"/>
                <w:color w:val="343433"/>
                <w:sz w:val="16"/>
                <w:szCs w:val="17"/>
              </w:rPr>
              <w:t xml:space="preserve">measures the price of physical commodities futures contracts traded on US exchanges, except aluminum, </w:t>
            </w:r>
            <w:proofErr w:type="gramStart"/>
            <w:r w:rsidRPr="0086319B">
              <w:rPr>
                <w:rFonts w:ascii="Arial" w:hAnsi="Arial" w:cs="Arial"/>
                <w:color w:val="343433"/>
                <w:sz w:val="16"/>
                <w:szCs w:val="17"/>
              </w:rPr>
              <w:t>nickel</w:t>
            </w:r>
            <w:proofErr w:type="gramEnd"/>
            <w:r w:rsidRPr="0086319B">
              <w:rPr>
                <w:rFonts w:ascii="Arial" w:hAnsi="Arial" w:cs="Arial"/>
                <w:color w:val="343433"/>
                <w:sz w:val="16"/>
                <w:szCs w:val="17"/>
              </w:rPr>
              <w:t xml:space="preserve"> and zinc, which trade on the London Metal Exchange. Weightings are determined by rules designed to insure diversified commodity exposure.</w:t>
            </w:r>
          </w:p>
        </w:tc>
      </w:tr>
      <w:tr w:rsidR="00A27DE3" w14:paraId="04E1EFA7" w14:textId="77777777" w:rsidTr="00FC2692">
        <w:trPr>
          <w:trHeight w:val="698"/>
        </w:trPr>
        <w:tc>
          <w:tcPr>
            <w:tcW w:w="1615" w:type="dxa"/>
            <w:tcBorders>
              <w:top w:val="single" w:sz="4" w:space="0" w:color="E7E6E6"/>
              <w:left w:val="single" w:sz="4" w:space="0" w:color="E7E6E6"/>
              <w:bottom w:val="single" w:sz="4" w:space="0" w:color="E7E6E6"/>
              <w:right w:val="single" w:sz="4" w:space="0" w:color="E7E6E6"/>
            </w:tcBorders>
          </w:tcPr>
          <w:p w14:paraId="176B7282" w14:textId="14D1833F" w:rsidR="00A27DE3" w:rsidRDefault="00A27DE3" w:rsidP="00A27DE3">
            <w:pPr>
              <w:spacing w:after="160"/>
              <w:rPr>
                <w:rFonts w:ascii="Arial" w:hAnsi="Arial" w:cs="Arial"/>
                <w:b/>
                <w:color w:val="343433"/>
                <w:sz w:val="16"/>
                <w:szCs w:val="17"/>
              </w:rPr>
            </w:pPr>
            <w:r>
              <w:rPr>
                <w:rFonts w:ascii="Arial" w:hAnsi="Arial" w:cs="Arial"/>
                <w:b/>
                <w:color w:val="343433"/>
                <w:sz w:val="16"/>
                <w:szCs w:val="17"/>
              </w:rPr>
              <w:lastRenderedPageBreak/>
              <w:t>Gold</w:t>
            </w:r>
          </w:p>
        </w:tc>
        <w:tc>
          <w:tcPr>
            <w:tcW w:w="9180" w:type="dxa"/>
            <w:tcBorders>
              <w:top w:val="single" w:sz="4" w:space="0" w:color="E7E6E6"/>
              <w:left w:val="single" w:sz="4" w:space="0" w:color="E7E6E6"/>
              <w:bottom w:val="single" w:sz="4" w:space="0" w:color="E7E6E6"/>
              <w:right w:val="single" w:sz="4" w:space="0" w:color="E7E6E6"/>
            </w:tcBorders>
          </w:tcPr>
          <w:p w14:paraId="1014B149" w14:textId="334B6DB3" w:rsidR="00A27DE3" w:rsidRDefault="00FC2692" w:rsidP="00FC2692">
            <w:pPr>
              <w:spacing w:after="160"/>
              <w:rPr>
                <w:rFonts w:ascii="Arial" w:hAnsi="Arial" w:cs="Arial"/>
                <w:b/>
                <w:color w:val="343433"/>
                <w:sz w:val="16"/>
                <w:szCs w:val="17"/>
              </w:rPr>
            </w:pPr>
            <w:r w:rsidRPr="00FC2692">
              <w:rPr>
                <w:rFonts w:ascii="Arial" w:hAnsi="Arial" w:cs="Arial"/>
                <w:b/>
                <w:color w:val="343433"/>
                <w:sz w:val="16"/>
                <w:szCs w:val="17"/>
              </w:rPr>
              <w:t>Bloomberg Sub Gold</w:t>
            </w:r>
            <w:r>
              <w:rPr>
                <w:rFonts w:ascii="Arial" w:hAnsi="Arial" w:cs="Arial"/>
                <w:b/>
                <w:color w:val="343433"/>
                <w:sz w:val="16"/>
                <w:szCs w:val="17"/>
              </w:rPr>
              <w:t xml:space="preserve"> </w:t>
            </w:r>
            <w:r w:rsidRPr="002812BF">
              <w:rPr>
                <w:rFonts w:ascii="Arial" w:hAnsi="Arial" w:cs="Arial"/>
                <w:bCs/>
                <w:color w:val="343433"/>
                <w:sz w:val="16"/>
                <w:szCs w:val="17"/>
              </w:rPr>
              <w:t xml:space="preserve">- </w:t>
            </w:r>
            <w:r w:rsidRPr="00FC2692">
              <w:rPr>
                <w:rFonts w:ascii="Arial" w:hAnsi="Arial" w:cs="Arial"/>
                <w:bCs/>
                <w:color w:val="343433"/>
                <w:sz w:val="16"/>
                <w:szCs w:val="17"/>
              </w:rPr>
              <w:t>measures the price of gold futures contracts, reflecting the return of underlying commodity futures price movements quoted in USD.</w:t>
            </w:r>
          </w:p>
        </w:tc>
      </w:tr>
      <w:tr w:rsidR="00A27DE3" w14:paraId="062E2EC9"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47AE7724" w14:textId="7D69DD77" w:rsidR="00A27DE3" w:rsidRDefault="00A27DE3" w:rsidP="00A27DE3">
            <w:pPr>
              <w:spacing w:after="160"/>
              <w:rPr>
                <w:rFonts w:ascii="Arial" w:hAnsi="Arial" w:cs="Arial"/>
                <w:b/>
                <w:color w:val="343433"/>
                <w:sz w:val="16"/>
                <w:szCs w:val="17"/>
              </w:rPr>
            </w:pPr>
            <w:r>
              <w:rPr>
                <w:rFonts w:ascii="Arial" w:hAnsi="Arial" w:cs="Arial"/>
                <w:b/>
                <w:color w:val="343433"/>
                <w:sz w:val="16"/>
                <w:szCs w:val="17"/>
              </w:rPr>
              <w:t>Commodities</w:t>
            </w:r>
          </w:p>
        </w:tc>
        <w:tc>
          <w:tcPr>
            <w:tcW w:w="9180" w:type="dxa"/>
            <w:tcBorders>
              <w:top w:val="single" w:sz="4" w:space="0" w:color="E7E6E6"/>
              <w:left w:val="single" w:sz="4" w:space="0" w:color="E7E6E6"/>
              <w:bottom w:val="single" w:sz="4" w:space="0" w:color="E7E6E6"/>
              <w:right w:val="single" w:sz="4" w:space="0" w:color="E7E6E6"/>
            </w:tcBorders>
          </w:tcPr>
          <w:p w14:paraId="0B1D82C3" w14:textId="2F904A72" w:rsidR="00A27DE3" w:rsidRDefault="00A27DE3" w:rsidP="00A27DE3">
            <w:pPr>
              <w:spacing w:after="160"/>
              <w:rPr>
                <w:rFonts w:ascii="Arial" w:hAnsi="Arial" w:cs="Arial"/>
                <w:b/>
                <w:color w:val="343433"/>
                <w:sz w:val="16"/>
                <w:szCs w:val="17"/>
              </w:rPr>
            </w:pPr>
            <w:r w:rsidRPr="00080D15">
              <w:rPr>
                <w:rFonts w:ascii="Arial" w:hAnsi="Arial" w:cs="Arial"/>
                <w:b/>
                <w:color w:val="343433"/>
                <w:sz w:val="16"/>
                <w:szCs w:val="17"/>
              </w:rPr>
              <w:t xml:space="preserve">Bloomberg </w:t>
            </w:r>
            <w:r>
              <w:rPr>
                <w:rFonts w:ascii="Arial" w:hAnsi="Arial" w:cs="Arial"/>
                <w:b/>
                <w:color w:val="343433"/>
                <w:sz w:val="16"/>
                <w:szCs w:val="17"/>
              </w:rPr>
              <w:t>Commodity</w:t>
            </w:r>
            <w:r>
              <w:rPr>
                <w:rFonts w:ascii="Arial" w:hAnsi="Arial" w:cs="Arial"/>
                <w:color w:val="343433"/>
                <w:sz w:val="16"/>
                <w:szCs w:val="17"/>
              </w:rPr>
              <w:t xml:space="preserve"> - </w:t>
            </w:r>
            <w:r w:rsidRPr="0086319B">
              <w:rPr>
                <w:rFonts w:ascii="Arial" w:hAnsi="Arial" w:cs="Arial"/>
                <w:color w:val="343433"/>
                <w:sz w:val="16"/>
                <w:szCs w:val="17"/>
              </w:rPr>
              <w:t>dynamically rebalances exposure to maintain a 10% volatility target and represents portfolios consisting of the S&amp;P 500 index and a cash component accruing interest.  Uses S&amp;P 500 methodology and overlays algorithms to control the index risk at specific volatility targets.</w:t>
            </w:r>
          </w:p>
        </w:tc>
      </w:tr>
      <w:tr w:rsidR="00FC2692" w14:paraId="0B29C693"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26E109AB" w14:textId="15584039" w:rsidR="00FC2692" w:rsidRDefault="00FC2692" w:rsidP="00A27DE3">
            <w:pPr>
              <w:spacing w:after="160"/>
              <w:rPr>
                <w:rFonts w:ascii="Arial" w:hAnsi="Arial" w:cs="Arial"/>
                <w:b/>
                <w:color w:val="343433"/>
                <w:sz w:val="16"/>
                <w:szCs w:val="17"/>
              </w:rPr>
            </w:pPr>
            <w:r>
              <w:rPr>
                <w:rFonts w:ascii="Arial" w:hAnsi="Arial" w:cs="Arial"/>
                <w:b/>
                <w:color w:val="343433"/>
                <w:sz w:val="16"/>
                <w:szCs w:val="17"/>
              </w:rPr>
              <w:t>US Dollar</w:t>
            </w:r>
          </w:p>
        </w:tc>
        <w:tc>
          <w:tcPr>
            <w:tcW w:w="9180" w:type="dxa"/>
            <w:tcBorders>
              <w:top w:val="single" w:sz="4" w:space="0" w:color="E7E6E6"/>
              <w:left w:val="single" w:sz="4" w:space="0" w:color="E7E6E6"/>
              <w:bottom w:val="single" w:sz="4" w:space="0" w:color="E7E6E6"/>
              <w:right w:val="single" w:sz="4" w:space="0" w:color="E7E6E6"/>
            </w:tcBorders>
          </w:tcPr>
          <w:p w14:paraId="223CA244" w14:textId="30F368CC" w:rsidR="00FC2692" w:rsidRPr="00FC2692" w:rsidRDefault="00FC2692" w:rsidP="00A27DE3">
            <w:pPr>
              <w:spacing w:after="160"/>
              <w:rPr>
                <w:rFonts w:ascii="Arial" w:hAnsi="Arial" w:cs="Arial"/>
                <w:bCs/>
                <w:color w:val="343433"/>
                <w:sz w:val="16"/>
                <w:szCs w:val="17"/>
              </w:rPr>
            </w:pPr>
            <w:r w:rsidRPr="00FC2692">
              <w:rPr>
                <w:rFonts w:ascii="Arial" w:hAnsi="Arial" w:cs="Arial"/>
                <w:b/>
                <w:color w:val="343433"/>
                <w:sz w:val="16"/>
                <w:szCs w:val="17"/>
              </w:rPr>
              <w:t>US Dollar Index</w:t>
            </w:r>
            <w:r>
              <w:rPr>
                <w:rFonts w:ascii="Arial" w:hAnsi="Arial" w:cs="Arial"/>
                <w:bCs/>
                <w:color w:val="343433"/>
                <w:sz w:val="16"/>
                <w:szCs w:val="17"/>
              </w:rPr>
              <w:t xml:space="preserve"> - </w:t>
            </w:r>
            <w:r w:rsidRPr="00FC2692">
              <w:rPr>
                <w:rFonts w:ascii="Arial" w:hAnsi="Arial" w:cs="Arial"/>
                <w:bCs/>
                <w:color w:val="343433"/>
                <w:sz w:val="16"/>
                <w:szCs w:val="17"/>
              </w:rPr>
              <w:t xml:space="preserve">measures the value of the US dollar relative to the value of a 'basket' of currencies of </w:t>
            </w:r>
            <w:proofErr w:type="gramStart"/>
            <w:r w:rsidRPr="00FC2692">
              <w:rPr>
                <w:rFonts w:ascii="Arial" w:hAnsi="Arial" w:cs="Arial"/>
                <w:bCs/>
                <w:color w:val="343433"/>
                <w:sz w:val="16"/>
                <w:szCs w:val="17"/>
              </w:rPr>
              <w:t>the majority of</w:t>
            </w:r>
            <w:proofErr w:type="gramEnd"/>
            <w:r w:rsidRPr="00FC2692">
              <w:rPr>
                <w:rFonts w:ascii="Arial" w:hAnsi="Arial" w:cs="Arial"/>
                <w:bCs/>
                <w:color w:val="343433"/>
                <w:sz w:val="16"/>
                <w:szCs w:val="17"/>
              </w:rPr>
              <w:t xml:space="preserve"> the U.S.'s most significant trading partners.  Factors the exchange rates of six major world currencies:  euro, Japanese yen, Canadian dollar, British pound, Swedish </w:t>
            </w:r>
            <w:proofErr w:type="gramStart"/>
            <w:r w:rsidRPr="00FC2692">
              <w:rPr>
                <w:rFonts w:ascii="Arial" w:hAnsi="Arial" w:cs="Arial"/>
                <w:bCs/>
                <w:color w:val="343433"/>
                <w:sz w:val="16"/>
                <w:szCs w:val="17"/>
              </w:rPr>
              <w:t>krona</w:t>
            </w:r>
            <w:proofErr w:type="gramEnd"/>
            <w:r w:rsidRPr="00FC2692">
              <w:rPr>
                <w:rFonts w:ascii="Arial" w:hAnsi="Arial" w:cs="Arial"/>
                <w:bCs/>
                <w:color w:val="343433"/>
                <w:sz w:val="16"/>
                <w:szCs w:val="17"/>
              </w:rPr>
              <w:t xml:space="preserve"> and Swiss franc.</w:t>
            </w:r>
          </w:p>
        </w:tc>
      </w:tr>
    </w:tbl>
    <w:p w14:paraId="6B301E9F" w14:textId="77777777" w:rsidR="00140F12" w:rsidRDefault="00140F12" w:rsidP="004F6ABF">
      <w:pPr>
        <w:spacing w:after="0" w:line="240" w:lineRule="auto"/>
        <w:rPr>
          <w:rFonts w:ascii="Arial" w:hAnsi="Arial" w:cs="Arial"/>
          <w:color w:val="343433"/>
          <w:sz w:val="16"/>
          <w:szCs w:val="16"/>
        </w:rPr>
      </w:pPr>
    </w:p>
    <w:p w14:paraId="7BC73908" w14:textId="5BFE8381" w:rsidR="00140F12" w:rsidRDefault="00140F12">
      <w:pPr>
        <w:spacing w:after="0" w:line="240" w:lineRule="auto"/>
        <w:rPr>
          <w:rFonts w:ascii="Arial" w:hAnsi="Arial" w:cs="Arial"/>
          <w:color w:val="343433"/>
          <w:sz w:val="16"/>
          <w:szCs w:val="16"/>
        </w:rPr>
      </w:pPr>
    </w:p>
    <w:p w14:paraId="0AAD309A" w14:textId="30139EFE" w:rsidR="000F6A69" w:rsidRPr="009F65E5" w:rsidRDefault="004F6ABF" w:rsidP="004F6ABF">
      <w:pPr>
        <w:spacing w:after="0" w:line="240" w:lineRule="auto"/>
        <w:rPr>
          <w:rFonts w:ascii="Arial" w:hAnsi="Arial" w:cs="Arial"/>
          <w:color w:val="343433"/>
          <w:sz w:val="16"/>
          <w:szCs w:val="16"/>
        </w:rPr>
      </w:pPr>
      <w:r w:rsidRPr="0040163B">
        <w:rPr>
          <w:rFonts w:ascii="Arial" w:hAnsi="Arial" w:cs="Arial"/>
          <w:noProof/>
          <w:color w:val="343433"/>
          <w:sz w:val="21"/>
        </w:rPr>
        <mc:AlternateContent>
          <mc:Choice Requires="wpg">
            <w:drawing>
              <wp:anchor distT="0" distB="0" distL="114300" distR="114300" simplePos="0" relativeHeight="251673600" behindDoc="1" locked="0" layoutInCell="1" allowOverlap="1" wp14:anchorId="69F78F6C" wp14:editId="4376F023">
                <wp:simplePos x="0" y="0"/>
                <wp:positionH relativeFrom="margin">
                  <wp:posOffset>-463550</wp:posOffset>
                </wp:positionH>
                <wp:positionV relativeFrom="margin">
                  <wp:posOffset>3791585</wp:posOffset>
                </wp:positionV>
                <wp:extent cx="6875780" cy="4491990"/>
                <wp:effectExtent l="0" t="0" r="1270" b="3810"/>
                <wp:wrapTight wrapText="bothSides">
                  <wp:wrapPolygon edited="0">
                    <wp:start x="0" y="0"/>
                    <wp:lineTo x="0" y="20244"/>
                    <wp:lineTo x="299" y="20519"/>
                    <wp:lineTo x="299" y="21527"/>
                    <wp:lineTo x="4309" y="21527"/>
                    <wp:lineTo x="4309" y="20519"/>
                    <wp:lineTo x="21544" y="20244"/>
                    <wp:lineTo x="21544" y="0"/>
                    <wp:lineTo x="0" y="0"/>
                  </wp:wrapPolygon>
                </wp:wrapTight>
                <wp:docPr id="16" name="Group 16"/>
                <wp:cNvGraphicFramePr/>
                <a:graphic xmlns:a="http://schemas.openxmlformats.org/drawingml/2006/main">
                  <a:graphicData uri="http://schemas.microsoft.com/office/word/2010/wordprocessingGroup">
                    <wpg:wgp>
                      <wpg:cNvGrpSpPr/>
                      <wpg:grpSpPr>
                        <a:xfrm>
                          <a:off x="0" y="0"/>
                          <a:ext cx="6875780" cy="4491990"/>
                          <a:chOff x="0" y="299834"/>
                          <a:chExt cx="6858000" cy="2054109"/>
                        </a:xfrm>
                      </wpg:grpSpPr>
                      <wps:wsp>
                        <wps:cNvPr id="18" name="Rectangle 18"/>
                        <wps:cNvSpPr/>
                        <wps:spPr>
                          <a:xfrm>
                            <a:off x="0" y="299834"/>
                            <a:ext cx="6858000" cy="1927443"/>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439694" y="408482"/>
                            <a:ext cx="5417874" cy="1799701"/>
                          </a:xfrm>
                          <a:prstGeom prst="rect">
                            <a:avLst/>
                          </a:prstGeom>
                          <a:noFill/>
                          <a:ln w="6350">
                            <a:noFill/>
                          </a:ln>
                        </wps:spPr>
                        <wps:txbx>
                          <w:txbxContent>
                            <w:p w14:paraId="426D23FC" w14:textId="77777777" w:rsidR="004F6ABF" w:rsidRPr="00A57DA9" w:rsidRDefault="004F6ABF" w:rsidP="004F6ABF">
                              <w:pPr>
                                <w:spacing w:after="120" w:line="240" w:lineRule="auto"/>
                                <w:rPr>
                                  <w:rFonts w:ascii="Arial" w:hAnsi="Arial" w:cs="Arial"/>
                                  <w:b/>
                                  <w:sz w:val="16"/>
                                  <w:szCs w:val="16"/>
                                </w:rPr>
                              </w:pPr>
                              <w:bookmarkStart w:id="4" w:name="_Hlk92871284"/>
                              <w:r w:rsidRPr="00A57DA9">
                                <w:rPr>
                                  <w:rFonts w:ascii="Arial" w:hAnsi="Arial" w:cs="Arial"/>
                                  <w:b/>
                                  <w:sz w:val="16"/>
                                  <w:szCs w:val="16"/>
                                </w:rPr>
                                <w:t>IMPORTANT INFORMATION</w:t>
                              </w:r>
                            </w:p>
                            <w:p w14:paraId="62C97230" w14:textId="4BF8FD3C" w:rsidR="00A933B5" w:rsidRDefault="004F6ABF" w:rsidP="00A933B5">
                              <w:pPr>
                                <w:spacing w:after="120" w:line="240" w:lineRule="auto"/>
                                <w:rPr>
                                  <w:rFonts w:ascii="Arial" w:hAnsi="Arial" w:cs="Arial"/>
                                  <w:sz w:val="16"/>
                                  <w:szCs w:val="16"/>
                                </w:rPr>
                              </w:pPr>
                              <w:r w:rsidRPr="00A57DA9">
                                <w:rPr>
                                  <w:rFonts w:ascii="Arial" w:hAnsi="Arial" w:cs="Arial"/>
                                  <w:sz w:val="16"/>
                                  <w:szCs w:val="16"/>
                                </w:rPr>
                                <w:t>This</w:t>
                              </w:r>
                              <w:r w:rsidR="00A933B5">
                                <w:rPr>
                                  <w:rFonts w:ascii="Arial" w:hAnsi="Arial" w:cs="Arial"/>
                                  <w:sz w:val="16"/>
                                  <w:szCs w:val="16"/>
                                </w:rPr>
                                <w:t xml:space="preserve"> report is for informational purposes only, and is not a solicitation, and should not be considered as investment or tax advice. The information has been drawn from sources believed to be reliable, but its accuracy is not guaranteed, and is subject to change. Opinions are those of AssetMark and may change at any time. Investors seeking more information should discuss with their financial advisor. Financial advisors may seek more information regarding all services offered through the AssetMark platform by contacting AssetMark at 800-664-5345.</w:t>
                              </w:r>
                            </w:p>
                            <w:p w14:paraId="652E85D5" w14:textId="68AC1399" w:rsidR="00A933B5" w:rsidRPr="0069148C" w:rsidRDefault="00A933B5" w:rsidP="00A933B5">
                              <w:pPr>
                                <w:spacing w:after="120" w:line="240" w:lineRule="auto"/>
                                <w:rPr>
                                  <w:rFonts w:ascii="Arial" w:hAnsi="Arial" w:cs="Arial"/>
                                  <w:sz w:val="16"/>
                                  <w:szCs w:val="16"/>
                                </w:rPr>
                              </w:pPr>
                              <w:r>
                                <w:rPr>
                                  <w:rFonts w:ascii="Arial" w:hAnsi="Arial" w:cs="Arial"/>
                                  <w:b/>
                                  <w:sz w:val="16"/>
                                  <w:szCs w:val="16"/>
                                </w:rPr>
                                <w:t>Investing involves risk, including the possible loss of principal. Past performance does not guarantee future results.</w:t>
                              </w:r>
                              <w:r>
                                <w:rPr>
                                  <w:rFonts w:ascii="Arial" w:hAnsi="Arial" w:cs="Arial"/>
                                  <w:sz w:val="16"/>
                                  <w:szCs w:val="16"/>
                                </w:rPr>
                                <w:t xml:space="preserve"> Asset allocation alone cannot eliminate the risk of fluctuating prices and uncertain returns. There is no guarantee that a diversified portfolio will outperform a non-diversified portfolio in any given market environment. No investment strategy, such as asset allocation, can guarantee a profit or protect against a loss. Actual client results </w:t>
                              </w:r>
                              <w:r w:rsidRPr="0069148C">
                                <w:rPr>
                                  <w:rFonts w:ascii="Arial" w:hAnsi="Arial" w:cs="Arial"/>
                                  <w:sz w:val="16"/>
                                  <w:szCs w:val="16"/>
                                </w:rPr>
                                <w:t xml:space="preserve">will vary based on investment selection, timing, and market conditions. The market indices shown are non-managed indices shown for reference purposes. Index performance reflects the reinvestment of dividends. It is not possible to invest directly in an index, and index performance does not reflect any deduction for investment advisory fees. </w:t>
                              </w:r>
                            </w:p>
                            <w:p w14:paraId="675CB9D4" w14:textId="77777777" w:rsidR="00DD61D1" w:rsidRPr="0069148C" w:rsidRDefault="00DD61D1" w:rsidP="00DD61D1">
                              <w:pPr>
                                <w:spacing w:after="120" w:line="240" w:lineRule="auto"/>
                                <w:rPr>
                                  <w:rFonts w:ascii="Arial" w:hAnsi="Arial" w:cs="Arial"/>
                                  <w:sz w:val="16"/>
                                  <w:szCs w:val="16"/>
                                </w:rPr>
                              </w:pPr>
                              <w:r w:rsidRPr="0069148C">
                                <w:rPr>
                                  <w:rFonts w:ascii="Arial" w:hAnsi="Arial" w:cs="Arial"/>
                                  <w:sz w:val="16"/>
                                  <w:szCs w:val="16"/>
                                </w:rPr>
                                <w:t xml:space="preserve">Please read the Terms of Use posted at www.ewealthmanager.com that govern the use of these materials </w:t>
                              </w:r>
                              <w:proofErr w:type="gramStart"/>
                              <w:r w:rsidRPr="0069148C">
                                <w:rPr>
                                  <w:rFonts w:ascii="Arial" w:hAnsi="Arial" w:cs="Arial"/>
                                  <w:sz w:val="16"/>
                                  <w:szCs w:val="16"/>
                                </w:rPr>
                                <w:t>and also</w:t>
                              </w:r>
                              <w:proofErr w:type="gramEnd"/>
                              <w:r w:rsidRPr="0069148C">
                                <w:rPr>
                                  <w:rFonts w:ascii="Arial" w:hAnsi="Arial" w:cs="Arial"/>
                                  <w:sz w:val="16"/>
                                  <w:szCs w:val="16"/>
                                </w:rPr>
                                <w:t xml:space="preserve"> be advised:</w:t>
                              </w:r>
                            </w:p>
                            <w:p w14:paraId="3E7B3BBF" w14:textId="5DAAC38C" w:rsidR="00DD61D1" w:rsidRPr="0069148C" w:rsidRDefault="00DD61D1" w:rsidP="00DD61D1">
                              <w:pPr>
                                <w:spacing w:after="120" w:line="240" w:lineRule="auto"/>
                                <w:rPr>
                                  <w:rFonts w:ascii="Arial" w:hAnsi="Arial" w:cs="Arial"/>
                                  <w:sz w:val="16"/>
                                  <w:szCs w:val="16"/>
                                </w:rPr>
                              </w:pPr>
                              <w:r w:rsidRPr="0069148C">
                                <w:rPr>
                                  <w:rFonts w:ascii="Arial" w:hAnsi="Arial" w:cs="Arial"/>
                                  <w:sz w:val="16"/>
                                  <w:szCs w:val="16"/>
                                </w:rPr>
                                <w:t xml:space="preserve">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   </w:t>
                              </w:r>
                            </w:p>
                            <w:p w14:paraId="2C78C20E" w14:textId="7B1CA720" w:rsidR="00DD61D1" w:rsidRDefault="00DD61D1" w:rsidP="00DD61D1">
                              <w:pPr>
                                <w:spacing w:after="120" w:line="240" w:lineRule="auto"/>
                                <w:rPr>
                                  <w:rFonts w:ascii="Arial" w:hAnsi="Arial" w:cs="Arial"/>
                                  <w:sz w:val="16"/>
                                  <w:szCs w:val="16"/>
                                </w:rPr>
                              </w:pPr>
                              <w:r w:rsidRPr="0069148C">
                                <w:rPr>
                                  <w:rFonts w:ascii="Arial" w:hAnsi="Arial" w:cs="Arial"/>
                                  <w:sz w:val="16"/>
                                  <w:szCs w:val="16"/>
                                </w:rPr>
                                <w:t xml:space="preserve">You agree not to redistribute the Information to recipients not authorized by AssetMark.  You agree that the Providers </w:t>
                              </w:r>
                              <w:proofErr w:type="gramStart"/>
                              <w:r w:rsidRPr="0069148C">
                                <w:rPr>
                                  <w:rFonts w:ascii="Arial" w:hAnsi="Arial" w:cs="Arial"/>
                                  <w:sz w:val="16"/>
                                  <w:szCs w:val="16"/>
                                </w:rPr>
                                <w:t>are considered to be</w:t>
                              </w:r>
                              <w:proofErr w:type="gramEnd"/>
                              <w:r w:rsidRPr="0069148C">
                                <w:rPr>
                                  <w:rFonts w:ascii="Arial" w:hAnsi="Arial" w:cs="Arial"/>
                                  <w:sz w:val="16"/>
                                  <w:szCs w:val="16"/>
                                </w:rPr>
                                <w:t xml:space="preserve"> third-party beneficiaries of the Terms of Use.</w:t>
                              </w:r>
                            </w:p>
                            <w:p w14:paraId="44D139E2" w14:textId="58EEE99C" w:rsidR="00A933B5" w:rsidRDefault="00A933B5" w:rsidP="00A933B5">
                              <w:pPr>
                                <w:spacing w:after="120" w:line="240" w:lineRule="auto"/>
                                <w:rPr>
                                  <w:rFonts w:ascii="Arial" w:hAnsi="Arial" w:cs="Arial"/>
                                  <w:sz w:val="16"/>
                                  <w:szCs w:val="16"/>
                                </w:rPr>
                              </w:pPr>
                              <w:r>
                                <w:rPr>
                                  <w:rFonts w:ascii="Arial" w:hAnsi="Arial" w:cs="Arial"/>
                                  <w:sz w:val="16"/>
                                  <w:szCs w:val="16"/>
                                </w:rPr>
                                <w:t>AssetMark, Inc. is an investment adviser registered with the Securities and Exchange Commission.</w:t>
                              </w:r>
                              <w:r>
                                <w:rPr>
                                  <w:rFonts w:ascii="Arial" w:hAnsi="Arial" w:cs="Arial"/>
                                  <w:sz w:val="16"/>
                                  <w:szCs w:val="16"/>
                                </w:rPr>
                                <w:br/>
                                <w:t>©202</w:t>
                              </w:r>
                              <w:r w:rsidR="00252E6F">
                                <w:rPr>
                                  <w:rFonts w:ascii="Arial" w:hAnsi="Arial" w:cs="Arial"/>
                                  <w:sz w:val="16"/>
                                  <w:szCs w:val="16"/>
                                </w:rPr>
                                <w:t>2</w:t>
                              </w:r>
                              <w:r>
                                <w:rPr>
                                  <w:rFonts w:ascii="Arial" w:hAnsi="Arial" w:cs="Arial"/>
                                  <w:sz w:val="16"/>
                                  <w:szCs w:val="16"/>
                                </w:rPr>
                                <w:t xml:space="preserve"> AssetMark, Inc. All rights reserved.</w:t>
                              </w:r>
                            </w:p>
                            <w:p w14:paraId="29A67675" w14:textId="68D5B5BF" w:rsidR="00A933B5" w:rsidRDefault="006644EA" w:rsidP="00A933B5">
                              <w:pPr>
                                <w:spacing w:after="120" w:line="240" w:lineRule="auto"/>
                                <w:rPr>
                                  <w:rFonts w:ascii="Arial" w:hAnsi="Arial" w:cs="Arial"/>
                                  <w:sz w:val="16"/>
                                  <w:szCs w:val="16"/>
                                </w:rPr>
                              </w:pPr>
                              <w:bookmarkStart w:id="5" w:name="_Hlk92277838"/>
                              <w:r w:rsidRPr="006644EA">
                                <w:rPr>
                                  <w:rFonts w:ascii="Arial" w:hAnsi="Arial" w:cs="Arial"/>
                                  <w:sz w:val="16"/>
                                  <w:szCs w:val="16"/>
                                </w:rPr>
                                <w:t>103921</w:t>
                              </w:r>
                              <w:r w:rsidR="00A933B5" w:rsidRPr="006644EA">
                                <w:rPr>
                                  <w:rFonts w:ascii="Arial" w:hAnsi="Arial" w:cs="Arial"/>
                                  <w:sz w:val="16"/>
                                  <w:szCs w:val="16"/>
                                </w:rPr>
                                <w:t xml:space="preserve"> | </w:t>
                              </w:r>
                              <w:r w:rsidRPr="006644EA">
                                <w:rPr>
                                  <w:rFonts w:ascii="Arial" w:hAnsi="Arial" w:cs="Arial"/>
                                  <w:sz w:val="16"/>
                                  <w:szCs w:val="16"/>
                                </w:rPr>
                                <w:t xml:space="preserve">C22-18672 </w:t>
                              </w:r>
                              <w:r w:rsidR="00A933B5" w:rsidRPr="006644EA">
                                <w:rPr>
                                  <w:rFonts w:ascii="Arial" w:hAnsi="Arial" w:cs="Arial"/>
                                  <w:sz w:val="16"/>
                                  <w:szCs w:val="16"/>
                                </w:rPr>
                                <w:t xml:space="preserve">| </w:t>
                              </w:r>
                              <w:r w:rsidR="00EA74A5" w:rsidRPr="006644EA">
                                <w:rPr>
                                  <w:rFonts w:ascii="Arial" w:hAnsi="Arial" w:cs="Arial"/>
                                  <w:sz w:val="16"/>
                                  <w:szCs w:val="16"/>
                                </w:rPr>
                                <w:t>0</w:t>
                              </w:r>
                              <w:r w:rsidR="00A06210" w:rsidRPr="006644EA">
                                <w:rPr>
                                  <w:rFonts w:ascii="Arial" w:hAnsi="Arial" w:cs="Arial"/>
                                  <w:sz w:val="16"/>
                                  <w:szCs w:val="16"/>
                                </w:rPr>
                                <w:t>4</w:t>
                              </w:r>
                              <w:r w:rsidR="00A933B5" w:rsidRPr="006644EA">
                                <w:rPr>
                                  <w:rFonts w:ascii="Arial" w:hAnsi="Arial" w:cs="Arial"/>
                                  <w:sz w:val="16"/>
                                  <w:szCs w:val="16"/>
                                </w:rPr>
                                <w:t>/202</w:t>
                              </w:r>
                              <w:r w:rsidR="00EA74A5" w:rsidRPr="006644EA">
                                <w:rPr>
                                  <w:rFonts w:ascii="Arial" w:hAnsi="Arial" w:cs="Arial"/>
                                  <w:sz w:val="16"/>
                                  <w:szCs w:val="16"/>
                                </w:rPr>
                                <w:t>2</w:t>
                              </w:r>
                              <w:r w:rsidR="00A933B5" w:rsidRPr="006644EA">
                                <w:rPr>
                                  <w:rFonts w:ascii="Arial" w:hAnsi="Arial" w:cs="Arial"/>
                                  <w:sz w:val="16"/>
                                  <w:szCs w:val="16"/>
                                </w:rPr>
                                <w:t xml:space="preserve"> | EXP </w:t>
                              </w:r>
                              <w:r w:rsidR="00EA74A5" w:rsidRPr="006644EA">
                                <w:rPr>
                                  <w:rFonts w:ascii="Arial" w:hAnsi="Arial" w:cs="Arial"/>
                                  <w:sz w:val="16"/>
                                  <w:szCs w:val="16"/>
                                </w:rPr>
                                <w:t>0</w:t>
                              </w:r>
                              <w:r w:rsidR="00A06210" w:rsidRPr="006644EA">
                                <w:rPr>
                                  <w:rFonts w:ascii="Arial" w:hAnsi="Arial" w:cs="Arial"/>
                                  <w:sz w:val="16"/>
                                  <w:szCs w:val="16"/>
                                </w:rPr>
                                <w:t>4</w:t>
                              </w:r>
                              <w:r w:rsidR="000656D7" w:rsidRPr="006644EA">
                                <w:rPr>
                                  <w:rFonts w:ascii="Arial" w:hAnsi="Arial" w:cs="Arial"/>
                                  <w:sz w:val="16"/>
                                  <w:szCs w:val="16"/>
                                </w:rPr>
                                <w:t>/31</w:t>
                              </w:r>
                              <w:r w:rsidR="00A933B5" w:rsidRPr="006644EA">
                                <w:rPr>
                                  <w:rFonts w:ascii="Arial" w:hAnsi="Arial" w:cs="Arial"/>
                                  <w:sz w:val="16"/>
                                  <w:szCs w:val="16"/>
                                </w:rPr>
                                <w:t>/202</w:t>
                              </w:r>
                              <w:r w:rsidR="00EA74A5" w:rsidRPr="006644EA">
                                <w:rPr>
                                  <w:rFonts w:ascii="Arial" w:hAnsi="Arial" w:cs="Arial"/>
                                  <w:sz w:val="16"/>
                                  <w:szCs w:val="16"/>
                                </w:rPr>
                                <w:t>4</w:t>
                              </w:r>
                            </w:p>
                            <w:bookmarkEnd w:id="4"/>
                            <w:bookmarkEnd w:id="5"/>
                            <w:p w14:paraId="700A5642" w14:textId="69AAD043" w:rsidR="00A933B5" w:rsidRPr="004B1C5E" w:rsidRDefault="00A933B5" w:rsidP="00A933B5">
                              <w:pPr>
                                <w:spacing w:after="120" w:line="240" w:lineRule="auto"/>
                                <w:rPr>
                                  <w:rFonts w:ascii="Arial" w:hAnsi="Arial" w:cs="Arial"/>
                                  <w:sz w:val="16"/>
                                  <w:szCs w:val="16"/>
                                </w:rPr>
                              </w:pPr>
                            </w:p>
                            <w:p w14:paraId="1C5DEE7A" w14:textId="131D87E2" w:rsidR="004F6ABF" w:rsidRPr="004B1C5E" w:rsidRDefault="004F6ABF" w:rsidP="004F6ABF">
                              <w:pPr>
                                <w:spacing w:after="12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48634" y="408461"/>
                            <a:ext cx="1390953" cy="1945482"/>
                          </a:xfrm>
                          <a:prstGeom prst="rect">
                            <a:avLst/>
                          </a:prstGeom>
                          <a:noFill/>
                          <a:ln w="6350">
                            <a:noFill/>
                          </a:ln>
                        </wps:spPr>
                        <wps:txbx>
                          <w:txbxContent>
                            <w:p w14:paraId="4077A185" w14:textId="77777777" w:rsidR="004F6ABF" w:rsidRPr="00A57DA9" w:rsidRDefault="004F6ABF" w:rsidP="004F6ABF">
                              <w:pPr>
                                <w:spacing w:after="120"/>
                                <w:rPr>
                                  <w:rFonts w:ascii="Arial" w:hAnsi="Arial" w:cs="Arial"/>
                                  <w:b/>
                                  <w:sz w:val="16"/>
                                  <w:szCs w:val="16"/>
                                </w:rPr>
                              </w:pPr>
                              <w:r w:rsidRPr="00A57DA9">
                                <w:rPr>
                                  <w:rFonts w:ascii="Arial" w:hAnsi="Arial" w:cs="Arial"/>
                                  <w:b/>
                                  <w:sz w:val="16"/>
                                  <w:szCs w:val="16"/>
                                </w:rPr>
                                <w:t>AssetMark, Inc.</w:t>
                              </w:r>
                            </w:p>
                            <w:p w14:paraId="487C5125" w14:textId="77777777" w:rsidR="004F6ABF" w:rsidRPr="00A57DA9" w:rsidRDefault="004F6ABF" w:rsidP="004F6ABF">
                              <w:pPr>
                                <w:spacing w:after="120"/>
                                <w:rPr>
                                  <w:rFonts w:ascii="Arial" w:hAnsi="Arial" w:cs="Arial"/>
                                  <w:sz w:val="16"/>
                                  <w:szCs w:val="16"/>
                                </w:rPr>
                              </w:pPr>
                              <w:r w:rsidRPr="00A57DA9">
                                <w:rPr>
                                  <w:rFonts w:ascii="Arial" w:hAnsi="Arial" w:cs="Arial"/>
                                  <w:sz w:val="16"/>
                                  <w:szCs w:val="16"/>
                                </w:rPr>
                                <w:t>1655 Grant Street</w:t>
                              </w:r>
                              <w:r w:rsidRPr="00A57DA9">
                                <w:rPr>
                                  <w:rFonts w:ascii="Arial" w:hAnsi="Arial" w:cs="Arial"/>
                                  <w:sz w:val="16"/>
                                  <w:szCs w:val="16"/>
                                </w:rPr>
                                <w:br/>
                                <w:t>10</w:t>
                              </w:r>
                              <w:r w:rsidRPr="00A57DA9">
                                <w:rPr>
                                  <w:rFonts w:ascii="Arial" w:hAnsi="Arial" w:cs="Arial"/>
                                  <w:sz w:val="16"/>
                                  <w:szCs w:val="16"/>
                                  <w:vertAlign w:val="superscript"/>
                                </w:rPr>
                                <w:t>th</w:t>
                              </w:r>
                              <w:r w:rsidRPr="00A57DA9">
                                <w:rPr>
                                  <w:rFonts w:ascii="Arial" w:hAnsi="Arial" w:cs="Arial"/>
                                  <w:sz w:val="16"/>
                                  <w:szCs w:val="16"/>
                                </w:rPr>
                                <w:t xml:space="preserve"> Floor</w:t>
                              </w:r>
                              <w:r w:rsidRPr="00A57DA9">
                                <w:rPr>
                                  <w:rFonts w:ascii="Arial" w:hAnsi="Arial" w:cs="Arial"/>
                                  <w:sz w:val="16"/>
                                  <w:szCs w:val="16"/>
                                </w:rPr>
                                <w:br/>
                                <w:t>Concord, CA 94520-2445</w:t>
                              </w:r>
                              <w:r w:rsidRPr="00A57DA9">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F78F6C" id="Group 16" o:spid="_x0000_s1027" style="position:absolute;margin-left:-36.5pt;margin-top:298.55pt;width:541.4pt;height:353.7pt;z-index:-251642880;mso-position-horizontal-relative:margin;mso-position-vertical-relative:margin;mso-width-relative:margin;mso-height-relative:margin" coordorigin=",2998" coordsize="68580,2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Gc+kQMAAOILAAAOAAAAZHJzL2Uyb0RvYy54bWzsVttu3DYQfS+QfyD4Xq+k1a4u8Dpw7Noo&#10;4CRG7SDPNEVdAIpkSa4l5+szJCXt2mke4gIp0NYPMi/DGc6ZM2d5+nbsOXpk2nRS7HB8EmHEBJVV&#10;J5od/nR/9WuOkbFEVIRLwXb4iRn89uzNL6eDKlkiW8krphE4EaYc1A631qpytTK0ZT0xJ1IxAZu1&#10;1D2xMNXNqtJkAO89XyVRtF0NUldKS8qMgdXLsInPvP+6ZtR+rGvDLOI7DHez/qv998F9V2enpGw0&#10;UW1Hp2uQV9yiJ52AoIurS2IJ2uvuG1d9R7U0srYnVPYrWdcdZT4HyCaOXmRzreVe+VyacmjUAhNA&#10;+wKnV7ulHx5vNeoqqN0WI0F6qJEPi2AO4AyqKcHmWqs7daunhSbMXL5jrXv3HzJBo4f1aYGVjRZR&#10;WNzm2SbLAX0Ke2laxEUxAU9bqM7hXFIU+ToNNaHtb8vxTR5F0/Ek2qRxVDib1Rx95S653GlQwCRz&#10;AMv8PbDuWqKYr4FxQMxgAa0DWH8AxYhoOENxHgDzdgtapjQA3HehOk75gNdRwnGRZGm6fpYwKZU2&#10;9prJHrnBDmu4hKcfebwxNmAzm7jQRvKuuuo495Mnc8E1eiTQEtBJlRww4sRYWNzhK//nffF9/15W&#10;wa7YuAoEx8af9/g/88sFGoBGSeZrRaCZa04sVL1XQC8jGowIb0AlqNU+gJDuSuA05HNJTBuiebcu&#10;Gin7zoI+8K7fYUeC5RJcuF3mO3xK2RU+YO1GD7J6gmJpGVreKHrVAVY3kOgt0dDjQCjQLfsRPjWX&#10;cHM5jTBqpf7yV+vOHtgEuxgNoBmQ1Z97ohng97sAnhVxmjqR8ZN0kyUw0cc7D8c7Yt9fSKhBDAqp&#10;qB86e8vnYa1l/xnk7dxFhS0iKMQO+E2TCxu0DASSsvNzbwbCooi9EXeKOuczvPfjZ6LVRBgLXPsg&#10;Z26T8gVvgq07KeT53sq686Q64ArVn/rMScRPaLgkmRvu3rXJOzkiWAKKuOjQl67fkB1h3eU8rX+n&#10;8+J0XWyLFCMnR1Ge5t4RsGkSHFCYLM9g3+lVnBVFFnmXi+D8cP8dMT10yXa9iZ73ADh3nPawHlhs&#10;x4cxqPOc07+Y16AVgeL/HVavv2W1l/pXsDrNt/DbOXN66xl74HS8LqJiA+E8p4t0M7H+n+T00r//&#10;c/rnKLV/KMFD0v92T49e91I9nnsJOjzNz74CAAD//wMAUEsDBBQABgAIAAAAIQB15/ca4wAAAA0B&#10;AAAPAAAAZHJzL2Rvd25yZXYueG1sTI/BSsNAEIbvgu+wjOCt3Y0x1sZsSinqqQi2gnjbJtMkNDsb&#10;stskfXunJ73NMD//fF+2mmwrBux940hDNFcgkApXNlRp+Nq/zZ5B+GCoNK0j1HBBD6v89iYzaelG&#10;+sRhFyrBJeRTo6EOoUul9EWN1vi565D4dnS9NYHXvpJlb0Yut618UOpJWtMQf6hNh5sai9PubDW8&#10;j2Zcx9HrsD0dN5efffLxvY1Q6/u7af0CIuAU/sJwxWd0yJnp4M5UetFqmC1idgkakuUiAnFNKLVk&#10;mwNPsXpMQOaZ/G+R/wIAAP//AwBQSwECLQAUAAYACAAAACEAtoM4kv4AAADhAQAAEwAAAAAAAAAA&#10;AAAAAAAAAAAAW0NvbnRlbnRfVHlwZXNdLnhtbFBLAQItABQABgAIAAAAIQA4/SH/1gAAAJQBAAAL&#10;AAAAAAAAAAAAAAAAAC8BAABfcmVscy8ucmVsc1BLAQItABQABgAIAAAAIQC2pGc+kQMAAOILAAAO&#10;AAAAAAAAAAAAAAAAAC4CAABkcnMvZTJvRG9jLnhtbFBLAQItABQABgAIAAAAIQB15/ca4wAAAA0B&#10;AAAPAAAAAAAAAAAAAAAAAOsFAABkcnMvZG93bnJldi54bWxQSwUGAAAAAAQABADzAAAA+wYAAAAA&#10;">
                <v:rect id="Rectangle 18" o:spid="_x0000_s1028" style="position:absolute;top:2998;width:68580;height:19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lThxgAAANsAAAAPAAAAZHJzL2Rvd25yZXYueG1sRI9Ba8JA&#10;EIXvBf/DMkJvddMeRKKriDUgeGnVYL0N2WkSzM7G7Dam/fWdQ6G3Gd6b975ZrAbXqJ66UHs28DxJ&#10;QBEX3tZcGjgds6cZqBCRLTaeycA3BVgtRw8LTK2/8zv1h1gqCeGQooEqxjbVOhQVOQwT3xKL9uk7&#10;h1HWrtS2w7uEu0a/JMlUO6xZGipsaVNRcT18OQP+0h/3Nsuuef7zen6bbT/y22VnzON4WM9BRRri&#10;v/nvemcFX2DlFxlAL38BAAD//wMAUEsBAi0AFAAGAAgAAAAhANvh9svuAAAAhQEAABMAAAAAAAAA&#10;AAAAAAAAAAAAAFtDb250ZW50X1R5cGVzXS54bWxQSwECLQAUAAYACAAAACEAWvQsW78AAAAVAQAA&#10;CwAAAAAAAAAAAAAAAAAfAQAAX3JlbHMvLnJlbHNQSwECLQAUAAYACAAAACEAVVpU4cYAAADbAAAA&#10;DwAAAAAAAAAAAAAAAAAHAgAAZHJzL2Rvd25yZXYueG1sUEsFBgAAAAADAAMAtwAAAPoCAAAAAA==&#10;" fillcolor="#f2f2f2" stroked="f" strokeweight="1pt"/>
                <v:shapetype id="_x0000_t202" coordsize="21600,21600" o:spt="202" path="m,l,21600r21600,l21600,xe">
                  <v:stroke joinstyle="miter"/>
                  <v:path gradientshapeok="t" o:connecttype="rect"/>
                </v:shapetype>
                <v:shape id="Text Box 22" o:spid="_x0000_s1029" type="#_x0000_t202" style="position:absolute;left:14396;top:4084;width:54179;height:1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426D23FC" w14:textId="77777777" w:rsidR="004F6ABF" w:rsidRPr="00A57DA9" w:rsidRDefault="004F6ABF" w:rsidP="004F6ABF">
                        <w:pPr>
                          <w:spacing w:after="120" w:line="240" w:lineRule="auto"/>
                          <w:rPr>
                            <w:rFonts w:ascii="Arial" w:hAnsi="Arial" w:cs="Arial"/>
                            <w:b/>
                            <w:sz w:val="16"/>
                            <w:szCs w:val="16"/>
                          </w:rPr>
                        </w:pPr>
                        <w:bookmarkStart w:id="6" w:name="_Hlk92871284"/>
                        <w:r w:rsidRPr="00A57DA9">
                          <w:rPr>
                            <w:rFonts w:ascii="Arial" w:hAnsi="Arial" w:cs="Arial"/>
                            <w:b/>
                            <w:sz w:val="16"/>
                            <w:szCs w:val="16"/>
                          </w:rPr>
                          <w:t>IMPORTANT INFORMATION</w:t>
                        </w:r>
                      </w:p>
                      <w:p w14:paraId="62C97230" w14:textId="4BF8FD3C" w:rsidR="00A933B5" w:rsidRDefault="004F6ABF" w:rsidP="00A933B5">
                        <w:pPr>
                          <w:spacing w:after="120" w:line="240" w:lineRule="auto"/>
                          <w:rPr>
                            <w:rFonts w:ascii="Arial" w:hAnsi="Arial" w:cs="Arial"/>
                            <w:sz w:val="16"/>
                            <w:szCs w:val="16"/>
                          </w:rPr>
                        </w:pPr>
                        <w:r w:rsidRPr="00A57DA9">
                          <w:rPr>
                            <w:rFonts w:ascii="Arial" w:hAnsi="Arial" w:cs="Arial"/>
                            <w:sz w:val="16"/>
                            <w:szCs w:val="16"/>
                          </w:rPr>
                          <w:t>This</w:t>
                        </w:r>
                        <w:r w:rsidR="00A933B5">
                          <w:rPr>
                            <w:rFonts w:ascii="Arial" w:hAnsi="Arial" w:cs="Arial"/>
                            <w:sz w:val="16"/>
                            <w:szCs w:val="16"/>
                          </w:rPr>
                          <w:t xml:space="preserve"> report is for informational purposes only, and is not a solicitation, and should not be considered as investment or tax advice. The information has been drawn from sources believed to be reliable, but its accuracy is not guaranteed, and is subject to change. Opinions are those of AssetMark and may change at any time. Investors seeking more information should discuss with their financial advisor. Financial advisors may seek more information regarding all services offered through the AssetMark platform by contacting AssetMark at 800-664-5345.</w:t>
                        </w:r>
                      </w:p>
                      <w:p w14:paraId="652E85D5" w14:textId="68AC1399" w:rsidR="00A933B5" w:rsidRPr="0069148C" w:rsidRDefault="00A933B5" w:rsidP="00A933B5">
                        <w:pPr>
                          <w:spacing w:after="120" w:line="240" w:lineRule="auto"/>
                          <w:rPr>
                            <w:rFonts w:ascii="Arial" w:hAnsi="Arial" w:cs="Arial"/>
                            <w:sz w:val="16"/>
                            <w:szCs w:val="16"/>
                          </w:rPr>
                        </w:pPr>
                        <w:r>
                          <w:rPr>
                            <w:rFonts w:ascii="Arial" w:hAnsi="Arial" w:cs="Arial"/>
                            <w:b/>
                            <w:sz w:val="16"/>
                            <w:szCs w:val="16"/>
                          </w:rPr>
                          <w:t>Investing involves risk, including the possible loss of principal. Past performance does not guarantee future results.</w:t>
                        </w:r>
                        <w:r>
                          <w:rPr>
                            <w:rFonts w:ascii="Arial" w:hAnsi="Arial" w:cs="Arial"/>
                            <w:sz w:val="16"/>
                            <w:szCs w:val="16"/>
                          </w:rPr>
                          <w:t xml:space="preserve"> Asset allocation alone cannot eliminate the risk of fluctuating prices and uncertain returns. There is no guarantee that a diversified portfolio will outperform a non-diversified portfolio in any given market environment. No investment strategy, such as asset allocation, can guarantee a profit or protect against a loss. Actual client results </w:t>
                        </w:r>
                        <w:r w:rsidRPr="0069148C">
                          <w:rPr>
                            <w:rFonts w:ascii="Arial" w:hAnsi="Arial" w:cs="Arial"/>
                            <w:sz w:val="16"/>
                            <w:szCs w:val="16"/>
                          </w:rPr>
                          <w:t xml:space="preserve">will vary based on investment selection, timing, and market conditions. The market indices shown are non-managed indices shown for reference purposes. Index performance reflects the reinvestment of dividends. It is not possible to invest directly in an index, and index performance does not reflect any deduction for investment advisory fees. </w:t>
                        </w:r>
                      </w:p>
                      <w:p w14:paraId="675CB9D4" w14:textId="77777777" w:rsidR="00DD61D1" w:rsidRPr="0069148C" w:rsidRDefault="00DD61D1" w:rsidP="00DD61D1">
                        <w:pPr>
                          <w:spacing w:after="120" w:line="240" w:lineRule="auto"/>
                          <w:rPr>
                            <w:rFonts w:ascii="Arial" w:hAnsi="Arial" w:cs="Arial"/>
                            <w:sz w:val="16"/>
                            <w:szCs w:val="16"/>
                          </w:rPr>
                        </w:pPr>
                        <w:r w:rsidRPr="0069148C">
                          <w:rPr>
                            <w:rFonts w:ascii="Arial" w:hAnsi="Arial" w:cs="Arial"/>
                            <w:sz w:val="16"/>
                            <w:szCs w:val="16"/>
                          </w:rPr>
                          <w:t>Please read the Terms of Use posted at www.ewealthmanager.com that govern the use of these materials and also be advised:</w:t>
                        </w:r>
                      </w:p>
                      <w:p w14:paraId="3E7B3BBF" w14:textId="5DAAC38C" w:rsidR="00DD61D1" w:rsidRPr="0069148C" w:rsidRDefault="00DD61D1" w:rsidP="00DD61D1">
                        <w:pPr>
                          <w:spacing w:after="120" w:line="240" w:lineRule="auto"/>
                          <w:rPr>
                            <w:rFonts w:ascii="Arial" w:hAnsi="Arial" w:cs="Arial"/>
                            <w:sz w:val="16"/>
                            <w:szCs w:val="16"/>
                          </w:rPr>
                        </w:pPr>
                        <w:r w:rsidRPr="0069148C">
                          <w:rPr>
                            <w:rFonts w:ascii="Arial" w:hAnsi="Arial" w:cs="Arial"/>
                            <w:sz w:val="16"/>
                            <w:szCs w:val="16"/>
                          </w:rPr>
                          <w:t xml:space="preserve">AssetMark uses financial market information (“Information”) from third-party providers (“Providers”) in reports (“Materials”). The Information includes, but is not limited to, financial market data, quotes, news, analyst opinions and research reports. The Materials are for informational purposes only, not a solicitation or for use in the creation/management/offering/sale of any financial instrument or product based thereon and should not be considered investment, legal or tax advice. The Information has been drawn from sources believed to be reliable, but its accuracy and timeliness is not guaranteed, and is subject to change. You agree that neither AssetMark nor the Providers are liable for the use of the Information.   </w:t>
                        </w:r>
                      </w:p>
                      <w:p w14:paraId="2C78C20E" w14:textId="7B1CA720" w:rsidR="00DD61D1" w:rsidRDefault="00DD61D1" w:rsidP="00DD61D1">
                        <w:pPr>
                          <w:spacing w:after="120" w:line="240" w:lineRule="auto"/>
                          <w:rPr>
                            <w:rFonts w:ascii="Arial" w:hAnsi="Arial" w:cs="Arial"/>
                            <w:sz w:val="16"/>
                            <w:szCs w:val="16"/>
                          </w:rPr>
                        </w:pPr>
                        <w:r w:rsidRPr="0069148C">
                          <w:rPr>
                            <w:rFonts w:ascii="Arial" w:hAnsi="Arial" w:cs="Arial"/>
                            <w:sz w:val="16"/>
                            <w:szCs w:val="16"/>
                          </w:rPr>
                          <w:t>You agree not to redistribute the Information to recipients not authorized by AssetMark.  You agree that the Providers are considered to be third-party beneficiaries of the Terms of Use.</w:t>
                        </w:r>
                      </w:p>
                      <w:p w14:paraId="44D139E2" w14:textId="58EEE99C" w:rsidR="00A933B5" w:rsidRDefault="00A933B5" w:rsidP="00A933B5">
                        <w:pPr>
                          <w:spacing w:after="120" w:line="240" w:lineRule="auto"/>
                          <w:rPr>
                            <w:rFonts w:ascii="Arial" w:hAnsi="Arial" w:cs="Arial"/>
                            <w:sz w:val="16"/>
                            <w:szCs w:val="16"/>
                          </w:rPr>
                        </w:pPr>
                        <w:r>
                          <w:rPr>
                            <w:rFonts w:ascii="Arial" w:hAnsi="Arial" w:cs="Arial"/>
                            <w:sz w:val="16"/>
                            <w:szCs w:val="16"/>
                          </w:rPr>
                          <w:t>AssetMark, Inc. is an investment adviser registered with the Securities and Exchange Commission.</w:t>
                        </w:r>
                        <w:r>
                          <w:rPr>
                            <w:rFonts w:ascii="Arial" w:hAnsi="Arial" w:cs="Arial"/>
                            <w:sz w:val="16"/>
                            <w:szCs w:val="16"/>
                          </w:rPr>
                          <w:br/>
                          <w:t>©202</w:t>
                        </w:r>
                        <w:r w:rsidR="00252E6F">
                          <w:rPr>
                            <w:rFonts w:ascii="Arial" w:hAnsi="Arial" w:cs="Arial"/>
                            <w:sz w:val="16"/>
                            <w:szCs w:val="16"/>
                          </w:rPr>
                          <w:t>2</w:t>
                        </w:r>
                        <w:r>
                          <w:rPr>
                            <w:rFonts w:ascii="Arial" w:hAnsi="Arial" w:cs="Arial"/>
                            <w:sz w:val="16"/>
                            <w:szCs w:val="16"/>
                          </w:rPr>
                          <w:t xml:space="preserve"> AssetMark, Inc. All rights reserved.</w:t>
                        </w:r>
                      </w:p>
                      <w:p w14:paraId="29A67675" w14:textId="68D5B5BF" w:rsidR="00A933B5" w:rsidRDefault="006644EA" w:rsidP="00A933B5">
                        <w:pPr>
                          <w:spacing w:after="120" w:line="240" w:lineRule="auto"/>
                          <w:rPr>
                            <w:rFonts w:ascii="Arial" w:hAnsi="Arial" w:cs="Arial"/>
                            <w:sz w:val="16"/>
                            <w:szCs w:val="16"/>
                          </w:rPr>
                        </w:pPr>
                        <w:bookmarkStart w:id="7" w:name="_Hlk92277838"/>
                        <w:r w:rsidRPr="006644EA">
                          <w:rPr>
                            <w:rFonts w:ascii="Arial" w:hAnsi="Arial" w:cs="Arial"/>
                            <w:sz w:val="16"/>
                            <w:szCs w:val="16"/>
                          </w:rPr>
                          <w:t>103921</w:t>
                        </w:r>
                        <w:r w:rsidR="00A933B5" w:rsidRPr="006644EA">
                          <w:rPr>
                            <w:rFonts w:ascii="Arial" w:hAnsi="Arial" w:cs="Arial"/>
                            <w:sz w:val="16"/>
                            <w:szCs w:val="16"/>
                          </w:rPr>
                          <w:t xml:space="preserve"> | </w:t>
                        </w:r>
                        <w:r w:rsidRPr="006644EA">
                          <w:rPr>
                            <w:rFonts w:ascii="Arial" w:hAnsi="Arial" w:cs="Arial"/>
                            <w:sz w:val="16"/>
                            <w:szCs w:val="16"/>
                          </w:rPr>
                          <w:t xml:space="preserve">C22-18672 </w:t>
                        </w:r>
                        <w:r w:rsidR="00A933B5" w:rsidRPr="006644EA">
                          <w:rPr>
                            <w:rFonts w:ascii="Arial" w:hAnsi="Arial" w:cs="Arial"/>
                            <w:sz w:val="16"/>
                            <w:szCs w:val="16"/>
                          </w:rPr>
                          <w:t xml:space="preserve">| </w:t>
                        </w:r>
                        <w:r w:rsidR="00EA74A5" w:rsidRPr="006644EA">
                          <w:rPr>
                            <w:rFonts w:ascii="Arial" w:hAnsi="Arial" w:cs="Arial"/>
                            <w:sz w:val="16"/>
                            <w:szCs w:val="16"/>
                          </w:rPr>
                          <w:t>0</w:t>
                        </w:r>
                        <w:r w:rsidR="00A06210" w:rsidRPr="006644EA">
                          <w:rPr>
                            <w:rFonts w:ascii="Arial" w:hAnsi="Arial" w:cs="Arial"/>
                            <w:sz w:val="16"/>
                            <w:szCs w:val="16"/>
                          </w:rPr>
                          <w:t>4</w:t>
                        </w:r>
                        <w:r w:rsidR="00A933B5" w:rsidRPr="006644EA">
                          <w:rPr>
                            <w:rFonts w:ascii="Arial" w:hAnsi="Arial" w:cs="Arial"/>
                            <w:sz w:val="16"/>
                            <w:szCs w:val="16"/>
                          </w:rPr>
                          <w:t>/202</w:t>
                        </w:r>
                        <w:r w:rsidR="00EA74A5" w:rsidRPr="006644EA">
                          <w:rPr>
                            <w:rFonts w:ascii="Arial" w:hAnsi="Arial" w:cs="Arial"/>
                            <w:sz w:val="16"/>
                            <w:szCs w:val="16"/>
                          </w:rPr>
                          <w:t>2</w:t>
                        </w:r>
                        <w:r w:rsidR="00A933B5" w:rsidRPr="006644EA">
                          <w:rPr>
                            <w:rFonts w:ascii="Arial" w:hAnsi="Arial" w:cs="Arial"/>
                            <w:sz w:val="16"/>
                            <w:szCs w:val="16"/>
                          </w:rPr>
                          <w:t xml:space="preserve"> | EXP </w:t>
                        </w:r>
                        <w:r w:rsidR="00EA74A5" w:rsidRPr="006644EA">
                          <w:rPr>
                            <w:rFonts w:ascii="Arial" w:hAnsi="Arial" w:cs="Arial"/>
                            <w:sz w:val="16"/>
                            <w:szCs w:val="16"/>
                          </w:rPr>
                          <w:t>0</w:t>
                        </w:r>
                        <w:r w:rsidR="00A06210" w:rsidRPr="006644EA">
                          <w:rPr>
                            <w:rFonts w:ascii="Arial" w:hAnsi="Arial" w:cs="Arial"/>
                            <w:sz w:val="16"/>
                            <w:szCs w:val="16"/>
                          </w:rPr>
                          <w:t>4</w:t>
                        </w:r>
                        <w:r w:rsidR="000656D7" w:rsidRPr="006644EA">
                          <w:rPr>
                            <w:rFonts w:ascii="Arial" w:hAnsi="Arial" w:cs="Arial"/>
                            <w:sz w:val="16"/>
                            <w:szCs w:val="16"/>
                          </w:rPr>
                          <w:t>/31</w:t>
                        </w:r>
                        <w:r w:rsidR="00A933B5" w:rsidRPr="006644EA">
                          <w:rPr>
                            <w:rFonts w:ascii="Arial" w:hAnsi="Arial" w:cs="Arial"/>
                            <w:sz w:val="16"/>
                            <w:szCs w:val="16"/>
                          </w:rPr>
                          <w:t>/202</w:t>
                        </w:r>
                        <w:r w:rsidR="00EA74A5" w:rsidRPr="006644EA">
                          <w:rPr>
                            <w:rFonts w:ascii="Arial" w:hAnsi="Arial" w:cs="Arial"/>
                            <w:sz w:val="16"/>
                            <w:szCs w:val="16"/>
                          </w:rPr>
                          <w:t>4</w:t>
                        </w:r>
                      </w:p>
                      <w:bookmarkEnd w:id="6"/>
                      <w:bookmarkEnd w:id="7"/>
                      <w:p w14:paraId="700A5642" w14:textId="69AAD043" w:rsidR="00A933B5" w:rsidRPr="004B1C5E" w:rsidRDefault="00A933B5" w:rsidP="00A933B5">
                        <w:pPr>
                          <w:spacing w:after="120" w:line="240" w:lineRule="auto"/>
                          <w:rPr>
                            <w:rFonts w:ascii="Arial" w:hAnsi="Arial" w:cs="Arial"/>
                            <w:sz w:val="16"/>
                            <w:szCs w:val="16"/>
                          </w:rPr>
                        </w:pPr>
                      </w:p>
                      <w:p w14:paraId="1C5DEE7A" w14:textId="131D87E2" w:rsidR="004F6ABF" w:rsidRPr="004B1C5E" w:rsidRDefault="004F6ABF" w:rsidP="004F6ABF">
                        <w:pPr>
                          <w:spacing w:after="120" w:line="240" w:lineRule="auto"/>
                          <w:rPr>
                            <w:rFonts w:ascii="Arial" w:hAnsi="Arial" w:cs="Arial"/>
                            <w:sz w:val="16"/>
                            <w:szCs w:val="16"/>
                          </w:rPr>
                        </w:pPr>
                      </w:p>
                    </w:txbxContent>
                  </v:textbox>
                </v:shape>
                <v:shape id="Text Box 23" o:spid="_x0000_s1030" type="#_x0000_t202" style="position:absolute;left:486;top:4084;width:13909;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4077A185" w14:textId="77777777" w:rsidR="004F6ABF" w:rsidRPr="00A57DA9" w:rsidRDefault="004F6ABF" w:rsidP="004F6ABF">
                        <w:pPr>
                          <w:spacing w:after="120"/>
                          <w:rPr>
                            <w:rFonts w:ascii="Arial" w:hAnsi="Arial" w:cs="Arial"/>
                            <w:b/>
                            <w:sz w:val="16"/>
                            <w:szCs w:val="16"/>
                          </w:rPr>
                        </w:pPr>
                        <w:r w:rsidRPr="00A57DA9">
                          <w:rPr>
                            <w:rFonts w:ascii="Arial" w:hAnsi="Arial" w:cs="Arial"/>
                            <w:b/>
                            <w:sz w:val="16"/>
                            <w:szCs w:val="16"/>
                          </w:rPr>
                          <w:t>AssetMark, Inc.</w:t>
                        </w:r>
                      </w:p>
                      <w:p w14:paraId="487C5125" w14:textId="77777777" w:rsidR="004F6ABF" w:rsidRPr="00A57DA9" w:rsidRDefault="004F6ABF" w:rsidP="004F6ABF">
                        <w:pPr>
                          <w:spacing w:after="120"/>
                          <w:rPr>
                            <w:rFonts w:ascii="Arial" w:hAnsi="Arial" w:cs="Arial"/>
                            <w:sz w:val="16"/>
                            <w:szCs w:val="16"/>
                          </w:rPr>
                        </w:pPr>
                        <w:r w:rsidRPr="00A57DA9">
                          <w:rPr>
                            <w:rFonts w:ascii="Arial" w:hAnsi="Arial" w:cs="Arial"/>
                            <w:sz w:val="16"/>
                            <w:szCs w:val="16"/>
                          </w:rPr>
                          <w:t>1655 Grant Street</w:t>
                        </w:r>
                        <w:r w:rsidRPr="00A57DA9">
                          <w:rPr>
                            <w:rFonts w:ascii="Arial" w:hAnsi="Arial" w:cs="Arial"/>
                            <w:sz w:val="16"/>
                            <w:szCs w:val="16"/>
                          </w:rPr>
                          <w:br/>
                          <w:t>10</w:t>
                        </w:r>
                        <w:r w:rsidRPr="00A57DA9">
                          <w:rPr>
                            <w:rFonts w:ascii="Arial" w:hAnsi="Arial" w:cs="Arial"/>
                            <w:sz w:val="16"/>
                            <w:szCs w:val="16"/>
                            <w:vertAlign w:val="superscript"/>
                          </w:rPr>
                          <w:t>th</w:t>
                        </w:r>
                        <w:r w:rsidRPr="00A57DA9">
                          <w:rPr>
                            <w:rFonts w:ascii="Arial" w:hAnsi="Arial" w:cs="Arial"/>
                            <w:sz w:val="16"/>
                            <w:szCs w:val="16"/>
                          </w:rPr>
                          <w:t xml:space="preserve"> Floor</w:t>
                        </w:r>
                        <w:r w:rsidRPr="00A57DA9">
                          <w:rPr>
                            <w:rFonts w:ascii="Arial" w:hAnsi="Arial" w:cs="Arial"/>
                            <w:sz w:val="16"/>
                            <w:szCs w:val="16"/>
                          </w:rPr>
                          <w:br/>
                          <w:t>Concord, CA 94520-2445</w:t>
                        </w:r>
                        <w:r w:rsidRPr="00A57DA9">
                          <w:rPr>
                            <w:rFonts w:ascii="Arial" w:hAnsi="Arial" w:cs="Arial"/>
                            <w:sz w:val="16"/>
                            <w:szCs w:val="16"/>
                          </w:rPr>
                          <w:br/>
                          <w:t>800-664-5345</w:t>
                        </w:r>
                      </w:p>
                    </w:txbxContent>
                  </v:textbox>
                </v:shape>
                <w10:wrap type="tight" anchorx="margin" anchory="margin"/>
              </v:group>
            </w:pict>
          </mc:Fallback>
        </mc:AlternateContent>
      </w:r>
    </w:p>
    <w:sectPr w:rsidR="000F6A69" w:rsidRPr="009F65E5" w:rsidSect="00890AD2">
      <w:type w:val="continuous"/>
      <w:pgSz w:w="12240" w:h="15840"/>
      <w:pgMar w:top="-1659" w:right="1440" w:bottom="15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83468" w14:textId="77777777" w:rsidR="005615BF" w:rsidRDefault="005615BF" w:rsidP="005C1D70">
      <w:pPr>
        <w:spacing w:after="0" w:line="240" w:lineRule="auto"/>
      </w:pPr>
      <w:r>
        <w:separator/>
      </w:r>
    </w:p>
  </w:endnote>
  <w:endnote w:type="continuationSeparator" w:id="0">
    <w:p w14:paraId="593F1D5E" w14:textId="77777777" w:rsidR="005615BF" w:rsidRDefault="005615BF" w:rsidP="005C1D70">
      <w:pPr>
        <w:spacing w:after="0" w:line="240" w:lineRule="auto"/>
      </w:pPr>
      <w:r>
        <w:continuationSeparator/>
      </w:r>
    </w:p>
  </w:endnote>
  <w:endnote w:id="1">
    <w:p w14:paraId="04188355" w14:textId="2ADD7BB1" w:rsidR="004C4F52" w:rsidRPr="00FF3152" w:rsidRDefault="004C4F52">
      <w:pPr>
        <w:pStyle w:val="EndnoteText"/>
        <w:rPr>
          <w:rFonts w:ascii="Arial" w:hAnsi="Arial" w:cs="Arial"/>
          <w:sz w:val="16"/>
          <w:szCs w:val="16"/>
        </w:rPr>
      </w:pPr>
      <w:r w:rsidRPr="00FF3152">
        <w:rPr>
          <w:rStyle w:val="EndnoteReference"/>
          <w:rFonts w:ascii="Arial" w:hAnsi="Arial" w:cs="Arial"/>
          <w:sz w:val="16"/>
          <w:szCs w:val="16"/>
        </w:rPr>
        <w:endnoteRef/>
      </w:r>
      <w:r w:rsidRPr="00FF3152">
        <w:rPr>
          <w:rFonts w:ascii="Arial" w:hAnsi="Arial" w:cs="Arial"/>
          <w:sz w:val="16"/>
          <w:szCs w:val="16"/>
        </w:rPr>
        <w:t xml:space="preserve"> JPMorgan Guide to the Markets.  Q1’2022</w:t>
      </w:r>
    </w:p>
  </w:endnote>
  <w:endnote w:id="2">
    <w:p w14:paraId="506E9EAF" w14:textId="03779E95" w:rsidR="00C87FA0" w:rsidRPr="00FF3152" w:rsidRDefault="00C87FA0">
      <w:pPr>
        <w:pStyle w:val="EndnoteText"/>
        <w:rPr>
          <w:rFonts w:ascii="Arial" w:hAnsi="Arial" w:cs="Arial"/>
          <w:sz w:val="16"/>
          <w:szCs w:val="16"/>
        </w:rPr>
      </w:pPr>
      <w:r w:rsidRPr="00FF3152">
        <w:rPr>
          <w:rStyle w:val="EndnoteReference"/>
          <w:rFonts w:ascii="Arial" w:hAnsi="Arial" w:cs="Arial"/>
          <w:sz w:val="16"/>
          <w:szCs w:val="16"/>
        </w:rPr>
        <w:endnoteRef/>
      </w:r>
      <w:r w:rsidRPr="00FF3152">
        <w:rPr>
          <w:rFonts w:ascii="Arial" w:hAnsi="Arial" w:cs="Arial"/>
          <w:sz w:val="16"/>
          <w:szCs w:val="16"/>
        </w:rPr>
        <w:t xml:space="preserve"> https://www.morningstar.com/articles/1087132/13-charts-on-the-markets-first-quarter-performance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2884803"/>
      <w:docPartObj>
        <w:docPartGallery w:val="Page Numbers (Bottom of Page)"/>
        <w:docPartUnique/>
      </w:docPartObj>
    </w:sdtPr>
    <w:sdtEndPr>
      <w:rPr>
        <w:rStyle w:val="PageNumber"/>
      </w:rPr>
    </w:sdtEndPr>
    <w:sdtContent>
      <w:p w14:paraId="6A74A47C" w14:textId="77777777" w:rsidR="007C4C9B" w:rsidRDefault="007C4C9B" w:rsidP="007E4E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D71998" w14:textId="77777777" w:rsidR="005C1D70" w:rsidRDefault="005C1D70"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themeColor="background2" w:themeShade="80"/>
        <w:sz w:val="20"/>
      </w:rPr>
      <w:id w:val="1965231298"/>
      <w:docPartObj>
        <w:docPartGallery w:val="Page Numbers (Bottom of Page)"/>
        <w:docPartUnique/>
      </w:docPartObj>
    </w:sdtPr>
    <w:sdtEndPr>
      <w:rPr>
        <w:rStyle w:val="PageNumber"/>
      </w:rPr>
    </w:sdtEndPr>
    <w:sdtContent>
      <w:p w14:paraId="667BBCF9" w14:textId="77777777" w:rsidR="007C4C9B" w:rsidRPr="007C4C9B" w:rsidRDefault="007C4C9B" w:rsidP="007C4C9B">
        <w:pPr>
          <w:pStyle w:val="Footer"/>
          <w:framePr w:wrap="none" w:vAnchor="text" w:hAnchor="page" w:x="11383" w:y="263"/>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sidR="00C146FF">
          <w:rPr>
            <w:rStyle w:val="PageNumber"/>
            <w:rFonts w:ascii="Arial" w:hAnsi="Arial" w:cs="Arial"/>
            <w:noProof/>
            <w:color w:val="767171" w:themeColor="background2" w:themeShade="80"/>
            <w:sz w:val="20"/>
          </w:rPr>
          <w:t>4</w:t>
        </w:r>
        <w:r w:rsidRPr="007C4C9B">
          <w:rPr>
            <w:rStyle w:val="PageNumber"/>
            <w:rFonts w:ascii="Arial" w:hAnsi="Arial" w:cs="Arial"/>
            <w:color w:val="767171" w:themeColor="background2" w:themeShade="80"/>
            <w:sz w:val="20"/>
          </w:rPr>
          <w:fldChar w:fldCharType="end"/>
        </w:r>
      </w:p>
    </w:sdtContent>
  </w:sdt>
  <w:p w14:paraId="340D8F79" w14:textId="77777777" w:rsidR="005C1D70" w:rsidRDefault="00FE3FBC" w:rsidP="007C4C9B">
    <w:pPr>
      <w:pStyle w:val="Footer"/>
      <w:ind w:right="360"/>
    </w:pPr>
    <w:r>
      <w:rPr>
        <w:noProof/>
      </w:rPr>
      <mc:AlternateContent>
        <mc:Choice Requires="wps">
          <w:drawing>
            <wp:anchor distT="0" distB="0" distL="114300" distR="114300" simplePos="0" relativeHeight="251666432" behindDoc="0" locked="0" layoutInCell="1" allowOverlap="1" wp14:anchorId="20DA12BF" wp14:editId="154F3E05">
              <wp:simplePos x="0" y="0"/>
              <wp:positionH relativeFrom="column">
                <wp:posOffset>-457200</wp:posOffset>
              </wp:positionH>
              <wp:positionV relativeFrom="paragraph">
                <wp:posOffset>78740</wp:posOffset>
              </wp:positionV>
              <wp:extent cx="2743200"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43200" cy="252730"/>
                      </a:xfrm>
                      <a:prstGeom prst="rect">
                        <a:avLst/>
                      </a:prstGeom>
                      <a:noFill/>
                      <a:ln w="6350">
                        <a:noFill/>
                      </a:ln>
                    </wps:spPr>
                    <wps:txbx>
                      <w:txbxContent>
                        <w:p w14:paraId="312E4BBA" w14:textId="77777777" w:rsidR="00FE3FBC" w:rsidRPr="005C1D70" w:rsidRDefault="00FE3FBC" w:rsidP="00FE3FBC">
                          <w:pPr>
                            <w:rPr>
                              <w:rFonts w:ascii="Arial" w:hAnsi="Arial" w:cs="Arial"/>
                              <w:color w:val="767171" w:themeColor="background2" w:themeShade="80"/>
                              <w:sz w:val="18"/>
                            </w:rPr>
                          </w:pPr>
                          <w:r>
                            <w:rPr>
                              <w:rFonts w:ascii="Arial" w:hAnsi="Arial" w:cs="Arial"/>
                              <w:color w:val="767171" w:themeColor="background2" w:themeShade="80"/>
                              <w:sz w:val="20"/>
                              <w:szCs w:val="36"/>
                            </w:rPr>
                            <w:t xml:space="preserve">For </w:t>
                          </w:r>
                          <w:proofErr w:type="gramStart"/>
                          <w:r w:rsidR="00A02EE9">
                            <w:rPr>
                              <w:rFonts w:ascii="Arial" w:hAnsi="Arial" w:cs="Arial"/>
                              <w:color w:val="767171" w:themeColor="background2" w:themeShade="80"/>
                              <w:sz w:val="20"/>
                              <w:szCs w:val="36"/>
                            </w:rPr>
                            <w:t>general public</w:t>
                          </w:r>
                          <w:proofErr w:type="gramEnd"/>
                          <w:r w:rsidR="00A02EE9">
                            <w:rPr>
                              <w:rFonts w:ascii="Arial" w:hAnsi="Arial" w:cs="Arial"/>
                              <w:color w:val="767171" w:themeColor="background2" w:themeShade="80"/>
                              <w:sz w:val="20"/>
                              <w:szCs w:val="36"/>
                            </w:rPr>
                            <w:t xml:space="preserve"> use</w:t>
                          </w:r>
                          <w:r>
                            <w:rPr>
                              <w:rFonts w:ascii="Arial" w:hAnsi="Arial" w:cs="Arial"/>
                              <w:color w:val="767171" w:themeColor="background2" w:themeShade="80"/>
                              <w:sz w:val="20"/>
                              <w:szCs w:val="36"/>
                            </w:rPr>
                            <w:t>.</w:t>
                          </w:r>
                        </w:p>
                        <w:p w14:paraId="581BF8DC" w14:textId="77777777" w:rsidR="007C4C9B" w:rsidRPr="005C1D70" w:rsidRDefault="007C4C9B" w:rsidP="007C4C9B">
                          <w:pPr>
                            <w:rPr>
                              <w:rFonts w:ascii="Arial" w:hAnsi="Arial" w:cs="Arial"/>
                              <w:color w:val="767171" w:themeColor="background2" w:themeShade="80"/>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1" type="#_x0000_t202" style="position:absolute;margin-left:-36pt;margin-top:6.2pt;width:3in;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7LAIAAE0EAAAOAAAAZHJzL2Uyb0RvYy54bWysVMuO2jAU3VfqP1jel/CmRYQRnRFVJTQz&#10;ElSzNo4DkRJf1zYk9Ot77ARmNO2q6sa5L9/HOddZ3DVVyc7KuoJ0yge9PmdKS8oKfUj5j93602fO&#10;nBc6EyVplfKLcvxu+fHDojZzNaQjlZmyDEm0m9cm5UfvzTxJnDyqSrgeGaXhzMlWwkO1hySzokb2&#10;qkyG/f40qclmxpJUzsH60Dr5MubPcyX9U5475VmZcvTm42njuQ9nslyI+cEKcyxk14b4hy4qUWgU&#10;vaV6EF6wky3+SFUV0pKj3PckVQnleSFVnAHTDPrvptkehVFxFoDjzA0m9//Sysfzs2VFlvIpZ1pU&#10;oGinGs++UsOmAZ3auDmCtgZhvoEZLF/tDsYwdJPbKnwxDoMfOF9u2IZkEsbhbDwCYZxJ+IaT4WwU&#10;wU9ebxvr/DdFFQtCyi24i5CK88Z5dILQa0gopmldlGXkr9SsxgCjST9euHlwo9S4GGZoew2Sb/ZN&#10;N9iesgvmstTuhTNyXaD4Rjj/LCwWAf1iuf0TjrwkFKFO4uxI9tff7CEe/MDLWY3FSrn7eRJWcVZ+&#10;12AubGEUxpPZEIqNypfBeAxl/9ajT9U9YW8HeEJGRjHE+/Iq5paqF+z/KlSES2iJuin3V/Het6uO&#10;9yPVahWDsHdG+I3eGhlSBygDrLvmRVjTYe/B2iNd10/M31HQxrYkrE6e8iLyE8BtEe0wx85G2rr3&#10;FR7FWz1Gvf4Flr8BAAD//wMAUEsDBBQABgAIAAAAIQBINX5x4QAAAAkBAAAPAAAAZHJzL2Rvd25y&#10;ZXYueG1sTI/BTsMwEETvSPyDtUhcUOskhQIhToUqIbiARKkqcXPjJU6x11HstoGvZznBcWdGs2+q&#10;xeidOOAQu0AK8mkGAqkJpqNWwfrtYXIDIiZNRrtAqOALIyzq05NKlyYc6RUPq9QKLqFYagU2pb6U&#10;MjYWvY7T0COx9xEGrxOfQyvNoI9c7p0ssmwuve6IP1jd49Ji87naewVP77vb9Jy7/NvuzMvyYjPr&#10;N+tHpc7Pxvs7EAnH9BeGX3xGh5qZtmFPJgqnYHJd8JbERnEJggOzecbCVsFVUYCsK/l/Qf0DAAD/&#10;/wMAUEsBAi0AFAAGAAgAAAAhALaDOJL+AAAA4QEAABMAAAAAAAAAAAAAAAAAAAAAAFtDb250ZW50&#10;X1R5cGVzXS54bWxQSwECLQAUAAYACAAAACEAOP0h/9YAAACUAQAACwAAAAAAAAAAAAAAAAAvAQAA&#10;X3JlbHMvLnJlbHNQSwECLQAUAAYACAAAACEA3Q9v+ywCAABNBAAADgAAAAAAAAAAAAAAAAAuAgAA&#10;ZHJzL2Uyb0RvYy54bWxQSwECLQAUAAYACAAAACEASDV+ceEAAAAJAQAADwAAAAAAAAAAAAAAAACG&#10;BAAAZHJzL2Rvd25yZXYueG1sUEsFBgAAAAAEAAQA8wAAAJQFAAAAAA==&#10;" filled="f" stroked="f" strokeweight=".5pt">
              <v:textbox inset="0">
                <w:txbxContent>
                  <w:p w14:paraId="312E4BBA" w14:textId="77777777" w:rsidR="00FE3FBC" w:rsidRPr="005C1D70" w:rsidRDefault="00FE3FBC" w:rsidP="00FE3FBC">
                    <w:pPr>
                      <w:rPr>
                        <w:rFonts w:ascii="Arial" w:hAnsi="Arial" w:cs="Arial"/>
                        <w:color w:val="767171" w:themeColor="background2" w:themeShade="80"/>
                        <w:sz w:val="18"/>
                      </w:rPr>
                    </w:pPr>
                    <w:r>
                      <w:rPr>
                        <w:rFonts w:ascii="Arial" w:hAnsi="Arial" w:cs="Arial"/>
                        <w:color w:val="767171" w:themeColor="background2" w:themeShade="80"/>
                        <w:sz w:val="20"/>
                        <w:szCs w:val="36"/>
                      </w:rPr>
                      <w:t xml:space="preserve">For </w:t>
                    </w:r>
                    <w:r w:rsidR="00A02EE9">
                      <w:rPr>
                        <w:rFonts w:ascii="Arial" w:hAnsi="Arial" w:cs="Arial"/>
                        <w:color w:val="767171" w:themeColor="background2" w:themeShade="80"/>
                        <w:sz w:val="20"/>
                        <w:szCs w:val="36"/>
                      </w:rPr>
                      <w:t>general public use</w:t>
                    </w:r>
                    <w:r>
                      <w:rPr>
                        <w:rFonts w:ascii="Arial" w:hAnsi="Arial" w:cs="Arial"/>
                        <w:color w:val="767171" w:themeColor="background2" w:themeShade="80"/>
                        <w:sz w:val="20"/>
                        <w:szCs w:val="36"/>
                      </w:rPr>
                      <w:t>.</w:t>
                    </w:r>
                  </w:p>
                  <w:p w14:paraId="581BF8DC" w14:textId="77777777" w:rsidR="007C4C9B" w:rsidRPr="005C1D70" w:rsidRDefault="007C4C9B" w:rsidP="007C4C9B">
                    <w:pPr>
                      <w:rPr>
                        <w:rFonts w:ascii="Arial" w:hAnsi="Arial" w:cs="Arial"/>
                        <w:color w:val="767171" w:themeColor="background2" w:themeShade="80"/>
                        <w:sz w:val="18"/>
                      </w:rPr>
                    </w:pPr>
                  </w:p>
                </w:txbxContent>
              </v:textbox>
            </v:shape>
          </w:pict>
        </mc:Fallback>
      </mc:AlternateContent>
    </w:r>
    <w:r w:rsidR="007C4C9B">
      <w:rPr>
        <w:noProof/>
      </w:rPr>
      <mc:AlternateContent>
        <mc:Choice Requires="wps">
          <w:drawing>
            <wp:anchor distT="0" distB="0" distL="114300" distR="114300" simplePos="0" relativeHeight="2516684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232D97A9" w14:textId="77777777"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2" type="#_x0000_t202" style="position:absolute;margin-left:424.15pt;margin-top:9.25pt;width:69.6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232D97A9" w14:textId="77777777"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r w:rsidR="007C4C9B">
      <w:rPr>
        <w:noProof/>
      </w:rPr>
      <mc:AlternateContent>
        <mc:Choice Requires="wps">
          <w:drawing>
            <wp:anchor distT="0" distB="0" distL="114300" distR="114300" simplePos="0" relativeHeight="251664384"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CA8D5D"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767171" w:themeColor="background2" w:themeShade="80"/>
        <w:sz w:val="20"/>
      </w:rPr>
      <w:id w:val="-1014764887"/>
      <w:docPartObj>
        <w:docPartGallery w:val="Page Numbers (Bottom of Page)"/>
        <w:docPartUnique/>
      </w:docPartObj>
    </w:sdtPr>
    <w:sdtEndPr>
      <w:rPr>
        <w:rStyle w:val="PageNumber"/>
      </w:rPr>
    </w:sdtEndPr>
    <w:sdtContent>
      <w:p w14:paraId="4C8522BA" w14:textId="77777777" w:rsidR="00996FBD" w:rsidRPr="007C4C9B" w:rsidRDefault="00996FBD" w:rsidP="00996FBD">
        <w:pPr>
          <w:pStyle w:val="Footer"/>
          <w:framePr w:wrap="none" w:vAnchor="text" w:hAnchor="page" w:x="11383" w:y="248"/>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sidR="00992B9C">
          <w:rPr>
            <w:rStyle w:val="PageNumber"/>
            <w:rFonts w:ascii="Arial" w:hAnsi="Arial" w:cs="Arial"/>
            <w:noProof/>
            <w:color w:val="767171" w:themeColor="background2" w:themeShade="80"/>
            <w:sz w:val="20"/>
          </w:rPr>
          <w:t>1</w:t>
        </w:r>
        <w:r w:rsidRPr="007C4C9B">
          <w:rPr>
            <w:rStyle w:val="PageNumber"/>
            <w:rFonts w:ascii="Arial" w:hAnsi="Arial" w:cs="Arial"/>
            <w:color w:val="767171" w:themeColor="background2" w:themeShade="80"/>
            <w:sz w:val="20"/>
          </w:rPr>
          <w:fldChar w:fldCharType="end"/>
        </w:r>
      </w:p>
    </w:sdtContent>
  </w:sdt>
  <w:p w14:paraId="2A9219EE" w14:textId="77777777" w:rsidR="00996FBD" w:rsidRDefault="00FE3FBC" w:rsidP="00996FBD">
    <w:pPr>
      <w:pStyle w:val="Footer"/>
    </w:pPr>
    <w:r w:rsidRPr="00996FBD">
      <w:rPr>
        <w:noProof/>
      </w:rPr>
      <mc:AlternateContent>
        <mc:Choice Requires="wps">
          <w:drawing>
            <wp:anchor distT="0" distB="0" distL="114300" distR="114300" simplePos="0" relativeHeight="251676672" behindDoc="0" locked="0" layoutInCell="1" allowOverlap="1" wp14:anchorId="2EFAE302" wp14:editId="1E349912">
              <wp:simplePos x="0" y="0"/>
              <wp:positionH relativeFrom="column">
                <wp:posOffset>-447040</wp:posOffset>
              </wp:positionH>
              <wp:positionV relativeFrom="paragraph">
                <wp:posOffset>78740</wp:posOffset>
              </wp:positionV>
              <wp:extent cx="2743200"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43200" cy="252730"/>
                      </a:xfrm>
                      <a:prstGeom prst="rect">
                        <a:avLst/>
                      </a:prstGeom>
                      <a:noFill/>
                      <a:ln w="6350">
                        <a:noFill/>
                      </a:ln>
                    </wps:spPr>
                    <wps:txbx>
                      <w:txbxContent>
                        <w:p w14:paraId="02AEC2E0" w14:textId="77777777" w:rsidR="00996FBD" w:rsidRPr="005C1D70" w:rsidRDefault="00996FBD" w:rsidP="00996FBD">
                          <w:pPr>
                            <w:rPr>
                              <w:rFonts w:ascii="Arial" w:hAnsi="Arial" w:cs="Arial"/>
                              <w:color w:val="767171" w:themeColor="background2" w:themeShade="80"/>
                              <w:sz w:val="18"/>
                            </w:rPr>
                          </w:pPr>
                          <w:r>
                            <w:rPr>
                              <w:rFonts w:ascii="Arial" w:hAnsi="Arial" w:cs="Arial"/>
                              <w:color w:val="767171" w:themeColor="background2" w:themeShade="80"/>
                              <w:sz w:val="20"/>
                              <w:szCs w:val="36"/>
                            </w:rPr>
                            <w:t xml:space="preserve">For </w:t>
                          </w:r>
                          <w:proofErr w:type="gramStart"/>
                          <w:r w:rsidR="0069692B">
                            <w:rPr>
                              <w:rFonts w:ascii="Arial" w:hAnsi="Arial" w:cs="Arial"/>
                              <w:color w:val="767171" w:themeColor="background2" w:themeShade="80"/>
                              <w:sz w:val="20"/>
                              <w:szCs w:val="36"/>
                            </w:rPr>
                            <w:t>general public</w:t>
                          </w:r>
                          <w:proofErr w:type="gramEnd"/>
                          <w:r w:rsidR="0069692B">
                            <w:rPr>
                              <w:rFonts w:ascii="Arial" w:hAnsi="Arial" w:cs="Arial"/>
                              <w:color w:val="767171" w:themeColor="background2" w:themeShade="80"/>
                              <w:sz w:val="20"/>
                              <w:szCs w:val="36"/>
                            </w:rPr>
                            <w:t xml:space="preserve"> use</w:t>
                          </w:r>
                          <w:r w:rsidR="00FE3FBC">
                            <w:rPr>
                              <w:rFonts w:ascii="Arial" w:hAnsi="Arial" w:cs="Arial"/>
                              <w:color w:val="767171" w:themeColor="background2" w:themeShade="80"/>
                              <w:sz w:val="20"/>
                              <w:szCs w:val="36"/>
                            </w:rPr>
                            <w: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5" type="#_x0000_t202" style="position:absolute;margin-left:-35.2pt;margin-top:6.2pt;width:3in;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w4MQIAAFYEAAAOAAAAZHJzL2Uyb0RvYy54bWysVMtu2zAQvBfoPxC81/IzaQXLgZvARQEj&#10;CWAXOdMUZQuQuCxJW3K/vkPKcoK0p6IXal9c7s7san7X1hU7KetK0hkfDYacKS0pL/U+4z+2q0+f&#10;OXNe6FxUpFXGz8rxu8XHD/PGpGpMB6pyZRmSaJc2JuMH702aJE4eVC3cgIzScBZka+Gh2n2SW9Eg&#10;e10l4+HwJmnI5saSVM7B+tA5+SLmLwol/VNROOVZlXHU5uNp47kLZ7KYi3RvhTmU8lKG+IcqalFq&#10;PHpN9SC8YEdb/pGqLqUlR4UfSKoTKopSqtgDuhkN33WzOQijYi8Ax5krTO7/pZWPp2fLyhzcTTjT&#10;ogZHW9V69pVaBhPwaYxLEbYxCPQt7Ijt7Q7G0HZb2Dp80RCDH0ifr+iGbBLG8e10Aso4k/CNZ+Pb&#10;SYQ/eb1trPPfFNUsCBm3YC+CKk5r51EJQvuQ8JimVVlVkcFKsybjN5PZMF64enCj0rgYeuhqDZJv&#10;d23sedr3saP8jPYsdQPijFyVqGEtnH8WFhOBsjHl/glHURHeoovE2YHsr7/ZQzyIgpezBhOWcffz&#10;KKzirPquQWEYxyhMZ7djKDYqX0bTKZTdW48+1veEAR5hl4yMYoj3VS8WluoXLMIyvAiX0BLvZtz3&#10;4r3vZh6LJNVyGYMwgEb4td4YGVIHRAO62/ZFWHOhwIO8R+rnUKTvmOhiOy6WR09FGWkKGHeIXqDH&#10;8Eb2LosWtuOtHqNefweL3wAAAP//AwBQSwMEFAAGAAgAAAAhAMMib/jiAAAACQEAAA8AAABkcnMv&#10;ZG93bnJldi54bWxMj8FKw0AQhu+C77CM4EXaTVJNNWZTpCB6UbAtBW/b7JhNzc6G7LaNPr3jSU/D&#10;8H/88025GF0njjiE1pOCdJqAQKq9aalRsFk/Tm5BhKjJ6M4TKvjCAIvq/KzUhfEnesPjKjaCSygU&#10;WoGNsS+kDLVFp8PU90icffjB6cjr0Egz6BOXu05mSZJLp1viC1b3uLRYf64OTsHz+/4uvqRd+m33&#10;5nV5tZ31282TUpcX48M9iIhj/IPhV5/VoWKnnT+QCaJTMJkn14xykPFkYJanOYidgpssA1mV8v8H&#10;1Q8AAAD//wMAUEsBAi0AFAAGAAgAAAAhALaDOJL+AAAA4QEAABMAAAAAAAAAAAAAAAAAAAAAAFtD&#10;b250ZW50X1R5cGVzXS54bWxQSwECLQAUAAYACAAAACEAOP0h/9YAAACUAQAACwAAAAAAAAAAAAAA&#10;AAAvAQAAX3JlbHMvLnJlbHNQSwECLQAUAAYACAAAACEA15pcODECAABWBAAADgAAAAAAAAAAAAAA&#10;AAAuAgAAZHJzL2Uyb0RvYy54bWxQSwECLQAUAAYACAAAACEAwyJv+OIAAAAJAQAADwAAAAAAAAAA&#10;AAAAAACLBAAAZHJzL2Rvd25yZXYueG1sUEsFBgAAAAAEAAQA8wAAAJoFAAAAAA==&#10;" filled="f" stroked="f" strokeweight=".5pt">
              <v:textbox inset="0">
                <w:txbxContent>
                  <w:p w14:paraId="02AEC2E0" w14:textId="77777777" w:rsidR="00996FBD" w:rsidRPr="005C1D70" w:rsidRDefault="00996FBD" w:rsidP="00996FBD">
                    <w:pPr>
                      <w:rPr>
                        <w:rFonts w:ascii="Arial" w:hAnsi="Arial" w:cs="Arial"/>
                        <w:color w:val="767171" w:themeColor="background2" w:themeShade="80"/>
                        <w:sz w:val="18"/>
                      </w:rPr>
                    </w:pPr>
                    <w:r>
                      <w:rPr>
                        <w:rFonts w:ascii="Arial" w:hAnsi="Arial" w:cs="Arial"/>
                        <w:color w:val="767171" w:themeColor="background2" w:themeShade="80"/>
                        <w:sz w:val="20"/>
                        <w:szCs w:val="36"/>
                      </w:rPr>
                      <w:t xml:space="preserve">For </w:t>
                    </w:r>
                    <w:r w:rsidR="0069692B">
                      <w:rPr>
                        <w:rFonts w:ascii="Arial" w:hAnsi="Arial" w:cs="Arial"/>
                        <w:color w:val="767171" w:themeColor="background2" w:themeShade="80"/>
                        <w:sz w:val="20"/>
                        <w:szCs w:val="36"/>
                      </w:rPr>
                      <w:t>general public use</w:t>
                    </w:r>
                    <w:r w:rsidR="00FE3FBC">
                      <w:rPr>
                        <w:rFonts w:ascii="Arial" w:hAnsi="Arial" w:cs="Arial"/>
                        <w:color w:val="767171" w:themeColor="background2" w:themeShade="80"/>
                        <w:sz w:val="20"/>
                        <w:szCs w:val="36"/>
                      </w:rPr>
                      <w:t>.</w:t>
                    </w:r>
                  </w:p>
                </w:txbxContent>
              </v:textbox>
            </v:shape>
          </w:pict>
        </mc:Fallback>
      </mc:AlternateContent>
    </w:r>
    <w:r w:rsidR="00996FBD" w:rsidRPr="00996FBD">
      <w:t xml:space="preserve"> </w:t>
    </w:r>
    <w:r w:rsidR="00996FBD" w:rsidRPr="00996FBD">
      <w:rPr>
        <w:noProof/>
      </w:rPr>
      <mc:AlternateContent>
        <mc:Choice Requires="wps">
          <w:drawing>
            <wp:anchor distT="0" distB="0" distL="114300" distR="114300" simplePos="0" relativeHeight="25167564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64843D" id="Straight Connector 12"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00996FBD" w:rsidRPr="00996FBD">
      <w:rPr>
        <w:noProof/>
      </w:rPr>
      <mc:AlternateContent>
        <mc:Choice Requires="wps">
          <w:drawing>
            <wp:anchor distT="0" distB="0" distL="114300" distR="114300" simplePos="0" relativeHeight="251677696"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39E8C753"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6" type="#_x0000_t202" style="position:absolute;margin-left:424.8pt;margin-top:8.85pt;width:69.6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8SLQIAAFEEAAAOAAAAZHJzL2Uyb0RvYy54bWysVFFv2jAQfp+0/2D5fQQoUBQRKtaKaVLV&#10;VoKpz8ZxIFLi82xDwn79PjuEVt2epr0457vz+b7vO2dx19YVOynrStIZHw2GnCktKS/1PuM/tusv&#10;c86cFzoXFWmV8bNy/G75+dOiMaka04GqXFmGItqljcn4wXuTJomTB1ULNyCjNIIF2Vp4bO0+ya1o&#10;UL2ukvFwOEsasrmxJJVz8D50Qb6M9YtCSf9cFE55VmUcvfm42rjuwposFyLdW2EOpby0If6hi1qU&#10;GpdeSz0IL9jRln+UqktpyVHhB5LqhIqilCpiAJrR8AOazUEYFbGAHGeuNLn/V1Y+nV4sK3NoN+FM&#10;ixoabVXr2VdqGVzgpzEuRdrGING38CO39zs4A+y2sHX4AhBDHEyfr+yGahLO+XwyH884kwiNp+Pb&#10;m8h+8nbYWOe/KapZMDJuIV7kVJwenUcjSO1Twl2a1mVVRQErzZqMz26mw3jgGsGJSuNggNC1Gizf&#10;7toIedrD2FF+BjpL3Xw4I9clengUzr8Ii4EAIAy5f8ZSVIS76GJxdiD762/+kA+dEOWswYBl3P08&#10;Cqs4q75rKBimMRqT6e0YG9t7d++9+ljfE2Z3hGdkZDRDrq96s7BUv+INrMJtCAktcWfGfW/e+27c&#10;8YakWq1iEmbPCP+oN0aG0oHNwOy2fRXWXOj30O2J+hEU6QcVutxOh9XRU1FGiQK/HZsX2jG3UbnL&#10;GwsP4/0+Zr39CZa/AQ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GgoDxItAgAAUQQAAA4AAAAAAAAAAAAAAAAALgIAAGRy&#10;cy9lMm9Eb2MueG1sUEsBAi0AFAAGAAgAAAAhAC1aEgveAAAACQEAAA8AAAAAAAAAAAAAAAAAhwQA&#10;AGRycy9kb3ducmV2LnhtbFBLBQYAAAAABAAEAPMAAACSBQAAAAA=&#10;" filled="f" stroked="f" strokeweight=".5pt">
              <v:textbox inset="0,,0">
                <w:txbxContent>
                  <w:p w14:paraId="39E8C753"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72B6C" w14:textId="77777777" w:rsidR="005615BF" w:rsidRDefault="005615BF" w:rsidP="005C1D70">
      <w:pPr>
        <w:spacing w:after="0" w:line="240" w:lineRule="auto"/>
      </w:pPr>
      <w:r>
        <w:separator/>
      </w:r>
    </w:p>
  </w:footnote>
  <w:footnote w:type="continuationSeparator" w:id="0">
    <w:p w14:paraId="098D0079" w14:textId="77777777" w:rsidR="005615BF" w:rsidRDefault="005615BF"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81D54" w14:textId="77777777" w:rsidR="005C1D70" w:rsidRDefault="00996FBD"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F3B9F2"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B85D0" w14:textId="77777777" w:rsidR="00996FBD" w:rsidRDefault="009C020D">
    <w:pPr>
      <w:pStyle w:val="Header"/>
    </w:pPr>
    <w:r w:rsidRPr="00996FBD">
      <w:rPr>
        <w:noProof/>
      </w:rPr>
      <mc:AlternateContent>
        <mc:Choice Requires="wps">
          <w:drawing>
            <wp:anchor distT="0" distB="0" distL="114300" distR="114300" simplePos="0" relativeHeight="251673600" behindDoc="0" locked="0" layoutInCell="1" allowOverlap="1" wp14:anchorId="315F954A" wp14:editId="74D19A43">
              <wp:simplePos x="0" y="0"/>
              <wp:positionH relativeFrom="column">
                <wp:posOffset>-457201</wp:posOffset>
              </wp:positionH>
              <wp:positionV relativeFrom="paragraph">
                <wp:posOffset>152400</wp:posOffset>
              </wp:positionV>
              <wp:extent cx="1299633" cy="2514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99633" cy="251460"/>
                      </a:xfrm>
                      <a:prstGeom prst="rect">
                        <a:avLst/>
                      </a:prstGeom>
                      <a:noFill/>
                      <a:ln w="6350">
                        <a:noFill/>
                      </a:ln>
                    </wps:spPr>
                    <wps:txbx>
                      <w:txbxContent>
                        <w:p w14:paraId="118167A3" w14:textId="7ED19B2D" w:rsidR="00996FBD" w:rsidRPr="00331075" w:rsidRDefault="004F4FB0" w:rsidP="00996FBD">
                          <w:pPr>
                            <w:rPr>
                              <w:rFonts w:ascii="Arial" w:hAnsi="Arial" w:cs="Arial"/>
                              <w:color w:val="AEAAAA" w:themeColor="background2" w:themeShade="BF"/>
                              <w:sz w:val="18"/>
                            </w:rPr>
                          </w:pPr>
                          <w:r>
                            <w:rPr>
                              <w:rFonts w:ascii="Arial" w:hAnsi="Arial" w:cs="Arial"/>
                              <w:color w:val="AEAAAA" w:themeColor="background2" w:themeShade="BF"/>
                              <w:sz w:val="20"/>
                              <w:szCs w:val="36"/>
                            </w:rPr>
                            <w:t>March</w:t>
                          </w:r>
                          <w:r w:rsidR="00B42A03">
                            <w:rPr>
                              <w:rFonts w:ascii="Arial" w:hAnsi="Arial" w:cs="Arial"/>
                              <w:color w:val="AEAAAA" w:themeColor="background2" w:themeShade="BF"/>
                              <w:sz w:val="20"/>
                              <w:szCs w:val="36"/>
                            </w:rPr>
                            <w:t xml:space="preserve"> </w:t>
                          </w:r>
                          <w:r w:rsidR="006C4671">
                            <w:rPr>
                              <w:rFonts w:ascii="Arial" w:hAnsi="Arial" w:cs="Arial"/>
                              <w:color w:val="AEAAAA" w:themeColor="background2" w:themeShade="BF"/>
                              <w:sz w:val="20"/>
                              <w:szCs w:val="36"/>
                            </w:rPr>
                            <w:t>202</w:t>
                          </w:r>
                          <w:r>
                            <w:rPr>
                              <w:rFonts w:ascii="Arial" w:hAnsi="Arial" w:cs="Arial"/>
                              <w:color w:val="AEAAAA" w:themeColor="background2" w:themeShade="BF"/>
                              <w:sz w:val="20"/>
                              <w:szCs w:val="36"/>
                            </w:rPr>
                            <w:t>2</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954A" id="_x0000_t202" coordsize="21600,21600" o:spt="202" path="m,l,21600r21600,l21600,xe">
              <v:stroke joinstyle="miter"/>
              <v:path gradientshapeok="t" o:connecttype="rect"/>
            </v:shapetype>
            <v:shape id="Text Box 10" o:spid="_x0000_s1033" type="#_x0000_t202" style="position:absolute;margin-left:-36pt;margin-top:12pt;width:102.35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jzMgIAAFYEAAAOAAAAZHJzL2Uyb0RvYy54bWysVE2P2jAQvVfqf7B8L4Hw0YIIK7orqkpo&#10;dyWo9mwcByIlHtc2JPTX99kBdrXtqerFGc+Mx/PeG2d+19YVOynrStIZH/T6nCktKS/1PuM/tqtP&#10;XzhzXuhcVKRVxs/K8bvFxw/zxsxUSgeqcmUZimg3a0zGD96bWZI4eVC1cD0ySiNYkK2Fx9buk9yK&#10;BtXrKkn7/UnSkM2NJamcg/ehC/JFrF8USvqnonDKsyrj6M3H1cZ1F9ZkMRezvRXmUMpLG+IfuqhF&#10;qXHprdSD8IIdbflHqbqUlhwVviepTqgoSqkiBqAZ9N+h2RyEURELyHHmRpP7f2Xl4+nZsjKHdqBH&#10;ixoabVXr2VdqGVzgpzFuhrSNQaJv4Ufu1e/gDLDbwtbhC0AMcZQ639gN1WQ4lE6nk+GQM4lYOh6M&#10;JrF88nraWOe/KapZMDJuoV4kVZzWzqMTpF5TwmWaVmVVRQUrzZqMT4bjfjxwi+BEpXEwYOh6DZZv&#10;d23EnF5x7Cg/A56lbkCckasSPayF88/CYiKACFPun7AUFeEuulicHcj++ps/5EMoRDlrMGEZdz+P&#10;wirOqu8aEoZxjMZo/DnFxsbNdDAaYbN7G9HH+p4wwAO8JSOjGfJ9dTULS/ULHsIy3IiQ0BL3Ztxf&#10;zXvfzTweklTLZUzCABrh13pjZCgdGA3sbtsXYc1FAg/xHuk6h2L2Tokut9NiefRUlFGmwHHH6IV6&#10;DG9U7/LQwut4u49Zr7+DxW8AAAD//wMAUEsDBBQABgAIAAAAIQBmZgPa4gAAAAkBAAAPAAAAZHJz&#10;L2Rvd25yZXYueG1sTI9LS8NAFIX3gv9huIIbaScPSWvMTZGC6MaCtRS6m2aumdR5hMy0jf56pytd&#10;HS7ncO53qsVoNDvR4DtnEdJpAoxs42RnW4TNx/NkDswHYaXQzhLCN3lY1NdXlSilO9t3Oq1Dy2KJ&#10;9aVAUCH0Jee+UWSEn7qebPQ+3WBEiOfQcjmIcyw3mmdJUnAjOhs/KNHTUlHztT4ahNfd4SG8pTr9&#10;UQe5Wt5t8367eUG8vRmfHoEFGsNfGC74ER3qyLR3Rys90wiTWRa3BITsPuolkGczYHuEIi+A1xX/&#10;v6D+BQAA//8DAFBLAQItABQABgAIAAAAIQC2gziS/gAAAOEBAAATAAAAAAAAAAAAAAAAAAAAAABb&#10;Q29udGVudF9UeXBlc10ueG1sUEsBAi0AFAAGAAgAAAAhADj9If/WAAAAlAEAAAsAAAAAAAAAAAAA&#10;AAAALwEAAF9yZWxzLy5yZWxzUEsBAi0AFAAGAAgAAAAhAIgz2PMyAgAAVgQAAA4AAAAAAAAAAAAA&#10;AAAALgIAAGRycy9lMm9Eb2MueG1sUEsBAi0AFAAGAAgAAAAhAGZmA9riAAAACQEAAA8AAAAAAAAA&#10;AAAAAAAAjAQAAGRycy9kb3ducmV2LnhtbFBLBQYAAAAABAAEAPMAAACbBQAAAAA=&#10;" filled="f" stroked="f" strokeweight=".5pt">
              <v:textbox inset="0">
                <w:txbxContent>
                  <w:p w14:paraId="118167A3" w14:textId="7ED19B2D" w:rsidR="00996FBD" w:rsidRPr="00331075" w:rsidRDefault="004F4FB0" w:rsidP="00996FBD">
                    <w:pPr>
                      <w:rPr>
                        <w:rFonts w:ascii="Arial" w:hAnsi="Arial" w:cs="Arial"/>
                        <w:color w:val="AEAAAA" w:themeColor="background2" w:themeShade="BF"/>
                        <w:sz w:val="18"/>
                      </w:rPr>
                    </w:pPr>
                    <w:r>
                      <w:rPr>
                        <w:rFonts w:ascii="Arial" w:hAnsi="Arial" w:cs="Arial"/>
                        <w:color w:val="AEAAAA" w:themeColor="background2" w:themeShade="BF"/>
                        <w:sz w:val="20"/>
                        <w:szCs w:val="36"/>
                      </w:rPr>
                      <w:t>March</w:t>
                    </w:r>
                    <w:r w:rsidR="00B42A03">
                      <w:rPr>
                        <w:rFonts w:ascii="Arial" w:hAnsi="Arial" w:cs="Arial"/>
                        <w:color w:val="AEAAAA" w:themeColor="background2" w:themeShade="BF"/>
                        <w:sz w:val="20"/>
                        <w:szCs w:val="36"/>
                      </w:rPr>
                      <w:t xml:space="preserve"> </w:t>
                    </w:r>
                    <w:r w:rsidR="006C4671">
                      <w:rPr>
                        <w:rFonts w:ascii="Arial" w:hAnsi="Arial" w:cs="Arial"/>
                        <w:color w:val="AEAAAA" w:themeColor="background2" w:themeShade="BF"/>
                        <w:sz w:val="20"/>
                        <w:szCs w:val="36"/>
                      </w:rPr>
                      <w:t>202</w:t>
                    </w:r>
                    <w:r>
                      <w:rPr>
                        <w:rFonts w:ascii="Arial" w:hAnsi="Arial" w:cs="Arial"/>
                        <w:color w:val="AEAAAA" w:themeColor="background2" w:themeShade="BF"/>
                        <w:sz w:val="20"/>
                        <w:szCs w:val="36"/>
                      </w:rPr>
                      <w:t>2</w:t>
                    </w:r>
                  </w:p>
                </w:txbxContent>
              </v:textbox>
            </v:shape>
          </w:pict>
        </mc:Fallback>
      </mc:AlternateContent>
    </w:r>
    <w:r w:rsidR="00331075" w:rsidRPr="00996FBD">
      <w:rPr>
        <w:noProof/>
      </w:rPr>
      <mc:AlternateContent>
        <mc:Choice Requires="wps">
          <w:drawing>
            <wp:anchor distT="0" distB="0" distL="114300" distR="114300" simplePos="0" relativeHeight="251672576" behindDoc="0" locked="0" layoutInCell="1" allowOverlap="1" wp14:anchorId="3B8485CB" wp14:editId="5B83F65F">
              <wp:simplePos x="0" y="0"/>
              <wp:positionH relativeFrom="column">
                <wp:posOffset>-451413</wp:posOffset>
              </wp:positionH>
              <wp:positionV relativeFrom="paragraph">
                <wp:posOffset>457200</wp:posOffset>
              </wp:positionV>
              <wp:extent cx="4805045" cy="755819"/>
              <wp:effectExtent l="0" t="0" r="0" b="0"/>
              <wp:wrapNone/>
              <wp:docPr id="9" name="Text Box 9"/>
              <wp:cNvGraphicFramePr/>
              <a:graphic xmlns:a="http://schemas.openxmlformats.org/drawingml/2006/main">
                <a:graphicData uri="http://schemas.microsoft.com/office/word/2010/wordprocessingShape">
                  <wps:wsp>
                    <wps:cNvSpPr txBox="1"/>
                    <wps:spPr>
                      <a:xfrm>
                        <a:off x="0" y="0"/>
                        <a:ext cx="4805045" cy="755819"/>
                      </a:xfrm>
                      <a:prstGeom prst="rect">
                        <a:avLst/>
                      </a:prstGeom>
                      <a:noFill/>
                      <a:ln w="6350">
                        <a:noFill/>
                      </a:ln>
                    </wps:spPr>
                    <wps:txbx>
                      <w:txbxContent>
                        <w:p w14:paraId="1D6D1B6E" w14:textId="77777777" w:rsidR="00331075" w:rsidRPr="00B5385F" w:rsidRDefault="00F21B59" w:rsidP="00331075">
                          <w:pPr>
                            <w:pStyle w:val="Style1"/>
                            <w:rPr>
                              <w:color w:val="007EBB"/>
                              <w:sz w:val="48"/>
                            </w:rPr>
                          </w:pPr>
                          <w:r w:rsidRPr="00F21B59">
                            <w:rPr>
                              <w:color w:val="BFBFBF" w:themeColor="background1" w:themeShade="BF"/>
                              <w:sz w:val="28"/>
                            </w:rPr>
                            <w:t>QUARTERL</w:t>
                          </w:r>
                          <w:r w:rsidR="00331075" w:rsidRPr="00F21B59">
                            <w:rPr>
                              <w:color w:val="BFBFBF" w:themeColor="background1" w:themeShade="BF"/>
                              <w:sz w:val="28"/>
                            </w:rPr>
                            <w:t>Y</w:t>
                          </w:r>
                          <w:r w:rsidR="00331075" w:rsidRPr="00B5385F">
                            <w:rPr>
                              <w:color w:val="007EBB"/>
                              <w:sz w:val="36"/>
                            </w:rPr>
                            <w:t xml:space="preserve"> </w:t>
                          </w:r>
                        </w:p>
                        <w:p w14:paraId="7DC2028E" w14:textId="77777777" w:rsidR="00996FBD" w:rsidRPr="00C91248" w:rsidRDefault="00331075" w:rsidP="00331075">
                          <w:pPr>
                            <w:pStyle w:val="Heading1"/>
                            <w:rPr>
                              <w:sz w:val="64"/>
                              <w:szCs w:val="64"/>
                            </w:rPr>
                          </w:pPr>
                          <w:r w:rsidRPr="00C91248">
                            <w:rPr>
                              <w:sz w:val="64"/>
                              <w:szCs w:val="64"/>
                            </w:rPr>
                            <w:t>Market Review</w:t>
                          </w:r>
                          <w:r w:rsidR="00996FBD" w:rsidRPr="00C91248">
                            <w:rPr>
                              <w:sz w:val="64"/>
                              <w:szCs w:val="64"/>
                            </w:rPr>
                            <w:t xml:space="preserve">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485CB" id="Text Box 9" o:spid="_x0000_s1034" type="#_x0000_t202" style="position:absolute;margin-left:-35.55pt;margin-top:36pt;width:378.35pt;height: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oMwIAAFQEAAAOAAAAZHJzL2Uyb0RvYy54bWysVFFv2jAQfp+0/2D5fSRQ0kJEqFgrpkmo&#10;rQRTn41jk0iOz7MNCfv1OzuEVt2epr0457vz+b7vO2dx3zWKnIR1NeiCjkcpJUJzKGt9KOiP3frL&#10;jBLnmS6ZAi0KehaO3i8/f1q0JhcTqECVwhIsol3emoJW3ps8SRyvRMPcCIzQGJRgG+Zxaw9JaVmL&#10;1RuVTNL0NmnBlsYCF86h97EP0mWsL6Xg/llKJzxRBcXefFxtXPdhTZYLlh8sM1XNL22wf+iiYbXG&#10;S6+lHpln5GjrP0o1NbfgQPoRhyYBKWsuIgZEM04/oNlWzIiIBclx5kqT+39l+dPpxZK6LOicEs0a&#10;lGgnOk++QkfmgZ3WuByTtgbTfIduVHnwO3QG0J20TfgiHIJx5Pl85TYU4+icztIsnWaUcIzdZdls&#10;HMsnb6eNdf6bgIYEo6AWtYuUstPGeewEU4eUcJmGda1U1E9p0hb09iZL44FrBE8ojQcDhr7XYPlu&#10;30XENwOOPZRnhGehHw9n+LrGHjbM+RdmcR4QEc64f8ZFKsC74GJRUoH99Td/yEeZMEpJi/NVUPfz&#10;yKygRH3XKGAYxmhMs7sJbmzczMfTKW727yP62DwAju8YX5Lh0Qz5Xg2mtNC84jNYhRsxxDTHewvq&#10;B/PB9xOPz4iL1Som4fgZ5jd6a3goHRgN7O66V2bNRQKP4j3BMIUs/6BEn9trsTp6kHWUKXDcM3qh&#10;Hkc3qnd5ZuFtvN/HrLefwfI3AAAA//8DAFBLAwQUAAYACAAAACEApFeMSeIAAAAKAQAADwAAAGRy&#10;cy9kb3ducmV2LnhtbEyPTUvDQBRF94L/YXiCG2knUzFt00yKFEQ3Fqyl0N0088ykzkfITNvor/e5&#10;0uXjHe49t1wOzrIz9rENXoIYZ8DQ10G3vpGwfX8azYDFpLxWNniU8IURltX1VakKHS7+Dc+b1DAK&#10;8bFQEkxKXcF5rA06FcehQ0+/j9A7lejsG657daFwZ/kky3LuVOupwagOVwbrz83JSXjZH+fpVVjx&#10;bY56vbrb3Xe77bOUtzfD4wJYwiH9wfCrT+pQkdMhnLyOzEoYTYUgVMJ0QpsIyGcPObADkXORAa9K&#10;/n9C9QMAAP//AwBQSwECLQAUAAYACAAAACEAtoM4kv4AAADhAQAAEwAAAAAAAAAAAAAAAAAAAAAA&#10;W0NvbnRlbnRfVHlwZXNdLnhtbFBLAQItABQABgAIAAAAIQA4/SH/1gAAAJQBAAALAAAAAAAAAAAA&#10;AAAAAC8BAABfcmVscy8ucmVsc1BLAQItABQABgAIAAAAIQCpE4/oMwIAAFQEAAAOAAAAAAAAAAAA&#10;AAAAAC4CAABkcnMvZTJvRG9jLnhtbFBLAQItABQABgAIAAAAIQCkV4xJ4gAAAAoBAAAPAAAAAAAA&#10;AAAAAAAAAI0EAABkcnMvZG93bnJldi54bWxQSwUGAAAAAAQABADzAAAAnAUAAAAA&#10;" filled="f" stroked="f" strokeweight=".5pt">
              <v:textbox inset="0">
                <w:txbxContent>
                  <w:p w14:paraId="1D6D1B6E" w14:textId="77777777" w:rsidR="00331075" w:rsidRPr="00B5385F" w:rsidRDefault="00F21B59" w:rsidP="00331075">
                    <w:pPr>
                      <w:pStyle w:val="Style1"/>
                      <w:rPr>
                        <w:color w:val="007EBB"/>
                        <w:sz w:val="48"/>
                      </w:rPr>
                    </w:pPr>
                    <w:r w:rsidRPr="00F21B59">
                      <w:rPr>
                        <w:color w:val="BFBFBF" w:themeColor="background1" w:themeShade="BF"/>
                        <w:sz w:val="28"/>
                      </w:rPr>
                      <w:t>QUARTERL</w:t>
                    </w:r>
                    <w:r w:rsidR="00331075" w:rsidRPr="00F21B59">
                      <w:rPr>
                        <w:color w:val="BFBFBF" w:themeColor="background1" w:themeShade="BF"/>
                        <w:sz w:val="28"/>
                      </w:rPr>
                      <w:t>Y</w:t>
                    </w:r>
                    <w:r w:rsidR="00331075" w:rsidRPr="00B5385F">
                      <w:rPr>
                        <w:color w:val="007EBB"/>
                        <w:sz w:val="36"/>
                      </w:rPr>
                      <w:t xml:space="preserve"> </w:t>
                    </w:r>
                  </w:p>
                  <w:p w14:paraId="7DC2028E" w14:textId="77777777" w:rsidR="00996FBD" w:rsidRPr="00C91248" w:rsidRDefault="00331075" w:rsidP="00331075">
                    <w:pPr>
                      <w:pStyle w:val="Heading1"/>
                      <w:rPr>
                        <w:sz w:val="64"/>
                        <w:szCs w:val="64"/>
                      </w:rPr>
                    </w:pPr>
                    <w:r w:rsidRPr="00C91248">
                      <w:rPr>
                        <w:sz w:val="64"/>
                        <w:szCs w:val="64"/>
                      </w:rPr>
                      <w:t>Market Review</w:t>
                    </w:r>
                    <w:r w:rsidR="00996FBD" w:rsidRPr="00C91248">
                      <w:rPr>
                        <w:sz w:val="64"/>
                        <w:szCs w:val="64"/>
                      </w:rPr>
                      <w:t xml:space="preserve">     </w:t>
                    </w:r>
                  </w:p>
                </w:txbxContent>
              </v:textbox>
            </v:shape>
          </w:pict>
        </mc:Fallback>
      </mc:AlternateContent>
    </w:r>
    <w:r w:rsidR="00777E17" w:rsidRPr="00996FBD">
      <w:rPr>
        <w:noProof/>
      </w:rPr>
      <mc:AlternateContent>
        <mc:Choice Requires="wps">
          <w:drawing>
            <wp:anchor distT="0" distB="0" distL="114300" distR="114300" simplePos="0" relativeHeight="251670528" behindDoc="0" locked="0" layoutInCell="1" allowOverlap="1" wp14:anchorId="103FBA55" wp14:editId="72F0F13E">
              <wp:simplePos x="0" y="0"/>
              <wp:positionH relativeFrom="margin">
                <wp:posOffset>-904240</wp:posOffset>
              </wp:positionH>
              <wp:positionV relativeFrom="paragraph">
                <wp:posOffset>1250315</wp:posOffset>
              </wp:positionV>
              <wp:extent cx="7772400" cy="36195"/>
              <wp:effectExtent l="0" t="0" r="0" b="1905"/>
              <wp:wrapNone/>
              <wp:docPr id="8" name="Rectangle 8"/>
              <wp:cNvGraphicFramePr/>
              <a:graphic xmlns:a="http://schemas.openxmlformats.org/drawingml/2006/main">
                <a:graphicData uri="http://schemas.microsoft.com/office/word/2010/wordprocessingShape">
                  <wps:wsp>
                    <wps:cNvSpPr/>
                    <wps:spPr>
                      <a:xfrm flipV="1">
                        <a:off x="0" y="0"/>
                        <a:ext cx="7772400" cy="36195"/>
                      </a:xfrm>
                      <a:prstGeom prst="rect">
                        <a:avLst/>
                      </a:prstGeom>
                      <a:solidFill>
                        <a:srgbClr val="004C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0A5D0" id="Rectangle 8" o:spid="_x0000_s1026" style="position:absolute;margin-left:-71.2pt;margin-top:98.45pt;width:612pt;height:2.85p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yemgIAAI4FAAAOAAAAZHJzL2Uyb0RvYy54bWysVEtP3DAQvlfqf7B8L8luFxZWZNFqKVUl&#10;BAhoOXsde2PJ8bi299Vfz9hOAqWoh6o5RB77m2/ec36xbzXZCucVmIqOjkpKhOFQK7Ou6PfHq0+n&#10;lPjATM00GFHRg/D0Yv7xw/nOzsQYGtC1cARJjJ/tbEWbEOysKDxvRMv8EVhh8FGCa1lA0a2L2rEd&#10;sre6GJflSbEDV1sHXHiPt5f5kc4Tv5SCh1spvQhEVxR9C+nv0n8V/8X8nM3WjtlG8c4N9g9etEwZ&#10;NDpQXbLAyMapP6haxR14kOGIQ1uAlIqLFANGMyrfRPPQMCtSLJgcb4c0+f9Hy2+2d46ouqJYKMNa&#10;LNE9Jo2ZtRbkNKZnZ/0MUQ/2znWSx2OMdS9dS6RW9gdWPkWP8ZB9Su5hSK7YB8Lxcjqdjicl1oDj&#10;2+eT0dlxZC8yTaSzzoevAloSDxV16EYiZdtrHzK0h0S4B63qK6V1Etx6tdSObFmsczlZTr907L/B&#10;tIlgA1EtM8abIoaYg0qncNAi4rS5FxJzg86PkyepK8Vgh3EuTMiR+4bVIps/LvHrrcc+jhop0kQY&#10;mSXaH7g7gh6ZSXru7GWHj6oiNfWgXP7Nsaw8aCTLYMKg3CoD7j0CjVF1ljO+T1JOTczSCuoDdo6D&#10;PFLe8iuFdbtmPtwxhzOElca9EG7xJzXsKgrdiZIG3K/37iMeWxtfKdnhTFbU/9wwJyjR3ww2/dlo&#10;MolDnITJ8XSMgnv9snr9YjbtErAdRriBLE/HiA+6P0oH7ROuj0W0ik/McLRdUR5cLyxD3hW4gLhY&#10;LBIMB9eycG0eLO/7Pvbl4/6JOds1b8Cuv4F+ftnsTQ9nbKyHgcUmgFSpwV/y2uUbhz41Treg4lZ5&#10;LSfUyxqdPwMAAP//AwBQSwMEFAAGAAgAAAAhAEUgWWXjAAAADQEAAA8AAABkcnMvZG93bnJldi54&#10;bWxMj8FOwzAQRO9I/IO1SNxaO1EVtSFOBUignkCUHsrNibdx1HgdxW6T8vW4p3JczdPM22I92Y6d&#10;cfCtIwnJXABDqp1uqZGw+36bLYH5oEirzhFKuKCHdXl/V6hcu5G+8LwNDYsl5HMlwYTQ55z72qBV&#10;fu56pJgd3GBViOfQcD2oMZbbjqdCZNyqluKCUT2+GqyP25OVUO26l8/9/uDH34/jxb/T5qcxGykf&#10;H6bnJ2ABp3CD4aof1aGMTpU7kfaskzBLFukisjFZZStgV0QskwxYJSEVaQa8LPj/L8o/AAAA//8D&#10;AFBLAQItABQABgAIAAAAIQC2gziS/gAAAOEBAAATAAAAAAAAAAAAAAAAAAAAAABbQ29udGVudF9U&#10;eXBlc10ueG1sUEsBAi0AFAAGAAgAAAAhADj9If/WAAAAlAEAAAsAAAAAAAAAAAAAAAAALwEAAF9y&#10;ZWxzLy5yZWxzUEsBAi0AFAAGAAgAAAAhAJdYDJ6aAgAAjgUAAA4AAAAAAAAAAAAAAAAALgIAAGRy&#10;cy9lMm9Eb2MueG1sUEsBAi0AFAAGAAgAAAAhAEUgWWXjAAAADQEAAA8AAAAAAAAAAAAAAAAA9AQA&#10;AGRycy9kb3ducmV2LnhtbFBLBQYAAAAABAAEAPMAAAAEBgAAAAA=&#10;" fillcolor="#004c7e"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D0C77"/>
    <w:multiLevelType w:val="hybridMultilevel"/>
    <w:tmpl w:val="79F87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1078A2"/>
    <w:multiLevelType w:val="hybridMultilevel"/>
    <w:tmpl w:val="60F4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57C22"/>
    <w:multiLevelType w:val="multilevel"/>
    <w:tmpl w:val="DF32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A46A22"/>
    <w:multiLevelType w:val="hybridMultilevel"/>
    <w:tmpl w:val="C5C4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3731C4"/>
    <w:multiLevelType w:val="multilevel"/>
    <w:tmpl w:val="C44E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1MzE3NDeyMLMwNDdU0lEKTi0uzszPAykwrwUA+nD9MiwAAAA="/>
  </w:docVars>
  <w:rsids>
    <w:rsidRoot w:val="005C1D70"/>
    <w:rsid w:val="00001A1B"/>
    <w:rsid w:val="00007A7E"/>
    <w:rsid w:val="00016B9E"/>
    <w:rsid w:val="00016C1C"/>
    <w:rsid w:val="0002108F"/>
    <w:rsid w:val="00023357"/>
    <w:rsid w:val="00024E19"/>
    <w:rsid w:val="000251BF"/>
    <w:rsid w:val="00027F34"/>
    <w:rsid w:val="0003123B"/>
    <w:rsid w:val="00032AC6"/>
    <w:rsid w:val="00036F62"/>
    <w:rsid w:val="00042261"/>
    <w:rsid w:val="00042F07"/>
    <w:rsid w:val="00043616"/>
    <w:rsid w:val="000469F1"/>
    <w:rsid w:val="00051972"/>
    <w:rsid w:val="000632EA"/>
    <w:rsid w:val="000656D7"/>
    <w:rsid w:val="0007231D"/>
    <w:rsid w:val="00075C34"/>
    <w:rsid w:val="00076B71"/>
    <w:rsid w:val="000800E3"/>
    <w:rsid w:val="00080D15"/>
    <w:rsid w:val="00082B70"/>
    <w:rsid w:val="00085ABF"/>
    <w:rsid w:val="00086CF0"/>
    <w:rsid w:val="00090420"/>
    <w:rsid w:val="000A7E8D"/>
    <w:rsid w:val="000B2407"/>
    <w:rsid w:val="000C0521"/>
    <w:rsid w:val="000C6F98"/>
    <w:rsid w:val="000D0ED5"/>
    <w:rsid w:val="000D435A"/>
    <w:rsid w:val="000D4FD7"/>
    <w:rsid w:val="000E4CDF"/>
    <w:rsid w:val="000E638D"/>
    <w:rsid w:val="000E6BC0"/>
    <w:rsid w:val="000E6EEC"/>
    <w:rsid w:val="000F263F"/>
    <w:rsid w:val="000F6A69"/>
    <w:rsid w:val="000F6F26"/>
    <w:rsid w:val="00102089"/>
    <w:rsid w:val="00112B2B"/>
    <w:rsid w:val="00112B7D"/>
    <w:rsid w:val="00113623"/>
    <w:rsid w:val="001145DB"/>
    <w:rsid w:val="001235D7"/>
    <w:rsid w:val="00130A7C"/>
    <w:rsid w:val="00140F12"/>
    <w:rsid w:val="00152CB7"/>
    <w:rsid w:val="00154966"/>
    <w:rsid w:val="00156C65"/>
    <w:rsid w:val="00156E9F"/>
    <w:rsid w:val="00165DF6"/>
    <w:rsid w:val="001672AE"/>
    <w:rsid w:val="00173730"/>
    <w:rsid w:val="00174AD5"/>
    <w:rsid w:val="00182D23"/>
    <w:rsid w:val="0018529C"/>
    <w:rsid w:val="00186595"/>
    <w:rsid w:val="00190DA5"/>
    <w:rsid w:val="00191601"/>
    <w:rsid w:val="00191B06"/>
    <w:rsid w:val="0019254E"/>
    <w:rsid w:val="00193843"/>
    <w:rsid w:val="001A3F7E"/>
    <w:rsid w:val="001A6B17"/>
    <w:rsid w:val="001A7EE6"/>
    <w:rsid w:val="001B4F72"/>
    <w:rsid w:val="001B5E8D"/>
    <w:rsid w:val="001B6F30"/>
    <w:rsid w:val="001C1491"/>
    <w:rsid w:val="001C2475"/>
    <w:rsid w:val="001D39CF"/>
    <w:rsid w:val="001D3BE8"/>
    <w:rsid w:val="001D6282"/>
    <w:rsid w:val="001D64BA"/>
    <w:rsid w:val="001E2992"/>
    <w:rsid w:val="001F0069"/>
    <w:rsid w:val="001F3C33"/>
    <w:rsid w:val="00203FA8"/>
    <w:rsid w:val="00211863"/>
    <w:rsid w:val="002226E5"/>
    <w:rsid w:val="002243CA"/>
    <w:rsid w:val="002266CE"/>
    <w:rsid w:val="0023363B"/>
    <w:rsid w:val="002367F8"/>
    <w:rsid w:val="00243327"/>
    <w:rsid w:val="00252E6F"/>
    <w:rsid w:val="00255EB5"/>
    <w:rsid w:val="00257CA6"/>
    <w:rsid w:val="00266348"/>
    <w:rsid w:val="00271CE3"/>
    <w:rsid w:val="002812BF"/>
    <w:rsid w:val="002824DF"/>
    <w:rsid w:val="002943BB"/>
    <w:rsid w:val="002968FA"/>
    <w:rsid w:val="002A13F1"/>
    <w:rsid w:val="002A5331"/>
    <w:rsid w:val="002A5768"/>
    <w:rsid w:val="002B19B9"/>
    <w:rsid w:val="002B2B45"/>
    <w:rsid w:val="002B3AF0"/>
    <w:rsid w:val="002C2B2D"/>
    <w:rsid w:val="002C3172"/>
    <w:rsid w:val="002C384C"/>
    <w:rsid w:val="002D2F4C"/>
    <w:rsid w:val="002D3936"/>
    <w:rsid w:val="002D3AD1"/>
    <w:rsid w:val="002D47CD"/>
    <w:rsid w:val="002D792A"/>
    <w:rsid w:val="002D7BC0"/>
    <w:rsid w:val="002E1DE1"/>
    <w:rsid w:val="002E5339"/>
    <w:rsid w:val="002F0D59"/>
    <w:rsid w:val="0030590B"/>
    <w:rsid w:val="003110DE"/>
    <w:rsid w:val="003111A1"/>
    <w:rsid w:val="0031343F"/>
    <w:rsid w:val="00313B78"/>
    <w:rsid w:val="0031483A"/>
    <w:rsid w:val="00324B21"/>
    <w:rsid w:val="003271BF"/>
    <w:rsid w:val="0033033B"/>
    <w:rsid w:val="00331075"/>
    <w:rsid w:val="003321F1"/>
    <w:rsid w:val="003348C1"/>
    <w:rsid w:val="00334AF7"/>
    <w:rsid w:val="003368F3"/>
    <w:rsid w:val="003433B1"/>
    <w:rsid w:val="00345783"/>
    <w:rsid w:val="00350C5E"/>
    <w:rsid w:val="00355C35"/>
    <w:rsid w:val="00363339"/>
    <w:rsid w:val="00363C9F"/>
    <w:rsid w:val="00367858"/>
    <w:rsid w:val="00373226"/>
    <w:rsid w:val="0038286B"/>
    <w:rsid w:val="00382DA1"/>
    <w:rsid w:val="00383327"/>
    <w:rsid w:val="00390879"/>
    <w:rsid w:val="00392FF8"/>
    <w:rsid w:val="00397AF7"/>
    <w:rsid w:val="003A6020"/>
    <w:rsid w:val="003B01AC"/>
    <w:rsid w:val="003B11D4"/>
    <w:rsid w:val="003B12C1"/>
    <w:rsid w:val="003C0A03"/>
    <w:rsid w:val="003D217E"/>
    <w:rsid w:val="003D2327"/>
    <w:rsid w:val="003F2CFB"/>
    <w:rsid w:val="003F76DF"/>
    <w:rsid w:val="003F7A98"/>
    <w:rsid w:val="00405610"/>
    <w:rsid w:val="00411AAA"/>
    <w:rsid w:val="00413355"/>
    <w:rsid w:val="004169FC"/>
    <w:rsid w:val="00416E91"/>
    <w:rsid w:val="00417473"/>
    <w:rsid w:val="00420FAA"/>
    <w:rsid w:val="00422ED2"/>
    <w:rsid w:val="00427C80"/>
    <w:rsid w:val="00431ABC"/>
    <w:rsid w:val="00444BDF"/>
    <w:rsid w:val="00445A4C"/>
    <w:rsid w:val="004464DA"/>
    <w:rsid w:val="00450995"/>
    <w:rsid w:val="00451267"/>
    <w:rsid w:val="00460169"/>
    <w:rsid w:val="004702F1"/>
    <w:rsid w:val="004767CA"/>
    <w:rsid w:val="00482C76"/>
    <w:rsid w:val="00482D02"/>
    <w:rsid w:val="004839D8"/>
    <w:rsid w:val="00483E53"/>
    <w:rsid w:val="004915F5"/>
    <w:rsid w:val="00497314"/>
    <w:rsid w:val="00497819"/>
    <w:rsid w:val="004A70CE"/>
    <w:rsid w:val="004B1C5E"/>
    <w:rsid w:val="004B3059"/>
    <w:rsid w:val="004B30E3"/>
    <w:rsid w:val="004C0A78"/>
    <w:rsid w:val="004C0D0C"/>
    <w:rsid w:val="004C16D2"/>
    <w:rsid w:val="004C4325"/>
    <w:rsid w:val="004C45B2"/>
    <w:rsid w:val="004C4F52"/>
    <w:rsid w:val="004C52F8"/>
    <w:rsid w:val="004C74CC"/>
    <w:rsid w:val="004D2F5A"/>
    <w:rsid w:val="004D7D95"/>
    <w:rsid w:val="004E0975"/>
    <w:rsid w:val="004E24A0"/>
    <w:rsid w:val="004E2AC7"/>
    <w:rsid w:val="004E31E5"/>
    <w:rsid w:val="004F2623"/>
    <w:rsid w:val="004F4FB0"/>
    <w:rsid w:val="004F532A"/>
    <w:rsid w:val="004F6ABF"/>
    <w:rsid w:val="0050199E"/>
    <w:rsid w:val="00505A79"/>
    <w:rsid w:val="00505C31"/>
    <w:rsid w:val="005123A9"/>
    <w:rsid w:val="00517C22"/>
    <w:rsid w:val="00521AD6"/>
    <w:rsid w:val="00521E72"/>
    <w:rsid w:val="0052221A"/>
    <w:rsid w:val="0052558D"/>
    <w:rsid w:val="00525FA1"/>
    <w:rsid w:val="005314A5"/>
    <w:rsid w:val="005333FB"/>
    <w:rsid w:val="005371DC"/>
    <w:rsid w:val="00550B80"/>
    <w:rsid w:val="00552D96"/>
    <w:rsid w:val="005615BF"/>
    <w:rsid w:val="00564DCE"/>
    <w:rsid w:val="00570FFA"/>
    <w:rsid w:val="0057379A"/>
    <w:rsid w:val="0057733A"/>
    <w:rsid w:val="005817B5"/>
    <w:rsid w:val="00584389"/>
    <w:rsid w:val="005851A4"/>
    <w:rsid w:val="00585578"/>
    <w:rsid w:val="0059459B"/>
    <w:rsid w:val="00597164"/>
    <w:rsid w:val="00597B1A"/>
    <w:rsid w:val="005A1ECC"/>
    <w:rsid w:val="005A26B5"/>
    <w:rsid w:val="005A3BEF"/>
    <w:rsid w:val="005A6987"/>
    <w:rsid w:val="005B192D"/>
    <w:rsid w:val="005B40BF"/>
    <w:rsid w:val="005B43A6"/>
    <w:rsid w:val="005C0619"/>
    <w:rsid w:val="005C0FFC"/>
    <w:rsid w:val="005C1D70"/>
    <w:rsid w:val="005C3098"/>
    <w:rsid w:val="005C3E87"/>
    <w:rsid w:val="005C53B9"/>
    <w:rsid w:val="005D098B"/>
    <w:rsid w:val="005D65A6"/>
    <w:rsid w:val="005E7352"/>
    <w:rsid w:val="005F1E92"/>
    <w:rsid w:val="005F702C"/>
    <w:rsid w:val="005F73BE"/>
    <w:rsid w:val="006017F2"/>
    <w:rsid w:val="00605D2B"/>
    <w:rsid w:val="00610734"/>
    <w:rsid w:val="00611139"/>
    <w:rsid w:val="00612902"/>
    <w:rsid w:val="00623175"/>
    <w:rsid w:val="0062573E"/>
    <w:rsid w:val="00632101"/>
    <w:rsid w:val="00632FC2"/>
    <w:rsid w:val="006334C0"/>
    <w:rsid w:val="0063435D"/>
    <w:rsid w:val="00642CE5"/>
    <w:rsid w:val="0065139C"/>
    <w:rsid w:val="006644EA"/>
    <w:rsid w:val="0067047A"/>
    <w:rsid w:val="00671395"/>
    <w:rsid w:val="006714C7"/>
    <w:rsid w:val="0068795F"/>
    <w:rsid w:val="00687F87"/>
    <w:rsid w:val="00691113"/>
    <w:rsid w:val="0069148C"/>
    <w:rsid w:val="00693B66"/>
    <w:rsid w:val="0069473F"/>
    <w:rsid w:val="0069692B"/>
    <w:rsid w:val="006A6909"/>
    <w:rsid w:val="006A6FEF"/>
    <w:rsid w:val="006A733A"/>
    <w:rsid w:val="006A7692"/>
    <w:rsid w:val="006C41A4"/>
    <w:rsid w:val="006C4671"/>
    <w:rsid w:val="006C72D3"/>
    <w:rsid w:val="006D25C2"/>
    <w:rsid w:val="006E0FD7"/>
    <w:rsid w:val="006E1B58"/>
    <w:rsid w:val="006E4153"/>
    <w:rsid w:val="006E6DB4"/>
    <w:rsid w:val="006E7715"/>
    <w:rsid w:val="006F17A7"/>
    <w:rsid w:val="006F2EB0"/>
    <w:rsid w:val="00702373"/>
    <w:rsid w:val="00704848"/>
    <w:rsid w:val="00707AB4"/>
    <w:rsid w:val="0073256E"/>
    <w:rsid w:val="00732B11"/>
    <w:rsid w:val="00741A0D"/>
    <w:rsid w:val="00742606"/>
    <w:rsid w:val="00750B4D"/>
    <w:rsid w:val="00751874"/>
    <w:rsid w:val="00753722"/>
    <w:rsid w:val="00755B2E"/>
    <w:rsid w:val="00762B2D"/>
    <w:rsid w:val="00765291"/>
    <w:rsid w:val="00766644"/>
    <w:rsid w:val="00767F19"/>
    <w:rsid w:val="00777E17"/>
    <w:rsid w:val="007A1E85"/>
    <w:rsid w:val="007A213A"/>
    <w:rsid w:val="007A3C54"/>
    <w:rsid w:val="007A4A74"/>
    <w:rsid w:val="007A6091"/>
    <w:rsid w:val="007B5507"/>
    <w:rsid w:val="007C0A81"/>
    <w:rsid w:val="007C3288"/>
    <w:rsid w:val="007C4C9B"/>
    <w:rsid w:val="007D272C"/>
    <w:rsid w:val="007D3263"/>
    <w:rsid w:val="007D74B2"/>
    <w:rsid w:val="007D74EA"/>
    <w:rsid w:val="007E6121"/>
    <w:rsid w:val="007F020C"/>
    <w:rsid w:val="008003B4"/>
    <w:rsid w:val="00805B99"/>
    <w:rsid w:val="00806E04"/>
    <w:rsid w:val="00810B5B"/>
    <w:rsid w:val="008125A5"/>
    <w:rsid w:val="0082064B"/>
    <w:rsid w:val="00824465"/>
    <w:rsid w:val="00841CF9"/>
    <w:rsid w:val="00843DEF"/>
    <w:rsid w:val="008504DC"/>
    <w:rsid w:val="00851EA8"/>
    <w:rsid w:val="008611A4"/>
    <w:rsid w:val="0086319B"/>
    <w:rsid w:val="00870B75"/>
    <w:rsid w:val="00876998"/>
    <w:rsid w:val="00877654"/>
    <w:rsid w:val="00877757"/>
    <w:rsid w:val="00877CF2"/>
    <w:rsid w:val="0088148B"/>
    <w:rsid w:val="008844FC"/>
    <w:rsid w:val="0088496E"/>
    <w:rsid w:val="00890AD2"/>
    <w:rsid w:val="008971DD"/>
    <w:rsid w:val="008A3AA6"/>
    <w:rsid w:val="008B3A8C"/>
    <w:rsid w:val="008B4943"/>
    <w:rsid w:val="008B55C9"/>
    <w:rsid w:val="008B6A1B"/>
    <w:rsid w:val="008D79E6"/>
    <w:rsid w:val="008D7EC8"/>
    <w:rsid w:val="008E24AD"/>
    <w:rsid w:val="008E55AC"/>
    <w:rsid w:val="008E5DB5"/>
    <w:rsid w:val="008E63A3"/>
    <w:rsid w:val="008F1C4A"/>
    <w:rsid w:val="008F63B8"/>
    <w:rsid w:val="008F6E96"/>
    <w:rsid w:val="008F7FA8"/>
    <w:rsid w:val="00906205"/>
    <w:rsid w:val="00907CE8"/>
    <w:rsid w:val="009263EC"/>
    <w:rsid w:val="00934AC9"/>
    <w:rsid w:val="00934B0C"/>
    <w:rsid w:val="00940214"/>
    <w:rsid w:val="00940C5A"/>
    <w:rsid w:val="00940FAD"/>
    <w:rsid w:val="009443D8"/>
    <w:rsid w:val="0094553F"/>
    <w:rsid w:val="0096229D"/>
    <w:rsid w:val="00970EC4"/>
    <w:rsid w:val="00972C34"/>
    <w:rsid w:val="0097540F"/>
    <w:rsid w:val="009759E1"/>
    <w:rsid w:val="0097743B"/>
    <w:rsid w:val="00977850"/>
    <w:rsid w:val="0098285B"/>
    <w:rsid w:val="00982ED3"/>
    <w:rsid w:val="00983896"/>
    <w:rsid w:val="00984A6A"/>
    <w:rsid w:val="00984D0E"/>
    <w:rsid w:val="009867A6"/>
    <w:rsid w:val="00992B9C"/>
    <w:rsid w:val="00992E7E"/>
    <w:rsid w:val="00996FBD"/>
    <w:rsid w:val="009A3768"/>
    <w:rsid w:val="009A7096"/>
    <w:rsid w:val="009B0789"/>
    <w:rsid w:val="009B6440"/>
    <w:rsid w:val="009B73D0"/>
    <w:rsid w:val="009C020D"/>
    <w:rsid w:val="009D370D"/>
    <w:rsid w:val="009D580D"/>
    <w:rsid w:val="009D5C86"/>
    <w:rsid w:val="009D6CF3"/>
    <w:rsid w:val="009D7C0F"/>
    <w:rsid w:val="009E120F"/>
    <w:rsid w:val="009E4E50"/>
    <w:rsid w:val="009F2B80"/>
    <w:rsid w:val="009F32DA"/>
    <w:rsid w:val="009F65E5"/>
    <w:rsid w:val="00A02EE9"/>
    <w:rsid w:val="00A06210"/>
    <w:rsid w:val="00A0758A"/>
    <w:rsid w:val="00A07E2D"/>
    <w:rsid w:val="00A10AFA"/>
    <w:rsid w:val="00A15B59"/>
    <w:rsid w:val="00A21D04"/>
    <w:rsid w:val="00A26FC7"/>
    <w:rsid w:val="00A27DE3"/>
    <w:rsid w:val="00A30E04"/>
    <w:rsid w:val="00A31101"/>
    <w:rsid w:val="00A35F97"/>
    <w:rsid w:val="00A57DA9"/>
    <w:rsid w:val="00A63433"/>
    <w:rsid w:val="00A70518"/>
    <w:rsid w:val="00A71C0F"/>
    <w:rsid w:val="00A720C3"/>
    <w:rsid w:val="00A73A76"/>
    <w:rsid w:val="00A81664"/>
    <w:rsid w:val="00A930E4"/>
    <w:rsid w:val="00A933B5"/>
    <w:rsid w:val="00A93FE9"/>
    <w:rsid w:val="00AA2BDE"/>
    <w:rsid w:val="00AA54FF"/>
    <w:rsid w:val="00AB49F3"/>
    <w:rsid w:val="00AB70CC"/>
    <w:rsid w:val="00AC0D63"/>
    <w:rsid w:val="00AC6A69"/>
    <w:rsid w:val="00AD0C21"/>
    <w:rsid w:val="00AD2DFD"/>
    <w:rsid w:val="00AD48F0"/>
    <w:rsid w:val="00AD5F1A"/>
    <w:rsid w:val="00AE05E9"/>
    <w:rsid w:val="00AE3FA2"/>
    <w:rsid w:val="00AE3FA3"/>
    <w:rsid w:val="00AF6065"/>
    <w:rsid w:val="00B07DBA"/>
    <w:rsid w:val="00B14156"/>
    <w:rsid w:val="00B16564"/>
    <w:rsid w:val="00B2619E"/>
    <w:rsid w:val="00B42A03"/>
    <w:rsid w:val="00B42E2A"/>
    <w:rsid w:val="00B45DC5"/>
    <w:rsid w:val="00B5385F"/>
    <w:rsid w:val="00B55385"/>
    <w:rsid w:val="00B5675C"/>
    <w:rsid w:val="00B56C04"/>
    <w:rsid w:val="00B61730"/>
    <w:rsid w:val="00B62001"/>
    <w:rsid w:val="00B63131"/>
    <w:rsid w:val="00B632FA"/>
    <w:rsid w:val="00B7710C"/>
    <w:rsid w:val="00B81FB1"/>
    <w:rsid w:val="00B9438E"/>
    <w:rsid w:val="00BA0BB5"/>
    <w:rsid w:val="00BA379B"/>
    <w:rsid w:val="00BA731C"/>
    <w:rsid w:val="00BB3771"/>
    <w:rsid w:val="00BB7ED5"/>
    <w:rsid w:val="00BC0660"/>
    <w:rsid w:val="00BC5122"/>
    <w:rsid w:val="00BC6028"/>
    <w:rsid w:val="00BD08E0"/>
    <w:rsid w:val="00BD203B"/>
    <w:rsid w:val="00BD4A88"/>
    <w:rsid w:val="00BD5136"/>
    <w:rsid w:val="00BD5DF5"/>
    <w:rsid w:val="00BD5E4A"/>
    <w:rsid w:val="00BD764A"/>
    <w:rsid w:val="00BE5212"/>
    <w:rsid w:val="00C01F81"/>
    <w:rsid w:val="00C0293D"/>
    <w:rsid w:val="00C03C9F"/>
    <w:rsid w:val="00C10389"/>
    <w:rsid w:val="00C12D1C"/>
    <w:rsid w:val="00C146FF"/>
    <w:rsid w:val="00C14AC3"/>
    <w:rsid w:val="00C1725B"/>
    <w:rsid w:val="00C17C8D"/>
    <w:rsid w:val="00C17D03"/>
    <w:rsid w:val="00C21186"/>
    <w:rsid w:val="00C21ED4"/>
    <w:rsid w:val="00C27425"/>
    <w:rsid w:val="00C324AD"/>
    <w:rsid w:val="00C33864"/>
    <w:rsid w:val="00C37A8A"/>
    <w:rsid w:val="00C533BE"/>
    <w:rsid w:val="00C60EE6"/>
    <w:rsid w:val="00C62E1A"/>
    <w:rsid w:val="00C665E2"/>
    <w:rsid w:val="00C66930"/>
    <w:rsid w:val="00C67F5F"/>
    <w:rsid w:val="00C71D62"/>
    <w:rsid w:val="00C734A3"/>
    <w:rsid w:val="00C7470C"/>
    <w:rsid w:val="00C74A3D"/>
    <w:rsid w:val="00C86D58"/>
    <w:rsid w:val="00C876D4"/>
    <w:rsid w:val="00C87FA0"/>
    <w:rsid w:val="00C91248"/>
    <w:rsid w:val="00C9777E"/>
    <w:rsid w:val="00CA0E31"/>
    <w:rsid w:val="00CA1D4E"/>
    <w:rsid w:val="00CA260E"/>
    <w:rsid w:val="00CA2A62"/>
    <w:rsid w:val="00CA347D"/>
    <w:rsid w:val="00CC3FB2"/>
    <w:rsid w:val="00CD14D2"/>
    <w:rsid w:val="00CD2CA5"/>
    <w:rsid w:val="00CD3321"/>
    <w:rsid w:val="00CD5413"/>
    <w:rsid w:val="00CF29CB"/>
    <w:rsid w:val="00CF7C1E"/>
    <w:rsid w:val="00D027B1"/>
    <w:rsid w:val="00D03449"/>
    <w:rsid w:val="00D17BCA"/>
    <w:rsid w:val="00D46035"/>
    <w:rsid w:val="00D5075A"/>
    <w:rsid w:val="00D61DB9"/>
    <w:rsid w:val="00D61E40"/>
    <w:rsid w:val="00D67B86"/>
    <w:rsid w:val="00D760C5"/>
    <w:rsid w:val="00D854B6"/>
    <w:rsid w:val="00DA3508"/>
    <w:rsid w:val="00DA443A"/>
    <w:rsid w:val="00DA45EF"/>
    <w:rsid w:val="00DA7D5E"/>
    <w:rsid w:val="00DB50E5"/>
    <w:rsid w:val="00DB600E"/>
    <w:rsid w:val="00DC2650"/>
    <w:rsid w:val="00DC475D"/>
    <w:rsid w:val="00DC5C72"/>
    <w:rsid w:val="00DD1D99"/>
    <w:rsid w:val="00DD61D1"/>
    <w:rsid w:val="00DD6A5B"/>
    <w:rsid w:val="00DE10C6"/>
    <w:rsid w:val="00DF0BFE"/>
    <w:rsid w:val="00DF486B"/>
    <w:rsid w:val="00DF67BB"/>
    <w:rsid w:val="00E0678B"/>
    <w:rsid w:val="00E06DEC"/>
    <w:rsid w:val="00E22F8C"/>
    <w:rsid w:val="00E23CC8"/>
    <w:rsid w:val="00E24606"/>
    <w:rsid w:val="00E35620"/>
    <w:rsid w:val="00E35710"/>
    <w:rsid w:val="00E37122"/>
    <w:rsid w:val="00E44571"/>
    <w:rsid w:val="00E44BEC"/>
    <w:rsid w:val="00E45713"/>
    <w:rsid w:val="00E50814"/>
    <w:rsid w:val="00E56C4C"/>
    <w:rsid w:val="00E6017C"/>
    <w:rsid w:val="00E70BFB"/>
    <w:rsid w:val="00E71242"/>
    <w:rsid w:val="00E74D75"/>
    <w:rsid w:val="00E80AAA"/>
    <w:rsid w:val="00E844C6"/>
    <w:rsid w:val="00E84DE0"/>
    <w:rsid w:val="00E866E1"/>
    <w:rsid w:val="00E901D5"/>
    <w:rsid w:val="00E93AD4"/>
    <w:rsid w:val="00EA117B"/>
    <w:rsid w:val="00EA336A"/>
    <w:rsid w:val="00EA4649"/>
    <w:rsid w:val="00EA5C29"/>
    <w:rsid w:val="00EA69BC"/>
    <w:rsid w:val="00EA74A5"/>
    <w:rsid w:val="00EA7AEB"/>
    <w:rsid w:val="00EB0B34"/>
    <w:rsid w:val="00EC0FE8"/>
    <w:rsid w:val="00EC2A2E"/>
    <w:rsid w:val="00EC47E9"/>
    <w:rsid w:val="00EC6AD3"/>
    <w:rsid w:val="00ED0D09"/>
    <w:rsid w:val="00ED0EB3"/>
    <w:rsid w:val="00EE0CBE"/>
    <w:rsid w:val="00EE303D"/>
    <w:rsid w:val="00EE7C3F"/>
    <w:rsid w:val="00EF0E10"/>
    <w:rsid w:val="00EF0EA5"/>
    <w:rsid w:val="00F03AE6"/>
    <w:rsid w:val="00F077B9"/>
    <w:rsid w:val="00F12383"/>
    <w:rsid w:val="00F13E1C"/>
    <w:rsid w:val="00F14738"/>
    <w:rsid w:val="00F16212"/>
    <w:rsid w:val="00F165CF"/>
    <w:rsid w:val="00F2102C"/>
    <w:rsid w:val="00F21B59"/>
    <w:rsid w:val="00F27DFC"/>
    <w:rsid w:val="00F30B7F"/>
    <w:rsid w:val="00F344D2"/>
    <w:rsid w:val="00F3503A"/>
    <w:rsid w:val="00F35256"/>
    <w:rsid w:val="00F4423A"/>
    <w:rsid w:val="00F62D08"/>
    <w:rsid w:val="00F635B2"/>
    <w:rsid w:val="00F710F4"/>
    <w:rsid w:val="00F74B4B"/>
    <w:rsid w:val="00F7794F"/>
    <w:rsid w:val="00F805BF"/>
    <w:rsid w:val="00F9014D"/>
    <w:rsid w:val="00F9055C"/>
    <w:rsid w:val="00F91628"/>
    <w:rsid w:val="00F93B24"/>
    <w:rsid w:val="00F961B8"/>
    <w:rsid w:val="00F97115"/>
    <w:rsid w:val="00FA3F6B"/>
    <w:rsid w:val="00FA52A1"/>
    <w:rsid w:val="00FA530C"/>
    <w:rsid w:val="00FA6429"/>
    <w:rsid w:val="00FA6F2C"/>
    <w:rsid w:val="00FA7B4D"/>
    <w:rsid w:val="00FB1955"/>
    <w:rsid w:val="00FB2425"/>
    <w:rsid w:val="00FB3AA2"/>
    <w:rsid w:val="00FB549A"/>
    <w:rsid w:val="00FB7479"/>
    <w:rsid w:val="00FC2692"/>
    <w:rsid w:val="00FC74B7"/>
    <w:rsid w:val="00FD22B2"/>
    <w:rsid w:val="00FD495F"/>
    <w:rsid w:val="00FE164E"/>
    <w:rsid w:val="00FE3132"/>
    <w:rsid w:val="00FE3FBC"/>
    <w:rsid w:val="00FF1C22"/>
    <w:rsid w:val="00FF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7E1648"/>
  <w15:chartTrackingRefBased/>
  <w15:docId w15:val="{C2A8F3A1-DD10-C348-BE46-CCF0AAE2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767171"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767171"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767171"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44546A"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table" w:styleId="TableGrid">
    <w:name w:val="Table Grid"/>
    <w:basedOn w:val="TableNormal"/>
    <w:uiPriority w:val="39"/>
    <w:rsid w:val="00C2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20D"/>
    <w:pPr>
      <w:spacing w:after="160" w:line="259" w:lineRule="auto"/>
      <w:ind w:left="720"/>
      <w:contextualSpacing/>
    </w:pPr>
    <w:rPr>
      <w:rFonts w:asciiTheme="minorHAnsi" w:eastAsiaTheme="minorHAnsi" w:hAnsiTheme="minorHAnsi" w:cstheme="minorBidi"/>
    </w:rPr>
  </w:style>
  <w:style w:type="paragraph" w:styleId="EndnoteText">
    <w:name w:val="endnote text"/>
    <w:basedOn w:val="Normal"/>
    <w:link w:val="EndnoteTextChar"/>
    <w:uiPriority w:val="99"/>
    <w:semiHidden/>
    <w:unhideWhenUsed/>
    <w:rsid w:val="00AC6A69"/>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AC6A69"/>
    <w:rPr>
      <w:sz w:val="20"/>
      <w:szCs w:val="20"/>
    </w:rPr>
  </w:style>
  <w:style w:type="character" w:styleId="EndnoteReference">
    <w:name w:val="endnote reference"/>
    <w:basedOn w:val="DefaultParagraphFont"/>
    <w:uiPriority w:val="99"/>
    <w:semiHidden/>
    <w:unhideWhenUsed/>
    <w:rsid w:val="00AC6A69"/>
    <w:rPr>
      <w:vertAlign w:val="superscript"/>
    </w:rPr>
  </w:style>
  <w:style w:type="character" w:styleId="Emphasis">
    <w:name w:val="Emphasis"/>
    <w:basedOn w:val="DefaultParagraphFont"/>
    <w:uiPriority w:val="20"/>
    <w:qFormat/>
    <w:rsid w:val="00940C5A"/>
    <w:rPr>
      <w:i/>
      <w:iCs/>
    </w:rPr>
  </w:style>
  <w:style w:type="paragraph" w:styleId="NormalWeb">
    <w:name w:val="Normal (Web)"/>
    <w:basedOn w:val="Normal"/>
    <w:uiPriority w:val="99"/>
    <w:semiHidden/>
    <w:unhideWhenUsed/>
    <w:rsid w:val="00DF486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8311">
      <w:bodyDiv w:val="1"/>
      <w:marLeft w:val="0"/>
      <w:marRight w:val="0"/>
      <w:marTop w:val="0"/>
      <w:marBottom w:val="0"/>
      <w:divBdr>
        <w:top w:val="none" w:sz="0" w:space="0" w:color="auto"/>
        <w:left w:val="none" w:sz="0" w:space="0" w:color="auto"/>
        <w:bottom w:val="none" w:sz="0" w:space="0" w:color="auto"/>
        <w:right w:val="none" w:sz="0" w:space="0" w:color="auto"/>
      </w:divBdr>
    </w:div>
    <w:div w:id="91248314">
      <w:bodyDiv w:val="1"/>
      <w:marLeft w:val="0"/>
      <w:marRight w:val="0"/>
      <w:marTop w:val="0"/>
      <w:marBottom w:val="0"/>
      <w:divBdr>
        <w:top w:val="none" w:sz="0" w:space="0" w:color="auto"/>
        <w:left w:val="none" w:sz="0" w:space="0" w:color="auto"/>
        <w:bottom w:val="none" w:sz="0" w:space="0" w:color="auto"/>
        <w:right w:val="none" w:sz="0" w:space="0" w:color="auto"/>
      </w:divBdr>
    </w:div>
    <w:div w:id="268313710">
      <w:bodyDiv w:val="1"/>
      <w:marLeft w:val="0"/>
      <w:marRight w:val="0"/>
      <w:marTop w:val="0"/>
      <w:marBottom w:val="0"/>
      <w:divBdr>
        <w:top w:val="none" w:sz="0" w:space="0" w:color="auto"/>
        <w:left w:val="none" w:sz="0" w:space="0" w:color="auto"/>
        <w:bottom w:val="none" w:sz="0" w:space="0" w:color="auto"/>
        <w:right w:val="none" w:sz="0" w:space="0" w:color="auto"/>
      </w:divBdr>
    </w:div>
    <w:div w:id="299653796">
      <w:bodyDiv w:val="1"/>
      <w:marLeft w:val="0"/>
      <w:marRight w:val="0"/>
      <w:marTop w:val="0"/>
      <w:marBottom w:val="0"/>
      <w:divBdr>
        <w:top w:val="none" w:sz="0" w:space="0" w:color="auto"/>
        <w:left w:val="none" w:sz="0" w:space="0" w:color="auto"/>
        <w:bottom w:val="none" w:sz="0" w:space="0" w:color="auto"/>
        <w:right w:val="none" w:sz="0" w:space="0" w:color="auto"/>
      </w:divBdr>
    </w:div>
    <w:div w:id="337932078">
      <w:bodyDiv w:val="1"/>
      <w:marLeft w:val="0"/>
      <w:marRight w:val="0"/>
      <w:marTop w:val="0"/>
      <w:marBottom w:val="0"/>
      <w:divBdr>
        <w:top w:val="none" w:sz="0" w:space="0" w:color="auto"/>
        <w:left w:val="none" w:sz="0" w:space="0" w:color="auto"/>
        <w:bottom w:val="none" w:sz="0" w:space="0" w:color="auto"/>
        <w:right w:val="none" w:sz="0" w:space="0" w:color="auto"/>
      </w:divBdr>
    </w:div>
    <w:div w:id="356660077">
      <w:bodyDiv w:val="1"/>
      <w:marLeft w:val="0"/>
      <w:marRight w:val="0"/>
      <w:marTop w:val="0"/>
      <w:marBottom w:val="0"/>
      <w:divBdr>
        <w:top w:val="none" w:sz="0" w:space="0" w:color="auto"/>
        <w:left w:val="none" w:sz="0" w:space="0" w:color="auto"/>
        <w:bottom w:val="none" w:sz="0" w:space="0" w:color="auto"/>
        <w:right w:val="none" w:sz="0" w:space="0" w:color="auto"/>
      </w:divBdr>
    </w:div>
    <w:div w:id="493033303">
      <w:bodyDiv w:val="1"/>
      <w:marLeft w:val="0"/>
      <w:marRight w:val="0"/>
      <w:marTop w:val="0"/>
      <w:marBottom w:val="0"/>
      <w:divBdr>
        <w:top w:val="none" w:sz="0" w:space="0" w:color="auto"/>
        <w:left w:val="none" w:sz="0" w:space="0" w:color="auto"/>
        <w:bottom w:val="none" w:sz="0" w:space="0" w:color="auto"/>
        <w:right w:val="none" w:sz="0" w:space="0" w:color="auto"/>
      </w:divBdr>
    </w:div>
    <w:div w:id="580452723">
      <w:bodyDiv w:val="1"/>
      <w:marLeft w:val="0"/>
      <w:marRight w:val="0"/>
      <w:marTop w:val="0"/>
      <w:marBottom w:val="0"/>
      <w:divBdr>
        <w:top w:val="none" w:sz="0" w:space="0" w:color="auto"/>
        <w:left w:val="none" w:sz="0" w:space="0" w:color="auto"/>
        <w:bottom w:val="none" w:sz="0" w:space="0" w:color="auto"/>
        <w:right w:val="none" w:sz="0" w:space="0" w:color="auto"/>
      </w:divBdr>
    </w:div>
    <w:div w:id="643854818">
      <w:bodyDiv w:val="1"/>
      <w:marLeft w:val="0"/>
      <w:marRight w:val="0"/>
      <w:marTop w:val="0"/>
      <w:marBottom w:val="0"/>
      <w:divBdr>
        <w:top w:val="none" w:sz="0" w:space="0" w:color="auto"/>
        <w:left w:val="none" w:sz="0" w:space="0" w:color="auto"/>
        <w:bottom w:val="none" w:sz="0" w:space="0" w:color="auto"/>
        <w:right w:val="none" w:sz="0" w:space="0" w:color="auto"/>
      </w:divBdr>
    </w:div>
    <w:div w:id="649408801">
      <w:bodyDiv w:val="1"/>
      <w:marLeft w:val="0"/>
      <w:marRight w:val="0"/>
      <w:marTop w:val="0"/>
      <w:marBottom w:val="0"/>
      <w:divBdr>
        <w:top w:val="none" w:sz="0" w:space="0" w:color="auto"/>
        <w:left w:val="none" w:sz="0" w:space="0" w:color="auto"/>
        <w:bottom w:val="none" w:sz="0" w:space="0" w:color="auto"/>
        <w:right w:val="none" w:sz="0" w:space="0" w:color="auto"/>
      </w:divBdr>
    </w:div>
    <w:div w:id="662970860">
      <w:bodyDiv w:val="1"/>
      <w:marLeft w:val="0"/>
      <w:marRight w:val="0"/>
      <w:marTop w:val="0"/>
      <w:marBottom w:val="0"/>
      <w:divBdr>
        <w:top w:val="none" w:sz="0" w:space="0" w:color="auto"/>
        <w:left w:val="none" w:sz="0" w:space="0" w:color="auto"/>
        <w:bottom w:val="none" w:sz="0" w:space="0" w:color="auto"/>
        <w:right w:val="none" w:sz="0" w:space="0" w:color="auto"/>
      </w:divBdr>
    </w:div>
    <w:div w:id="696930849">
      <w:bodyDiv w:val="1"/>
      <w:marLeft w:val="0"/>
      <w:marRight w:val="0"/>
      <w:marTop w:val="0"/>
      <w:marBottom w:val="0"/>
      <w:divBdr>
        <w:top w:val="none" w:sz="0" w:space="0" w:color="auto"/>
        <w:left w:val="none" w:sz="0" w:space="0" w:color="auto"/>
        <w:bottom w:val="none" w:sz="0" w:space="0" w:color="auto"/>
        <w:right w:val="none" w:sz="0" w:space="0" w:color="auto"/>
      </w:divBdr>
    </w:div>
    <w:div w:id="720711095">
      <w:bodyDiv w:val="1"/>
      <w:marLeft w:val="0"/>
      <w:marRight w:val="0"/>
      <w:marTop w:val="0"/>
      <w:marBottom w:val="0"/>
      <w:divBdr>
        <w:top w:val="none" w:sz="0" w:space="0" w:color="auto"/>
        <w:left w:val="none" w:sz="0" w:space="0" w:color="auto"/>
        <w:bottom w:val="none" w:sz="0" w:space="0" w:color="auto"/>
        <w:right w:val="none" w:sz="0" w:space="0" w:color="auto"/>
      </w:divBdr>
    </w:div>
    <w:div w:id="740447421">
      <w:bodyDiv w:val="1"/>
      <w:marLeft w:val="0"/>
      <w:marRight w:val="0"/>
      <w:marTop w:val="0"/>
      <w:marBottom w:val="0"/>
      <w:divBdr>
        <w:top w:val="none" w:sz="0" w:space="0" w:color="auto"/>
        <w:left w:val="none" w:sz="0" w:space="0" w:color="auto"/>
        <w:bottom w:val="none" w:sz="0" w:space="0" w:color="auto"/>
        <w:right w:val="none" w:sz="0" w:space="0" w:color="auto"/>
      </w:divBdr>
    </w:div>
    <w:div w:id="783235595">
      <w:bodyDiv w:val="1"/>
      <w:marLeft w:val="0"/>
      <w:marRight w:val="0"/>
      <w:marTop w:val="0"/>
      <w:marBottom w:val="0"/>
      <w:divBdr>
        <w:top w:val="none" w:sz="0" w:space="0" w:color="auto"/>
        <w:left w:val="none" w:sz="0" w:space="0" w:color="auto"/>
        <w:bottom w:val="none" w:sz="0" w:space="0" w:color="auto"/>
        <w:right w:val="none" w:sz="0" w:space="0" w:color="auto"/>
      </w:divBdr>
    </w:div>
    <w:div w:id="803891492">
      <w:bodyDiv w:val="1"/>
      <w:marLeft w:val="0"/>
      <w:marRight w:val="0"/>
      <w:marTop w:val="0"/>
      <w:marBottom w:val="0"/>
      <w:divBdr>
        <w:top w:val="none" w:sz="0" w:space="0" w:color="auto"/>
        <w:left w:val="none" w:sz="0" w:space="0" w:color="auto"/>
        <w:bottom w:val="none" w:sz="0" w:space="0" w:color="auto"/>
        <w:right w:val="none" w:sz="0" w:space="0" w:color="auto"/>
      </w:divBdr>
    </w:div>
    <w:div w:id="968583458">
      <w:bodyDiv w:val="1"/>
      <w:marLeft w:val="0"/>
      <w:marRight w:val="0"/>
      <w:marTop w:val="0"/>
      <w:marBottom w:val="0"/>
      <w:divBdr>
        <w:top w:val="none" w:sz="0" w:space="0" w:color="auto"/>
        <w:left w:val="none" w:sz="0" w:space="0" w:color="auto"/>
        <w:bottom w:val="none" w:sz="0" w:space="0" w:color="auto"/>
        <w:right w:val="none" w:sz="0" w:space="0" w:color="auto"/>
      </w:divBdr>
    </w:div>
    <w:div w:id="1013072291">
      <w:bodyDiv w:val="1"/>
      <w:marLeft w:val="0"/>
      <w:marRight w:val="0"/>
      <w:marTop w:val="0"/>
      <w:marBottom w:val="0"/>
      <w:divBdr>
        <w:top w:val="none" w:sz="0" w:space="0" w:color="auto"/>
        <w:left w:val="none" w:sz="0" w:space="0" w:color="auto"/>
        <w:bottom w:val="none" w:sz="0" w:space="0" w:color="auto"/>
        <w:right w:val="none" w:sz="0" w:space="0" w:color="auto"/>
      </w:divBdr>
    </w:div>
    <w:div w:id="1030187785">
      <w:bodyDiv w:val="1"/>
      <w:marLeft w:val="0"/>
      <w:marRight w:val="0"/>
      <w:marTop w:val="0"/>
      <w:marBottom w:val="0"/>
      <w:divBdr>
        <w:top w:val="none" w:sz="0" w:space="0" w:color="auto"/>
        <w:left w:val="none" w:sz="0" w:space="0" w:color="auto"/>
        <w:bottom w:val="none" w:sz="0" w:space="0" w:color="auto"/>
        <w:right w:val="none" w:sz="0" w:space="0" w:color="auto"/>
      </w:divBdr>
    </w:div>
    <w:div w:id="1088233270">
      <w:bodyDiv w:val="1"/>
      <w:marLeft w:val="0"/>
      <w:marRight w:val="0"/>
      <w:marTop w:val="0"/>
      <w:marBottom w:val="0"/>
      <w:divBdr>
        <w:top w:val="none" w:sz="0" w:space="0" w:color="auto"/>
        <w:left w:val="none" w:sz="0" w:space="0" w:color="auto"/>
        <w:bottom w:val="none" w:sz="0" w:space="0" w:color="auto"/>
        <w:right w:val="none" w:sz="0" w:space="0" w:color="auto"/>
      </w:divBdr>
    </w:div>
    <w:div w:id="1113280125">
      <w:bodyDiv w:val="1"/>
      <w:marLeft w:val="0"/>
      <w:marRight w:val="0"/>
      <w:marTop w:val="0"/>
      <w:marBottom w:val="0"/>
      <w:divBdr>
        <w:top w:val="none" w:sz="0" w:space="0" w:color="auto"/>
        <w:left w:val="none" w:sz="0" w:space="0" w:color="auto"/>
        <w:bottom w:val="none" w:sz="0" w:space="0" w:color="auto"/>
        <w:right w:val="none" w:sz="0" w:space="0" w:color="auto"/>
      </w:divBdr>
    </w:div>
    <w:div w:id="1249118033">
      <w:bodyDiv w:val="1"/>
      <w:marLeft w:val="0"/>
      <w:marRight w:val="0"/>
      <w:marTop w:val="0"/>
      <w:marBottom w:val="0"/>
      <w:divBdr>
        <w:top w:val="none" w:sz="0" w:space="0" w:color="auto"/>
        <w:left w:val="none" w:sz="0" w:space="0" w:color="auto"/>
        <w:bottom w:val="none" w:sz="0" w:space="0" w:color="auto"/>
        <w:right w:val="none" w:sz="0" w:space="0" w:color="auto"/>
      </w:divBdr>
    </w:div>
    <w:div w:id="1403021539">
      <w:bodyDiv w:val="1"/>
      <w:marLeft w:val="0"/>
      <w:marRight w:val="0"/>
      <w:marTop w:val="0"/>
      <w:marBottom w:val="0"/>
      <w:divBdr>
        <w:top w:val="none" w:sz="0" w:space="0" w:color="auto"/>
        <w:left w:val="none" w:sz="0" w:space="0" w:color="auto"/>
        <w:bottom w:val="none" w:sz="0" w:space="0" w:color="auto"/>
        <w:right w:val="none" w:sz="0" w:space="0" w:color="auto"/>
      </w:divBdr>
    </w:div>
    <w:div w:id="1417747175">
      <w:bodyDiv w:val="1"/>
      <w:marLeft w:val="0"/>
      <w:marRight w:val="0"/>
      <w:marTop w:val="0"/>
      <w:marBottom w:val="0"/>
      <w:divBdr>
        <w:top w:val="none" w:sz="0" w:space="0" w:color="auto"/>
        <w:left w:val="none" w:sz="0" w:space="0" w:color="auto"/>
        <w:bottom w:val="none" w:sz="0" w:space="0" w:color="auto"/>
        <w:right w:val="none" w:sz="0" w:space="0" w:color="auto"/>
      </w:divBdr>
    </w:div>
    <w:div w:id="1441874967">
      <w:bodyDiv w:val="1"/>
      <w:marLeft w:val="0"/>
      <w:marRight w:val="0"/>
      <w:marTop w:val="0"/>
      <w:marBottom w:val="0"/>
      <w:divBdr>
        <w:top w:val="none" w:sz="0" w:space="0" w:color="auto"/>
        <w:left w:val="none" w:sz="0" w:space="0" w:color="auto"/>
        <w:bottom w:val="none" w:sz="0" w:space="0" w:color="auto"/>
        <w:right w:val="none" w:sz="0" w:space="0" w:color="auto"/>
      </w:divBdr>
    </w:div>
    <w:div w:id="1463958888">
      <w:bodyDiv w:val="1"/>
      <w:marLeft w:val="0"/>
      <w:marRight w:val="0"/>
      <w:marTop w:val="0"/>
      <w:marBottom w:val="0"/>
      <w:divBdr>
        <w:top w:val="none" w:sz="0" w:space="0" w:color="auto"/>
        <w:left w:val="none" w:sz="0" w:space="0" w:color="auto"/>
        <w:bottom w:val="none" w:sz="0" w:space="0" w:color="auto"/>
        <w:right w:val="none" w:sz="0" w:space="0" w:color="auto"/>
      </w:divBdr>
    </w:div>
    <w:div w:id="1529374129">
      <w:bodyDiv w:val="1"/>
      <w:marLeft w:val="0"/>
      <w:marRight w:val="0"/>
      <w:marTop w:val="0"/>
      <w:marBottom w:val="0"/>
      <w:divBdr>
        <w:top w:val="none" w:sz="0" w:space="0" w:color="auto"/>
        <w:left w:val="none" w:sz="0" w:space="0" w:color="auto"/>
        <w:bottom w:val="none" w:sz="0" w:space="0" w:color="auto"/>
        <w:right w:val="none" w:sz="0" w:space="0" w:color="auto"/>
      </w:divBdr>
    </w:div>
    <w:div w:id="1614481161">
      <w:bodyDiv w:val="1"/>
      <w:marLeft w:val="0"/>
      <w:marRight w:val="0"/>
      <w:marTop w:val="0"/>
      <w:marBottom w:val="0"/>
      <w:divBdr>
        <w:top w:val="none" w:sz="0" w:space="0" w:color="auto"/>
        <w:left w:val="none" w:sz="0" w:space="0" w:color="auto"/>
        <w:bottom w:val="none" w:sz="0" w:space="0" w:color="auto"/>
        <w:right w:val="none" w:sz="0" w:space="0" w:color="auto"/>
      </w:divBdr>
    </w:div>
    <w:div w:id="1765763137">
      <w:bodyDiv w:val="1"/>
      <w:marLeft w:val="0"/>
      <w:marRight w:val="0"/>
      <w:marTop w:val="0"/>
      <w:marBottom w:val="0"/>
      <w:divBdr>
        <w:top w:val="none" w:sz="0" w:space="0" w:color="auto"/>
        <w:left w:val="none" w:sz="0" w:space="0" w:color="auto"/>
        <w:bottom w:val="none" w:sz="0" w:space="0" w:color="auto"/>
        <w:right w:val="none" w:sz="0" w:space="0" w:color="auto"/>
      </w:divBdr>
    </w:div>
    <w:div w:id="1899783674">
      <w:bodyDiv w:val="1"/>
      <w:marLeft w:val="0"/>
      <w:marRight w:val="0"/>
      <w:marTop w:val="0"/>
      <w:marBottom w:val="0"/>
      <w:divBdr>
        <w:top w:val="none" w:sz="0" w:space="0" w:color="auto"/>
        <w:left w:val="none" w:sz="0" w:space="0" w:color="auto"/>
        <w:bottom w:val="none" w:sz="0" w:space="0" w:color="auto"/>
        <w:right w:val="none" w:sz="0" w:space="0" w:color="auto"/>
      </w:divBdr>
    </w:div>
    <w:div w:id="1908759350">
      <w:bodyDiv w:val="1"/>
      <w:marLeft w:val="0"/>
      <w:marRight w:val="0"/>
      <w:marTop w:val="0"/>
      <w:marBottom w:val="0"/>
      <w:divBdr>
        <w:top w:val="none" w:sz="0" w:space="0" w:color="auto"/>
        <w:left w:val="none" w:sz="0" w:space="0" w:color="auto"/>
        <w:bottom w:val="none" w:sz="0" w:space="0" w:color="auto"/>
        <w:right w:val="none" w:sz="0" w:space="0" w:color="auto"/>
      </w:divBdr>
    </w:div>
    <w:div w:id="1982618087">
      <w:bodyDiv w:val="1"/>
      <w:marLeft w:val="0"/>
      <w:marRight w:val="0"/>
      <w:marTop w:val="0"/>
      <w:marBottom w:val="0"/>
      <w:divBdr>
        <w:top w:val="none" w:sz="0" w:space="0" w:color="auto"/>
        <w:left w:val="none" w:sz="0" w:space="0" w:color="auto"/>
        <w:bottom w:val="none" w:sz="0" w:space="0" w:color="auto"/>
        <w:right w:val="none" w:sz="0" w:space="0" w:color="auto"/>
      </w:divBdr>
    </w:div>
    <w:div w:id="2025863374">
      <w:bodyDiv w:val="1"/>
      <w:marLeft w:val="0"/>
      <w:marRight w:val="0"/>
      <w:marTop w:val="0"/>
      <w:marBottom w:val="0"/>
      <w:divBdr>
        <w:top w:val="none" w:sz="0" w:space="0" w:color="auto"/>
        <w:left w:val="none" w:sz="0" w:space="0" w:color="auto"/>
        <w:bottom w:val="none" w:sz="0" w:space="0" w:color="auto"/>
        <w:right w:val="none" w:sz="0" w:space="0" w:color="auto"/>
      </w:divBdr>
    </w:div>
    <w:div w:id="210337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of March 31</a:t>
            </a:r>
            <a:r>
              <a:rPr lang="en-US" sz="1000" b="1" baseline="0"/>
              <a:t>, 2022</a:t>
            </a:r>
            <a:endParaRPr lang="en-US" sz="1000" b="1"/>
          </a:p>
        </c:rich>
      </c:tx>
      <c:layout>
        <c:manualLayout>
          <c:xMode val="edge"/>
          <c:yMode val="edge"/>
          <c:x val="0.32151960784313732"/>
          <c:y val="1.9011168325366954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1.9607843137254902E-2"/>
          <c:y val="0.2390418023260289"/>
          <c:w val="0.94607843137254899"/>
          <c:h val="0.5968900331740058"/>
        </c:manualLayout>
      </c:layout>
      <c:barChart>
        <c:barDir val="col"/>
        <c:grouping val="clustered"/>
        <c:varyColors val="0"/>
        <c:ser>
          <c:idx val="0"/>
          <c:order val="0"/>
          <c:tx>
            <c:strRef>
              <c:f>Sheet1!$B$1</c:f>
              <c:strCache>
                <c:ptCount val="1"/>
                <c:pt idx="0">
                  <c:v>US Equities</c:v>
                </c:pt>
              </c:strCache>
            </c:strRef>
          </c:tx>
          <c:spPr>
            <a:solidFill>
              <a:schemeClr val="accent6">
                <a:lumMod val="50000"/>
              </a:schemeClr>
            </a:solidFill>
            <a:ln>
              <a:noFill/>
            </a:ln>
            <a:effectLst/>
          </c:spPr>
          <c:invertIfNegative val="0"/>
          <c:dLbls>
            <c:dLbl>
              <c:idx val="0"/>
              <c:tx>
                <c:rich>
                  <a:bodyPr/>
                  <a:lstStyle/>
                  <a:p>
                    <a:fld id="{0C9408F7-16A7-4AF0-83F3-BA50E5AF376C}"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DF53-45D6-B106-A8DC1EB50589}"/>
                </c:ext>
              </c:extLst>
            </c:dLbl>
            <c:dLbl>
              <c:idx val="1"/>
              <c:tx>
                <c:rich>
                  <a:bodyPr/>
                  <a:lstStyle/>
                  <a:p>
                    <a:fld id="{4ADEB8EF-4226-4E25-874A-E64AA748E7CA}"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DF53-45D6-B106-A8DC1EB50589}"/>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Q1</c:v>
                </c:pt>
                <c:pt idx="1">
                  <c:v>YTD</c:v>
                </c:pt>
              </c:strCache>
            </c:strRef>
          </c:cat>
          <c:val>
            <c:numRef>
              <c:f>Sheet1!$B$2:$B$3</c:f>
              <c:numCache>
                <c:formatCode>0.0</c:formatCode>
                <c:ptCount val="2"/>
                <c:pt idx="0">
                  <c:v>-4.5999999999999996</c:v>
                </c:pt>
                <c:pt idx="1">
                  <c:v>-4.5999999999999996</c:v>
                </c:pt>
              </c:numCache>
            </c:numRef>
          </c:val>
          <c:extLst>
            <c:ext xmlns:c16="http://schemas.microsoft.com/office/drawing/2014/chart" uri="{C3380CC4-5D6E-409C-BE32-E72D297353CC}">
              <c16:uniqueId val="{00000000-DF53-45D6-B106-A8DC1EB50589}"/>
            </c:ext>
          </c:extLst>
        </c:ser>
        <c:ser>
          <c:idx val="1"/>
          <c:order val="1"/>
          <c:tx>
            <c:strRef>
              <c:f>Sheet1!$C$1</c:f>
              <c:strCache>
                <c:ptCount val="1"/>
                <c:pt idx="0">
                  <c:v>Int'l Equities</c:v>
                </c:pt>
              </c:strCache>
            </c:strRef>
          </c:tx>
          <c:spPr>
            <a:solidFill>
              <a:schemeClr val="accent6">
                <a:lumMod val="75000"/>
              </a:schemeClr>
            </a:solidFill>
            <a:ln>
              <a:noFill/>
            </a:ln>
            <a:effectLst/>
          </c:spPr>
          <c:invertIfNegative val="0"/>
          <c:dLbls>
            <c:dLbl>
              <c:idx val="0"/>
              <c:tx>
                <c:rich>
                  <a:bodyPr/>
                  <a:lstStyle/>
                  <a:p>
                    <a:fld id="{E060D20E-A439-40F8-8D59-98E4F6ED90F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DF53-45D6-B106-A8DC1EB50589}"/>
                </c:ext>
              </c:extLst>
            </c:dLbl>
            <c:dLbl>
              <c:idx val="1"/>
              <c:tx>
                <c:rich>
                  <a:bodyPr/>
                  <a:lstStyle/>
                  <a:p>
                    <a:fld id="{E58F6636-5B92-477D-BDAF-413EDE4769AD}"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DF53-45D6-B106-A8DC1EB50589}"/>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Q1</c:v>
                </c:pt>
                <c:pt idx="1">
                  <c:v>YTD</c:v>
                </c:pt>
              </c:strCache>
            </c:strRef>
          </c:cat>
          <c:val>
            <c:numRef>
              <c:f>Sheet1!$C$2:$C$3</c:f>
              <c:numCache>
                <c:formatCode>0.0</c:formatCode>
                <c:ptCount val="2"/>
                <c:pt idx="0" formatCode="General">
                  <c:v>-5.8</c:v>
                </c:pt>
                <c:pt idx="1">
                  <c:v>-5.8</c:v>
                </c:pt>
              </c:numCache>
            </c:numRef>
          </c:val>
          <c:extLst>
            <c:ext xmlns:c16="http://schemas.microsoft.com/office/drawing/2014/chart" uri="{C3380CC4-5D6E-409C-BE32-E72D297353CC}">
              <c16:uniqueId val="{00000001-DF53-45D6-B106-A8DC1EB50589}"/>
            </c:ext>
          </c:extLst>
        </c:ser>
        <c:ser>
          <c:idx val="2"/>
          <c:order val="2"/>
          <c:tx>
            <c:strRef>
              <c:f>Sheet1!$D$1</c:f>
              <c:strCache>
                <c:ptCount val="1"/>
                <c:pt idx="0">
                  <c:v>EM Equities</c:v>
                </c:pt>
              </c:strCache>
            </c:strRef>
          </c:tx>
          <c:spPr>
            <a:solidFill>
              <a:schemeClr val="accent6">
                <a:lumMod val="60000"/>
                <a:lumOff val="40000"/>
              </a:schemeClr>
            </a:solidFill>
            <a:ln>
              <a:noFill/>
            </a:ln>
            <a:effectLst/>
          </c:spPr>
          <c:invertIfNegative val="0"/>
          <c:dLbls>
            <c:dLbl>
              <c:idx val="0"/>
              <c:tx>
                <c:rich>
                  <a:bodyPr/>
                  <a:lstStyle/>
                  <a:p>
                    <a:fld id="{436B1F4F-6E1F-495C-A413-1CBCEB1B1A4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DF53-45D6-B106-A8DC1EB50589}"/>
                </c:ext>
              </c:extLst>
            </c:dLbl>
            <c:dLbl>
              <c:idx val="1"/>
              <c:tx>
                <c:rich>
                  <a:bodyPr/>
                  <a:lstStyle/>
                  <a:p>
                    <a:fld id="{5A08564F-884B-4BE3-ADF0-D8A914BD6A2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DF53-45D6-B106-A8DC1EB50589}"/>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Q1</c:v>
                </c:pt>
                <c:pt idx="1">
                  <c:v>YTD</c:v>
                </c:pt>
              </c:strCache>
            </c:strRef>
          </c:cat>
          <c:val>
            <c:numRef>
              <c:f>Sheet1!$D$2:$D$3</c:f>
              <c:numCache>
                <c:formatCode>0.0</c:formatCode>
                <c:ptCount val="2"/>
                <c:pt idx="0" formatCode="#,##0.0">
                  <c:v>-6.9</c:v>
                </c:pt>
                <c:pt idx="1">
                  <c:v>-6.9</c:v>
                </c:pt>
              </c:numCache>
            </c:numRef>
          </c:val>
          <c:extLst>
            <c:ext xmlns:c16="http://schemas.microsoft.com/office/drawing/2014/chart" uri="{C3380CC4-5D6E-409C-BE32-E72D297353CC}">
              <c16:uniqueId val="{00000002-DF53-45D6-B106-A8DC1EB50589}"/>
            </c:ext>
          </c:extLst>
        </c:ser>
        <c:ser>
          <c:idx val="3"/>
          <c:order val="3"/>
          <c:tx>
            <c:strRef>
              <c:f>Sheet1!$E$1</c:f>
              <c:strCache>
                <c:ptCount val="1"/>
                <c:pt idx="0">
                  <c:v>US Bonds</c:v>
                </c:pt>
              </c:strCache>
            </c:strRef>
          </c:tx>
          <c:spPr>
            <a:solidFill>
              <a:schemeClr val="accent5">
                <a:lumMod val="50000"/>
              </a:schemeClr>
            </a:solidFill>
            <a:ln>
              <a:noFill/>
            </a:ln>
            <a:effectLst/>
          </c:spPr>
          <c:invertIfNegative val="0"/>
          <c:dLbls>
            <c:dLbl>
              <c:idx val="0"/>
              <c:tx>
                <c:rich>
                  <a:bodyPr/>
                  <a:lstStyle/>
                  <a:p>
                    <a:fld id="{36D434B2-8B33-4B5E-8483-CCDC78D5F33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DF53-45D6-B106-A8DC1EB50589}"/>
                </c:ext>
              </c:extLst>
            </c:dLbl>
            <c:dLbl>
              <c:idx val="1"/>
              <c:tx>
                <c:rich>
                  <a:bodyPr/>
                  <a:lstStyle/>
                  <a:p>
                    <a:fld id="{7D1A88AC-EEEF-4C42-BA02-A950F504D9BA}"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DF53-45D6-B106-A8DC1EB50589}"/>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Q1</c:v>
                </c:pt>
                <c:pt idx="1">
                  <c:v>YTD</c:v>
                </c:pt>
              </c:strCache>
            </c:strRef>
          </c:cat>
          <c:val>
            <c:numRef>
              <c:f>Sheet1!$E$2:$E$3</c:f>
              <c:numCache>
                <c:formatCode>0.0</c:formatCode>
                <c:ptCount val="2"/>
                <c:pt idx="0" formatCode="General">
                  <c:v>-5.9</c:v>
                </c:pt>
                <c:pt idx="1">
                  <c:v>-5.9</c:v>
                </c:pt>
              </c:numCache>
            </c:numRef>
          </c:val>
          <c:extLst>
            <c:ext xmlns:c16="http://schemas.microsoft.com/office/drawing/2014/chart" uri="{C3380CC4-5D6E-409C-BE32-E72D297353CC}">
              <c16:uniqueId val="{00000003-DF53-45D6-B106-A8DC1EB50589}"/>
            </c:ext>
          </c:extLst>
        </c:ser>
        <c:ser>
          <c:idx val="4"/>
          <c:order val="4"/>
          <c:tx>
            <c:strRef>
              <c:f>Sheet1!$F$1</c:f>
              <c:strCache>
                <c:ptCount val="1"/>
                <c:pt idx="0">
                  <c:v>Int'l Bonds</c:v>
                </c:pt>
              </c:strCache>
            </c:strRef>
          </c:tx>
          <c:spPr>
            <a:solidFill>
              <a:schemeClr val="accent5">
                <a:lumMod val="75000"/>
              </a:schemeClr>
            </a:solidFill>
            <a:ln>
              <a:noFill/>
            </a:ln>
            <a:effectLst/>
          </c:spPr>
          <c:invertIfNegative val="0"/>
          <c:dLbls>
            <c:dLbl>
              <c:idx val="0"/>
              <c:tx>
                <c:rich>
                  <a:bodyPr/>
                  <a:lstStyle/>
                  <a:p>
                    <a:fld id="{86454208-F45C-4ED2-A9D2-6A24E2EF119C}"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DF53-45D6-B106-A8DC1EB50589}"/>
                </c:ext>
              </c:extLst>
            </c:dLbl>
            <c:dLbl>
              <c:idx val="1"/>
              <c:tx>
                <c:rich>
                  <a:bodyPr/>
                  <a:lstStyle/>
                  <a:p>
                    <a:fld id="{F6B04FC6-FF7D-4C93-920C-239AD6A3BF4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DF53-45D6-B106-A8DC1EB50589}"/>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Q1</c:v>
                </c:pt>
                <c:pt idx="1">
                  <c:v>YTD</c:v>
                </c:pt>
              </c:strCache>
            </c:strRef>
          </c:cat>
          <c:val>
            <c:numRef>
              <c:f>Sheet1!$F$2:$F$3</c:f>
              <c:numCache>
                <c:formatCode>0.0</c:formatCode>
                <c:ptCount val="2"/>
                <c:pt idx="0">
                  <c:v>-6.1</c:v>
                </c:pt>
                <c:pt idx="1">
                  <c:v>-6.1</c:v>
                </c:pt>
              </c:numCache>
            </c:numRef>
          </c:val>
          <c:extLst>
            <c:ext xmlns:c16="http://schemas.microsoft.com/office/drawing/2014/chart" uri="{C3380CC4-5D6E-409C-BE32-E72D297353CC}">
              <c16:uniqueId val="{00000004-DF53-45D6-B106-A8DC1EB50589}"/>
            </c:ext>
          </c:extLst>
        </c:ser>
        <c:ser>
          <c:idx val="5"/>
          <c:order val="5"/>
          <c:tx>
            <c:strRef>
              <c:f>Sheet1!$G$1</c:f>
              <c:strCache>
                <c:ptCount val="1"/>
                <c:pt idx="0">
                  <c:v>EM Bonds</c:v>
                </c:pt>
              </c:strCache>
            </c:strRef>
          </c:tx>
          <c:spPr>
            <a:solidFill>
              <a:schemeClr val="accent5">
                <a:lumMod val="60000"/>
                <a:lumOff val="40000"/>
              </a:schemeClr>
            </a:solidFill>
            <a:ln>
              <a:noFill/>
            </a:ln>
            <a:effectLst/>
          </c:spPr>
          <c:invertIfNegative val="0"/>
          <c:dLbls>
            <c:dLbl>
              <c:idx val="0"/>
              <c:tx>
                <c:rich>
                  <a:bodyPr/>
                  <a:lstStyle/>
                  <a:p>
                    <a:fld id="{864104ED-D24F-4E5C-87B6-B9D31F50DE8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DF53-45D6-B106-A8DC1EB50589}"/>
                </c:ext>
              </c:extLst>
            </c:dLbl>
            <c:dLbl>
              <c:idx val="1"/>
              <c:tx>
                <c:rich>
                  <a:bodyPr/>
                  <a:lstStyle/>
                  <a:p>
                    <a:fld id="{B7B89574-311B-4F7B-B2BC-CB45CD32F05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DF53-45D6-B106-A8DC1EB50589}"/>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Q1</c:v>
                </c:pt>
                <c:pt idx="1">
                  <c:v>YTD</c:v>
                </c:pt>
              </c:strCache>
            </c:strRef>
          </c:cat>
          <c:val>
            <c:numRef>
              <c:f>Sheet1!$G$2:$G$3</c:f>
              <c:numCache>
                <c:formatCode>0.0</c:formatCode>
                <c:ptCount val="2"/>
                <c:pt idx="0">
                  <c:v>-9.1999999999999993</c:v>
                </c:pt>
                <c:pt idx="1">
                  <c:v>-9.1999999999999993</c:v>
                </c:pt>
              </c:numCache>
            </c:numRef>
          </c:val>
          <c:extLst>
            <c:ext xmlns:c16="http://schemas.microsoft.com/office/drawing/2014/chart" uri="{C3380CC4-5D6E-409C-BE32-E72D297353CC}">
              <c16:uniqueId val="{00000005-DF53-45D6-B106-A8DC1EB50589}"/>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noMultiLvlLbl val="0"/>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0"/>
          <c:y val="0.86915238536359418"/>
          <c:w val="0.9612745098039216"/>
          <c:h val="0.1308476146364057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DD04528833D48AE03A722395B8981" ma:contentTypeVersion="10" ma:contentTypeDescription="Create a new document." ma:contentTypeScope="" ma:versionID="2658d150be98af99731427ea3270a5bd">
  <xsd:schema xmlns:xsd="http://www.w3.org/2001/XMLSchema" xmlns:xs="http://www.w3.org/2001/XMLSchema" xmlns:p="http://schemas.microsoft.com/office/2006/metadata/properties" xmlns:ns3="544282d0-16b8-4a3b-b3e7-bd67f99b7e0f" xmlns:ns4="c316bbf3-ecf4-4ea6-8bd0-9b7acfad4581" targetNamespace="http://schemas.microsoft.com/office/2006/metadata/properties" ma:root="true" ma:fieldsID="803485e28f1a8174196fb6807ab1dabf" ns3:_="" ns4:_="">
    <xsd:import namespace="544282d0-16b8-4a3b-b3e7-bd67f99b7e0f"/>
    <xsd:import namespace="c316bbf3-ecf4-4ea6-8bd0-9b7acfad45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282d0-16b8-4a3b-b3e7-bd67f99b7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6bbf3-ecf4-4ea6-8bd0-9b7acfad45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731A9-96E0-466D-B58E-02877A2396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AE645D-791C-4EE7-9E5F-AA3791FBE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282d0-16b8-4a3b-b3e7-bd67f99b7e0f"/>
    <ds:schemaRef ds:uri="c316bbf3-ecf4-4ea6-8bd0-9b7acfad4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D0698-4A8D-451C-B145-A083729996EF}">
  <ds:schemaRefs>
    <ds:schemaRef ds:uri="http://schemas.microsoft.com/sharepoint/v3/contenttype/forms"/>
  </ds:schemaRefs>
</ds:datastoreItem>
</file>

<file path=customXml/itemProps4.xml><?xml version="1.0" encoding="utf-8"?>
<ds:datastoreItem xmlns:ds="http://schemas.openxmlformats.org/officeDocument/2006/customXml" ds:itemID="{C5E2F4E7-D4BF-444C-88CC-74777E1A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4</Pages>
  <Words>1382</Words>
  <Characters>7466</Characters>
  <Application>Microsoft Office Word</Application>
  <DocSecurity>0</DocSecurity>
  <Lines>266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Brown, Brittney (AssetMark)</cp:lastModifiedBy>
  <cp:revision>19</cp:revision>
  <cp:lastPrinted>2020-01-07T17:46:00Z</cp:lastPrinted>
  <dcterms:created xsi:type="dcterms:W3CDTF">2022-04-04T16:52:00Z</dcterms:created>
  <dcterms:modified xsi:type="dcterms:W3CDTF">2022-04-05T22:22:00Z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0x0101009F1DD04528833D48AE03A722395B8981</vt:lpwstr>
  </property>
</Properties>
</file>