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8FC9" w14:textId="77777777" w:rsidR="004B1C5E" w:rsidRDefault="004B1C5E" w:rsidP="00996FBD">
      <w:pPr>
        <w:spacing w:after="0"/>
        <w:ind w:left="-720" w:right="-720"/>
        <w:rPr>
          <w:rFonts w:ascii="Arial" w:hAnsi="Arial" w:cs="Arial"/>
          <w:b/>
          <w:color w:val="0070C0"/>
          <w:sz w:val="20"/>
          <w:szCs w:val="20"/>
        </w:rPr>
      </w:pPr>
      <w:bookmarkStart w:id="0" w:name="_GoBack"/>
      <w:bookmarkEnd w:id="0"/>
    </w:p>
    <w:p w14:paraId="464BF5D3" w14:textId="77777777" w:rsidR="004B1C5E" w:rsidRDefault="004B1C5E" w:rsidP="00996FBD">
      <w:pPr>
        <w:spacing w:after="0"/>
        <w:ind w:left="-720" w:right="-720"/>
        <w:rPr>
          <w:rFonts w:ascii="Arial" w:hAnsi="Arial" w:cs="Arial"/>
          <w:b/>
          <w:color w:val="0070C0"/>
          <w:sz w:val="20"/>
          <w:szCs w:val="20"/>
        </w:rPr>
      </w:pPr>
    </w:p>
    <w:p w14:paraId="6B227764" w14:textId="77777777" w:rsidR="004B1C5E" w:rsidRDefault="004B1C5E" w:rsidP="008F63B8">
      <w:pPr>
        <w:spacing w:after="0"/>
        <w:ind w:right="-720"/>
        <w:rPr>
          <w:rFonts w:ascii="Arial" w:hAnsi="Arial" w:cs="Arial"/>
          <w:b/>
          <w:color w:val="0070C0"/>
          <w:sz w:val="20"/>
          <w:szCs w:val="20"/>
        </w:rPr>
      </w:pPr>
    </w:p>
    <w:p w14:paraId="244B2C12" w14:textId="77777777" w:rsidR="004B1C5E" w:rsidRDefault="004B1C5E" w:rsidP="00996FBD">
      <w:pPr>
        <w:spacing w:after="0"/>
        <w:ind w:left="-720" w:right="-720"/>
        <w:rPr>
          <w:rFonts w:ascii="Arial" w:hAnsi="Arial" w:cs="Arial"/>
          <w:b/>
          <w:color w:val="0070C0"/>
          <w:sz w:val="20"/>
          <w:szCs w:val="20"/>
        </w:rPr>
      </w:pPr>
    </w:p>
    <w:p w14:paraId="72E66203" w14:textId="77777777" w:rsidR="004B1C5E" w:rsidRDefault="004B1C5E" w:rsidP="00996FBD">
      <w:pPr>
        <w:spacing w:after="0"/>
        <w:ind w:left="-720" w:right="-720"/>
        <w:rPr>
          <w:rFonts w:ascii="Arial" w:hAnsi="Arial" w:cs="Arial"/>
          <w:b/>
          <w:color w:val="0070C0"/>
          <w:sz w:val="20"/>
          <w:szCs w:val="20"/>
        </w:rPr>
      </w:pPr>
    </w:p>
    <w:p w14:paraId="0B4B0521" w14:textId="77777777" w:rsidR="004B1C5E" w:rsidRDefault="004B1C5E" w:rsidP="00996FBD">
      <w:pPr>
        <w:spacing w:after="0"/>
        <w:ind w:left="-720" w:right="-720"/>
        <w:rPr>
          <w:rFonts w:ascii="Arial" w:hAnsi="Arial" w:cs="Arial"/>
          <w:b/>
          <w:color w:val="0070C0"/>
          <w:sz w:val="20"/>
          <w:szCs w:val="20"/>
        </w:rPr>
      </w:pPr>
    </w:p>
    <w:p w14:paraId="5810762A" w14:textId="77777777" w:rsidR="004B1C5E" w:rsidRDefault="004B1C5E" w:rsidP="00996FBD">
      <w:pPr>
        <w:spacing w:after="0"/>
        <w:ind w:left="-720" w:right="-720"/>
        <w:rPr>
          <w:rFonts w:ascii="Arial" w:hAnsi="Arial" w:cs="Arial"/>
          <w:b/>
          <w:color w:val="0070C0"/>
          <w:sz w:val="20"/>
          <w:szCs w:val="20"/>
        </w:rPr>
      </w:pPr>
    </w:p>
    <w:p w14:paraId="0A92056C" w14:textId="77777777" w:rsidR="00996FBD" w:rsidRPr="00FB2425" w:rsidRDefault="000A7E8D" w:rsidP="002B3AF0">
      <w:pPr>
        <w:spacing w:after="0"/>
        <w:ind w:left="720" w:right="-360" w:firstLine="720"/>
        <w:rPr>
          <w:rFonts w:ascii="Arial" w:hAnsi="Arial" w:cs="Arial"/>
          <w:b/>
          <w:color w:val="037EBB"/>
          <w:szCs w:val="20"/>
        </w:rPr>
      </w:pPr>
      <w:r w:rsidRPr="007D272C">
        <w:rPr>
          <w:rFonts w:ascii="Arial" w:hAnsi="Arial" w:cs="Arial"/>
          <w:b/>
          <w:noProof/>
          <w:color w:val="3B3838" w:themeColor="background2" w:themeShade="40"/>
          <w:sz w:val="21"/>
          <w:szCs w:val="20"/>
        </w:rPr>
        <w:drawing>
          <wp:anchor distT="0" distB="0" distL="114300" distR="114300" simplePos="0" relativeHeight="251668480" behindDoc="0" locked="0" layoutInCell="1" allowOverlap="1" wp14:anchorId="7008C652" wp14:editId="1CE6130C">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1EE6C3BF" w14:textId="77777777" w:rsidR="00996FBD" w:rsidRDefault="00996FBD" w:rsidP="006A6909">
      <w:pPr>
        <w:spacing w:after="0"/>
        <w:ind w:left="1440" w:right="-360"/>
        <w:rPr>
          <w:rFonts w:ascii="Arial" w:hAnsi="Arial" w:cs="Arial"/>
          <w:sz w:val="20"/>
          <w:szCs w:val="20"/>
        </w:rPr>
      </w:pPr>
    </w:p>
    <w:p w14:paraId="4C909CFE" w14:textId="77777777" w:rsidR="00397AF7" w:rsidRDefault="00397AF7" w:rsidP="00AC6A69">
      <w:pPr>
        <w:pStyle w:val="ListParagraph"/>
        <w:numPr>
          <w:ilvl w:val="0"/>
          <w:numId w:val="3"/>
        </w:numPr>
        <w:contextualSpacing w:val="0"/>
        <w:rPr>
          <w:rFonts w:ascii="Arial" w:hAnsi="Arial" w:cs="Arial"/>
          <w:b/>
          <w:bCs/>
          <w:iCs/>
          <w:sz w:val="20"/>
          <w:szCs w:val="20"/>
        </w:rPr>
        <w:sectPr w:rsidR="00397AF7" w:rsidSect="006A6909">
          <w:headerReference w:type="default" r:id="rId12"/>
          <w:footerReference w:type="even" r:id="rId13"/>
          <w:footerReference w:type="default" r:id="rId14"/>
          <w:headerReference w:type="first" r:id="rId15"/>
          <w:footerReference w:type="first" r:id="rId16"/>
          <w:pgSz w:w="12240" w:h="15840"/>
          <w:pgMar w:top="-1659" w:right="1440" w:bottom="1518" w:left="1440" w:header="720" w:footer="720" w:gutter="0"/>
          <w:cols w:space="720"/>
          <w:titlePg/>
          <w:docGrid w:linePitch="360"/>
        </w:sectPr>
      </w:pPr>
    </w:p>
    <w:p w14:paraId="354D827E" w14:textId="75C1B431" w:rsidR="001A6B17" w:rsidRDefault="00F9055C" w:rsidP="00934AC9">
      <w:pPr>
        <w:pStyle w:val="ListParagraph"/>
        <w:numPr>
          <w:ilvl w:val="0"/>
          <w:numId w:val="3"/>
        </w:numPr>
        <w:rPr>
          <w:rFonts w:ascii="Arial" w:hAnsi="Arial" w:cs="Arial"/>
          <w:sz w:val="20"/>
          <w:szCs w:val="20"/>
        </w:rPr>
      </w:pPr>
      <w:r>
        <w:rPr>
          <w:rFonts w:ascii="Arial" w:hAnsi="Arial" w:cs="Arial"/>
          <w:b/>
          <w:bCs/>
          <w:iCs/>
          <w:sz w:val="20"/>
          <w:szCs w:val="20"/>
        </w:rPr>
        <w:t>The sentiment at the end of 2020 continued into the start of 2021 as the equity markets saw positive returns for the quarter.</w:t>
      </w:r>
      <w:r w:rsidR="00934AC9" w:rsidRPr="00ED5986">
        <w:rPr>
          <w:rFonts w:ascii="Arial" w:hAnsi="Arial" w:cs="Arial"/>
          <w:b/>
          <w:bCs/>
          <w:iCs/>
          <w:sz w:val="20"/>
          <w:szCs w:val="20"/>
        </w:rPr>
        <w:t xml:space="preserve"> </w:t>
      </w:r>
      <w:r w:rsidR="00992E7E">
        <w:rPr>
          <w:rFonts w:ascii="Arial" w:hAnsi="Arial" w:cs="Arial"/>
          <w:sz w:val="20"/>
          <w:szCs w:val="20"/>
        </w:rPr>
        <w:t xml:space="preserve">US markets led the way </w:t>
      </w:r>
      <w:r w:rsidR="00FA6429">
        <w:rPr>
          <w:rFonts w:ascii="Arial" w:hAnsi="Arial" w:cs="Arial"/>
          <w:sz w:val="20"/>
          <w:szCs w:val="20"/>
        </w:rPr>
        <w:t xml:space="preserve">with dollar strength weakening </w:t>
      </w:r>
      <w:r w:rsidR="00E74D75">
        <w:rPr>
          <w:rFonts w:ascii="Arial" w:hAnsi="Arial" w:cs="Arial"/>
          <w:sz w:val="20"/>
          <w:szCs w:val="20"/>
        </w:rPr>
        <w:t>the results seen from international markets</w:t>
      </w:r>
      <w:r w:rsidR="00DF67BB">
        <w:rPr>
          <w:rFonts w:ascii="Arial" w:hAnsi="Arial" w:cs="Arial"/>
          <w:sz w:val="20"/>
          <w:szCs w:val="20"/>
        </w:rPr>
        <w:t xml:space="preserve"> as only two developed markets saw negative returns in local currency during the quarter</w:t>
      </w:r>
      <w:r w:rsidR="00D027B1">
        <w:rPr>
          <w:rFonts w:ascii="Arial" w:hAnsi="Arial" w:cs="Arial"/>
          <w:sz w:val="20"/>
          <w:szCs w:val="20"/>
        </w:rPr>
        <w:t>.</w:t>
      </w:r>
    </w:p>
    <w:p w14:paraId="76766F55" w14:textId="083D5A85" w:rsidR="00934AC9" w:rsidRDefault="005E7352" w:rsidP="00521AD6">
      <w:pPr>
        <w:pStyle w:val="ListParagraph"/>
        <w:ind w:left="1440"/>
        <w:rPr>
          <w:rFonts w:ascii="Arial" w:hAnsi="Arial" w:cs="Arial"/>
          <w:sz w:val="20"/>
          <w:szCs w:val="20"/>
        </w:rPr>
      </w:pPr>
      <w:r>
        <w:rPr>
          <w:noProof/>
        </w:rPr>
        <w:drawing>
          <wp:anchor distT="0" distB="0" distL="114300" distR="114300" simplePos="0" relativeHeight="251674624" behindDoc="0" locked="0" layoutInCell="1" allowOverlap="1" wp14:anchorId="76D82B90" wp14:editId="67F7F031">
            <wp:simplePos x="0" y="0"/>
            <wp:positionH relativeFrom="column">
              <wp:posOffset>461221</wp:posOffset>
            </wp:positionH>
            <wp:positionV relativeFrom="paragraph">
              <wp:posOffset>247015</wp:posOffset>
            </wp:positionV>
            <wp:extent cx="5943600" cy="2372360"/>
            <wp:effectExtent l="0" t="0" r="0" b="8890"/>
            <wp:wrapTopAndBottom/>
            <wp:docPr id="2" name="Chart 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34AC9" w:rsidRPr="00ED5986">
        <w:rPr>
          <w:rFonts w:ascii="Arial" w:hAnsi="Arial" w:cs="Arial"/>
          <w:sz w:val="20"/>
          <w:szCs w:val="20"/>
        </w:rPr>
        <w:t xml:space="preserve"> </w:t>
      </w:r>
    </w:p>
    <w:p w14:paraId="3899F495" w14:textId="489BC2B2" w:rsidR="00934AC9" w:rsidRPr="0067047A" w:rsidRDefault="0067047A" w:rsidP="0067047A">
      <w:pPr>
        <w:rPr>
          <w:rFonts w:ascii="Arial" w:hAnsi="Arial" w:cs="Arial"/>
          <w:sz w:val="20"/>
          <w:szCs w:val="20"/>
        </w:rPr>
      </w:pPr>
      <w:r>
        <w:rPr>
          <w:rFonts w:ascii="Arial" w:hAnsi="Arial" w:cs="Arial"/>
          <w:sz w:val="20"/>
          <w:szCs w:val="20"/>
        </w:rPr>
        <w:t xml:space="preserve">                         </w:t>
      </w:r>
      <w:r w:rsidR="00934AC9" w:rsidRPr="0067047A">
        <w:rPr>
          <w:rFonts w:ascii="Arial" w:hAnsi="Arial" w:cs="Arial"/>
          <w:sz w:val="20"/>
          <w:szCs w:val="20"/>
        </w:rPr>
        <w:t xml:space="preserve">Source: </w:t>
      </w:r>
      <w:r w:rsidR="00940C5A">
        <w:rPr>
          <w:rFonts w:ascii="Arial" w:hAnsi="Arial" w:cs="Arial"/>
          <w:sz w:val="20"/>
          <w:szCs w:val="20"/>
        </w:rPr>
        <w:t>Fact</w:t>
      </w:r>
      <w:r w:rsidR="007F020C">
        <w:rPr>
          <w:rFonts w:ascii="Arial" w:hAnsi="Arial" w:cs="Arial"/>
          <w:sz w:val="20"/>
          <w:szCs w:val="20"/>
        </w:rPr>
        <w:t>S</w:t>
      </w:r>
      <w:r w:rsidR="00940C5A">
        <w:rPr>
          <w:rFonts w:ascii="Arial" w:hAnsi="Arial" w:cs="Arial"/>
          <w:sz w:val="20"/>
          <w:szCs w:val="20"/>
        </w:rPr>
        <w:t xml:space="preserve">et </w:t>
      </w:r>
      <w:r w:rsidR="00940C5A" w:rsidRPr="00940C5A">
        <w:rPr>
          <w:rStyle w:val="Emphasis"/>
          <w:rFonts w:ascii="Arial" w:hAnsi="Arial" w:cs="Arial"/>
          <w:i w:val="0"/>
          <w:iCs w:val="0"/>
          <w:color w:val="000000"/>
          <w:sz w:val="20"/>
          <w:szCs w:val="20"/>
          <w:shd w:val="clear" w:color="auto" w:fill="FFFFFF"/>
        </w:rPr>
        <w:t>financial data and analytics</w:t>
      </w:r>
    </w:p>
    <w:p w14:paraId="21C08D27" w14:textId="3E62A4AE" w:rsidR="00977850" w:rsidRPr="00FD22B2" w:rsidRDefault="00521AD6" w:rsidP="00FD22B2">
      <w:pPr>
        <w:pStyle w:val="ListParagraph"/>
        <w:numPr>
          <w:ilvl w:val="0"/>
          <w:numId w:val="3"/>
        </w:numPr>
        <w:contextualSpacing w:val="0"/>
        <w:rPr>
          <w:rFonts w:ascii="Arial" w:hAnsi="Arial" w:cs="Arial"/>
          <w:sz w:val="20"/>
          <w:szCs w:val="20"/>
        </w:rPr>
      </w:pPr>
      <w:r>
        <w:rPr>
          <w:rFonts w:ascii="Arial" w:hAnsi="Arial" w:cs="Arial"/>
          <w:b/>
          <w:bCs/>
          <w:iCs/>
          <w:sz w:val="20"/>
          <w:szCs w:val="20"/>
        </w:rPr>
        <w:t xml:space="preserve">Looking at the past 12 months </w:t>
      </w:r>
      <w:r w:rsidR="00AE3FA2">
        <w:rPr>
          <w:rFonts w:ascii="Arial" w:hAnsi="Arial" w:cs="Arial"/>
          <w:b/>
          <w:bCs/>
          <w:iCs/>
          <w:sz w:val="20"/>
          <w:szCs w:val="20"/>
        </w:rPr>
        <w:t xml:space="preserve">following the bottom of the market crash on March 23, </w:t>
      </w:r>
      <w:r w:rsidR="00A31101">
        <w:rPr>
          <w:rFonts w:ascii="Arial" w:hAnsi="Arial" w:cs="Arial"/>
          <w:b/>
          <w:bCs/>
          <w:iCs/>
          <w:sz w:val="20"/>
          <w:szCs w:val="20"/>
        </w:rPr>
        <w:t>the S&amp;P 500</w:t>
      </w:r>
      <w:r w:rsidR="00632FC2">
        <w:rPr>
          <w:rFonts w:ascii="Arial" w:hAnsi="Arial" w:cs="Arial"/>
          <w:b/>
          <w:bCs/>
          <w:iCs/>
          <w:sz w:val="20"/>
          <w:szCs w:val="20"/>
        </w:rPr>
        <w:t xml:space="preserve"> </w:t>
      </w:r>
      <w:r w:rsidR="00977850">
        <w:rPr>
          <w:rFonts w:ascii="Arial" w:hAnsi="Arial" w:cs="Arial"/>
          <w:b/>
          <w:bCs/>
          <w:iCs/>
          <w:sz w:val="20"/>
          <w:szCs w:val="20"/>
        </w:rPr>
        <w:t>saw a return of 56.4%</w:t>
      </w:r>
      <w:r w:rsidR="00FD22B2">
        <w:rPr>
          <w:rFonts w:ascii="Arial" w:hAnsi="Arial" w:cs="Arial"/>
          <w:b/>
          <w:bCs/>
          <w:iCs/>
          <w:sz w:val="20"/>
          <w:szCs w:val="20"/>
        </w:rPr>
        <w:t>, ranking it in the top 5 occurrences since 1925</w:t>
      </w:r>
      <w:r w:rsidR="00AE3FA2">
        <w:rPr>
          <w:rFonts w:ascii="Arial" w:hAnsi="Arial" w:cs="Arial"/>
          <w:b/>
          <w:bCs/>
          <w:iCs/>
          <w:sz w:val="20"/>
          <w:szCs w:val="20"/>
        </w:rPr>
        <w:t>.</w:t>
      </w:r>
      <w:r w:rsidR="0086319B">
        <w:rPr>
          <w:rStyle w:val="EndnoteReference"/>
          <w:rFonts w:ascii="Arial" w:hAnsi="Arial" w:cs="Arial"/>
          <w:b/>
          <w:bCs/>
          <w:iCs/>
          <w:sz w:val="20"/>
          <w:szCs w:val="20"/>
        </w:rPr>
        <w:endnoteReference w:id="1"/>
      </w:r>
      <w:r w:rsidR="00AE3FA2">
        <w:rPr>
          <w:rFonts w:ascii="Arial" w:hAnsi="Arial" w:cs="Arial"/>
          <w:iCs/>
          <w:sz w:val="20"/>
          <w:szCs w:val="20"/>
        </w:rPr>
        <w:t xml:space="preserve"> </w:t>
      </w:r>
      <w:r w:rsidR="00152CB7">
        <w:rPr>
          <w:rFonts w:ascii="Arial" w:hAnsi="Arial" w:cs="Arial"/>
          <w:iCs/>
          <w:sz w:val="20"/>
          <w:szCs w:val="20"/>
        </w:rPr>
        <w:t>Coming back from an oversold position</w:t>
      </w:r>
      <w:r w:rsidR="00032AC6">
        <w:rPr>
          <w:rFonts w:ascii="Arial" w:hAnsi="Arial" w:cs="Arial"/>
          <w:iCs/>
          <w:sz w:val="20"/>
          <w:szCs w:val="20"/>
        </w:rPr>
        <w:t xml:space="preserve"> </w:t>
      </w:r>
      <w:r w:rsidR="00CF7C1E">
        <w:rPr>
          <w:rFonts w:ascii="Arial" w:hAnsi="Arial" w:cs="Arial"/>
          <w:iCs/>
          <w:sz w:val="20"/>
          <w:szCs w:val="20"/>
        </w:rPr>
        <w:t xml:space="preserve">the market was supported by extensive support from the Fed </w:t>
      </w:r>
      <w:r w:rsidR="00C71D62">
        <w:rPr>
          <w:rFonts w:ascii="Arial" w:hAnsi="Arial" w:cs="Arial"/>
          <w:iCs/>
          <w:sz w:val="20"/>
          <w:szCs w:val="20"/>
        </w:rPr>
        <w:t xml:space="preserve">and fiscal stimulus along with </w:t>
      </w:r>
      <w:r w:rsidR="00032AC6">
        <w:rPr>
          <w:rFonts w:ascii="Arial" w:hAnsi="Arial" w:cs="Arial"/>
          <w:iCs/>
          <w:sz w:val="20"/>
          <w:szCs w:val="20"/>
        </w:rPr>
        <w:t>the economy reopen</w:t>
      </w:r>
      <w:r w:rsidR="00C71D62">
        <w:rPr>
          <w:rFonts w:ascii="Arial" w:hAnsi="Arial" w:cs="Arial"/>
          <w:iCs/>
          <w:sz w:val="20"/>
          <w:szCs w:val="20"/>
        </w:rPr>
        <w:t>ing</w:t>
      </w:r>
      <w:r w:rsidR="004464DA">
        <w:rPr>
          <w:rFonts w:ascii="Arial" w:hAnsi="Arial" w:cs="Arial"/>
          <w:iCs/>
          <w:sz w:val="20"/>
          <w:szCs w:val="20"/>
        </w:rPr>
        <w:t xml:space="preserve"> with vaccine development.  </w:t>
      </w:r>
    </w:p>
    <w:p w14:paraId="5663E07D" w14:textId="7FF6FCCF" w:rsidR="00934AC9" w:rsidRPr="00ED5986" w:rsidRDefault="003F2CFB" w:rsidP="00934AC9">
      <w:pPr>
        <w:pStyle w:val="ListParagraph"/>
        <w:numPr>
          <w:ilvl w:val="0"/>
          <w:numId w:val="3"/>
        </w:numPr>
        <w:contextualSpacing w:val="0"/>
        <w:rPr>
          <w:rFonts w:ascii="Arial" w:hAnsi="Arial" w:cs="Arial"/>
          <w:sz w:val="20"/>
          <w:szCs w:val="20"/>
        </w:rPr>
      </w:pPr>
      <w:r>
        <w:rPr>
          <w:rFonts w:ascii="Arial" w:hAnsi="Arial" w:cs="Arial"/>
          <w:b/>
          <w:bCs/>
          <w:iCs/>
          <w:sz w:val="20"/>
          <w:szCs w:val="20"/>
        </w:rPr>
        <w:t>All sectors</w:t>
      </w:r>
      <w:r w:rsidR="00F635B2">
        <w:rPr>
          <w:rFonts w:ascii="Arial" w:hAnsi="Arial" w:cs="Arial"/>
          <w:b/>
          <w:bCs/>
          <w:iCs/>
          <w:sz w:val="20"/>
          <w:szCs w:val="20"/>
        </w:rPr>
        <w:t xml:space="preserve"> remained in </w:t>
      </w:r>
      <w:r>
        <w:rPr>
          <w:rFonts w:ascii="Arial" w:hAnsi="Arial" w:cs="Arial"/>
          <w:b/>
          <w:bCs/>
          <w:iCs/>
          <w:sz w:val="20"/>
          <w:szCs w:val="20"/>
        </w:rPr>
        <w:t>positive</w:t>
      </w:r>
      <w:r w:rsidR="00584389">
        <w:rPr>
          <w:rFonts w:ascii="Arial" w:hAnsi="Arial" w:cs="Arial"/>
          <w:b/>
          <w:bCs/>
          <w:iCs/>
          <w:sz w:val="20"/>
          <w:szCs w:val="20"/>
        </w:rPr>
        <w:t xml:space="preserve"> territory for the quarter with </w:t>
      </w:r>
      <w:r w:rsidR="0050199E">
        <w:rPr>
          <w:rFonts w:ascii="Arial" w:hAnsi="Arial" w:cs="Arial"/>
          <w:b/>
          <w:bCs/>
          <w:iCs/>
          <w:sz w:val="20"/>
          <w:szCs w:val="20"/>
        </w:rPr>
        <w:t xml:space="preserve">results ranging from 30.9% for energy down to 1.2% for consumer </w:t>
      </w:r>
      <w:r w:rsidR="00A63433">
        <w:rPr>
          <w:rFonts w:ascii="Arial" w:hAnsi="Arial" w:cs="Arial"/>
          <w:b/>
          <w:bCs/>
          <w:iCs/>
          <w:sz w:val="20"/>
          <w:szCs w:val="20"/>
        </w:rPr>
        <w:t>staples</w:t>
      </w:r>
      <w:r w:rsidR="008E55AC">
        <w:rPr>
          <w:rFonts w:ascii="Arial" w:hAnsi="Arial" w:cs="Arial"/>
          <w:b/>
          <w:bCs/>
          <w:iCs/>
          <w:sz w:val="20"/>
          <w:szCs w:val="20"/>
        </w:rPr>
        <w:t>.</w:t>
      </w:r>
      <w:r w:rsidR="0086319B">
        <w:rPr>
          <w:rStyle w:val="EndnoteReference"/>
          <w:rFonts w:ascii="Arial" w:hAnsi="Arial" w:cs="Arial"/>
          <w:b/>
          <w:bCs/>
          <w:iCs/>
          <w:sz w:val="20"/>
          <w:szCs w:val="20"/>
        </w:rPr>
        <w:endnoteReference w:id="2"/>
      </w:r>
      <w:r w:rsidR="008E55AC">
        <w:rPr>
          <w:rFonts w:ascii="Arial" w:hAnsi="Arial" w:cs="Arial"/>
          <w:b/>
          <w:bCs/>
          <w:iCs/>
          <w:sz w:val="20"/>
          <w:szCs w:val="20"/>
        </w:rPr>
        <w:t xml:space="preserve"> </w:t>
      </w:r>
      <w:r w:rsidR="008E55AC">
        <w:rPr>
          <w:rFonts w:ascii="Arial" w:hAnsi="Arial" w:cs="Arial"/>
          <w:iCs/>
          <w:sz w:val="20"/>
          <w:szCs w:val="20"/>
        </w:rPr>
        <w:t xml:space="preserve">Energy saw </w:t>
      </w:r>
      <w:r w:rsidR="00086CF0">
        <w:rPr>
          <w:rFonts w:ascii="Arial" w:hAnsi="Arial" w:cs="Arial"/>
          <w:iCs/>
          <w:sz w:val="20"/>
          <w:szCs w:val="20"/>
        </w:rPr>
        <w:t xml:space="preserve">broad based strength leading to </w:t>
      </w:r>
      <w:r w:rsidR="008E55AC">
        <w:rPr>
          <w:rFonts w:ascii="Arial" w:hAnsi="Arial" w:cs="Arial"/>
          <w:iCs/>
          <w:sz w:val="20"/>
          <w:szCs w:val="20"/>
        </w:rPr>
        <w:t>its second</w:t>
      </w:r>
      <w:r w:rsidR="0086319B">
        <w:rPr>
          <w:rFonts w:ascii="Arial" w:hAnsi="Arial" w:cs="Arial"/>
          <w:iCs/>
          <w:sz w:val="20"/>
          <w:szCs w:val="20"/>
        </w:rPr>
        <w:t>-</w:t>
      </w:r>
      <w:r w:rsidR="008E55AC">
        <w:rPr>
          <w:rFonts w:ascii="Arial" w:hAnsi="Arial" w:cs="Arial"/>
          <w:iCs/>
          <w:sz w:val="20"/>
          <w:szCs w:val="20"/>
        </w:rPr>
        <w:t>best quarter since 1972</w:t>
      </w:r>
      <w:r w:rsidR="00C67F5F">
        <w:rPr>
          <w:rFonts w:ascii="Arial" w:hAnsi="Arial" w:cs="Arial"/>
          <w:iCs/>
          <w:sz w:val="20"/>
          <w:szCs w:val="20"/>
        </w:rPr>
        <w:t>,</w:t>
      </w:r>
      <w:r w:rsidR="00E844C6">
        <w:rPr>
          <w:rFonts w:ascii="Arial" w:hAnsi="Arial" w:cs="Arial"/>
          <w:iCs/>
          <w:sz w:val="20"/>
          <w:szCs w:val="20"/>
        </w:rPr>
        <w:t xml:space="preserve"> while </w:t>
      </w:r>
      <w:r w:rsidR="00AB49F3">
        <w:rPr>
          <w:rFonts w:ascii="Arial" w:hAnsi="Arial" w:cs="Arial"/>
          <w:iCs/>
          <w:sz w:val="20"/>
          <w:szCs w:val="20"/>
        </w:rPr>
        <w:t>re</w:t>
      </w:r>
      <w:r w:rsidR="00C67F5F">
        <w:rPr>
          <w:rFonts w:ascii="Arial" w:hAnsi="Arial" w:cs="Arial"/>
          <w:iCs/>
          <w:sz w:val="20"/>
          <w:szCs w:val="20"/>
        </w:rPr>
        <w:t>-</w:t>
      </w:r>
      <w:r w:rsidR="00AB49F3">
        <w:rPr>
          <w:rFonts w:ascii="Arial" w:hAnsi="Arial" w:cs="Arial"/>
          <w:iCs/>
          <w:sz w:val="20"/>
          <w:szCs w:val="20"/>
        </w:rPr>
        <w:t>openings across the country led to a shift in sentiment away from the stay at home trade</w:t>
      </w:r>
      <w:r w:rsidR="00451267">
        <w:rPr>
          <w:rFonts w:ascii="Arial" w:hAnsi="Arial" w:cs="Arial"/>
          <w:iCs/>
          <w:sz w:val="20"/>
          <w:szCs w:val="20"/>
        </w:rPr>
        <w:t>. The rising interest rate environment helped lift financials to second spot with a return of 16.0</w:t>
      </w:r>
      <w:r w:rsidR="00693B66">
        <w:rPr>
          <w:rFonts w:ascii="Arial" w:hAnsi="Arial" w:cs="Arial"/>
          <w:iCs/>
          <w:sz w:val="20"/>
          <w:szCs w:val="20"/>
        </w:rPr>
        <w:t xml:space="preserve">%.  </w:t>
      </w:r>
      <w:r w:rsidR="00FE164E">
        <w:rPr>
          <w:rFonts w:ascii="Arial" w:hAnsi="Arial" w:cs="Arial"/>
          <w:iCs/>
          <w:sz w:val="20"/>
          <w:szCs w:val="20"/>
        </w:rPr>
        <w:t>Negative returns from</w:t>
      </w:r>
      <w:r w:rsidR="00693B66">
        <w:rPr>
          <w:rFonts w:ascii="Arial" w:hAnsi="Arial" w:cs="Arial"/>
          <w:iCs/>
          <w:sz w:val="20"/>
          <w:szCs w:val="20"/>
        </w:rPr>
        <w:t xml:space="preserve"> some of the 2020 markets leaders, like Amazon</w:t>
      </w:r>
      <w:r w:rsidR="00FE164E">
        <w:rPr>
          <w:rFonts w:ascii="Arial" w:hAnsi="Arial" w:cs="Arial"/>
          <w:iCs/>
          <w:sz w:val="20"/>
          <w:szCs w:val="20"/>
        </w:rPr>
        <w:t xml:space="preserve">, Apple, </w:t>
      </w:r>
      <w:r w:rsidR="00E844C6">
        <w:rPr>
          <w:rFonts w:ascii="Arial" w:hAnsi="Arial" w:cs="Arial"/>
          <w:iCs/>
          <w:sz w:val="20"/>
          <w:szCs w:val="20"/>
        </w:rPr>
        <w:t xml:space="preserve">and </w:t>
      </w:r>
      <w:r w:rsidR="00FE164E">
        <w:rPr>
          <w:rFonts w:ascii="Arial" w:hAnsi="Arial" w:cs="Arial"/>
          <w:iCs/>
          <w:sz w:val="20"/>
          <w:szCs w:val="20"/>
        </w:rPr>
        <w:t>Netfl</w:t>
      </w:r>
      <w:r w:rsidR="00E844C6">
        <w:rPr>
          <w:rFonts w:ascii="Arial" w:hAnsi="Arial" w:cs="Arial"/>
          <w:iCs/>
          <w:sz w:val="20"/>
          <w:szCs w:val="20"/>
        </w:rPr>
        <w:t>ix drove to weaker returns for technology (</w:t>
      </w:r>
      <w:r w:rsidR="00EA7AEB">
        <w:rPr>
          <w:rFonts w:ascii="Arial" w:hAnsi="Arial" w:cs="Arial"/>
          <w:iCs/>
          <w:sz w:val="20"/>
          <w:szCs w:val="20"/>
        </w:rPr>
        <w:t>2.0</w:t>
      </w:r>
      <w:r w:rsidR="00E844C6">
        <w:rPr>
          <w:rFonts w:ascii="Arial" w:hAnsi="Arial" w:cs="Arial"/>
          <w:iCs/>
          <w:sz w:val="20"/>
          <w:szCs w:val="20"/>
        </w:rPr>
        <w:t>%)</w:t>
      </w:r>
      <w:r w:rsidR="005E7352">
        <w:rPr>
          <w:rFonts w:ascii="Arial" w:hAnsi="Arial" w:cs="Arial"/>
          <w:iCs/>
          <w:sz w:val="20"/>
          <w:szCs w:val="20"/>
        </w:rPr>
        <w:t>.</w:t>
      </w:r>
    </w:p>
    <w:p w14:paraId="50A7F998" w14:textId="41B91DB6" w:rsidR="00934AC9" w:rsidRPr="005371DC" w:rsidRDefault="00C67F5F" w:rsidP="00934AC9">
      <w:pPr>
        <w:pStyle w:val="ListParagraph"/>
        <w:numPr>
          <w:ilvl w:val="0"/>
          <w:numId w:val="3"/>
        </w:numPr>
        <w:contextualSpacing w:val="0"/>
        <w:rPr>
          <w:rFonts w:ascii="Arial" w:hAnsi="Arial" w:cs="Arial"/>
          <w:sz w:val="20"/>
          <w:szCs w:val="20"/>
        </w:rPr>
      </w:pPr>
      <w:r>
        <w:rPr>
          <w:rFonts w:ascii="Arial" w:hAnsi="Arial" w:cs="Arial"/>
          <w:b/>
          <w:bCs/>
          <w:iCs/>
          <w:sz w:val="20"/>
          <w:szCs w:val="20"/>
        </w:rPr>
        <w:t xml:space="preserve">Value and small cap </w:t>
      </w:r>
      <w:r w:rsidR="00E22F8C">
        <w:rPr>
          <w:rFonts w:ascii="Arial" w:hAnsi="Arial" w:cs="Arial"/>
          <w:b/>
          <w:bCs/>
          <w:iCs/>
          <w:sz w:val="20"/>
          <w:szCs w:val="20"/>
        </w:rPr>
        <w:t xml:space="preserve">saw another quarter of strong </w:t>
      </w:r>
      <w:r w:rsidR="00B5675C">
        <w:rPr>
          <w:rFonts w:ascii="Arial" w:hAnsi="Arial" w:cs="Arial"/>
          <w:b/>
          <w:bCs/>
          <w:iCs/>
          <w:sz w:val="20"/>
          <w:szCs w:val="20"/>
        </w:rPr>
        <w:t>double digit returns</w:t>
      </w:r>
      <w:r w:rsidR="005371DC">
        <w:rPr>
          <w:rFonts w:ascii="Arial" w:hAnsi="Arial" w:cs="Arial"/>
          <w:b/>
          <w:bCs/>
          <w:iCs/>
          <w:sz w:val="20"/>
          <w:szCs w:val="20"/>
        </w:rPr>
        <w:t xml:space="preserve">.  </w:t>
      </w:r>
      <w:r w:rsidR="005371DC" w:rsidRPr="005371DC">
        <w:rPr>
          <w:rFonts w:ascii="Arial" w:hAnsi="Arial" w:cs="Arial"/>
          <w:iCs/>
          <w:sz w:val="20"/>
          <w:szCs w:val="20"/>
        </w:rPr>
        <w:t>Value outperform</w:t>
      </w:r>
      <w:r w:rsidR="005371DC">
        <w:rPr>
          <w:rFonts w:ascii="Arial" w:hAnsi="Arial" w:cs="Arial"/>
          <w:iCs/>
          <w:sz w:val="20"/>
          <w:szCs w:val="20"/>
        </w:rPr>
        <w:t>ed</w:t>
      </w:r>
      <w:r w:rsidR="005371DC" w:rsidRPr="005371DC">
        <w:rPr>
          <w:rFonts w:ascii="Arial" w:hAnsi="Arial" w:cs="Arial"/>
          <w:iCs/>
          <w:sz w:val="20"/>
          <w:szCs w:val="20"/>
        </w:rPr>
        <w:t xml:space="preserve"> growth </w:t>
      </w:r>
      <w:r w:rsidR="005371DC">
        <w:rPr>
          <w:rFonts w:ascii="Arial" w:hAnsi="Arial" w:cs="Arial"/>
          <w:iCs/>
          <w:sz w:val="20"/>
          <w:szCs w:val="20"/>
        </w:rPr>
        <w:t xml:space="preserve">by over 800 basis points across </w:t>
      </w:r>
      <w:r w:rsidR="004839D8">
        <w:rPr>
          <w:rFonts w:ascii="Arial" w:hAnsi="Arial" w:cs="Arial"/>
          <w:iCs/>
          <w:sz w:val="20"/>
          <w:szCs w:val="20"/>
        </w:rPr>
        <w:t xml:space="preserve">large, mid and small caps while small caps outperformed large caps by over 1200 basis points. </w:t>
      </w:r>
      <w:r w:rsidR="003F7A98">
        <w:rPr>
          <w:rFonts w:ascii="Arial" w:hAnsi="Arial" w:cs="Arial"/>
          <w:iCs/>
          <w:sz w:val="20"/>
          <w:szCs w:val="20"/>
        </w:rPr>
        <w:t>Over the last six months small cap ou</w:t>
      </w:r>
      <w:r w:rsidR="0007231D">
        <w:rPr>
          <w:rFonts w:ascii="Arial" w:hAnsi="Arial" w:cs="Arial"/>
          <w:iCs/>
          <w:sz w:val="20"/>
          <w:szCs w:val="20"/>
        </w:rPr>
        <w:t xml:space="preserve">tperformed large caps </w:t>
      </w:r>
      <w:r w:rsidR="00C17D03">
        <w:rPr>
          <w:rFonts w:ascii="Arial" w:hAnsi="Arial" w:cs="Arial"/>
          <w:iCs/>
          <w:sz w:val="20"/>
          <w:szCs w:val="20"/>
        </w:rPr>
        <w:t xml:space="preserve">by 36.2% points, which is the most on record since 1994. </w:t>
      </w:r>
      <w:r w:rsidR="0086319B">
        <w:rPr>
          <w:rStyle w:val="EndnoteReference"/>
          <w:rFonts w:ascii="Arial" w:hAnsi="Arial" w:cs="Arial"/>
          <w:iCs/>
          <w:sz w:val="20"/>
          <w:szCs w:val="20"/>
        </w:rPr>
        <w:endnoteReference w:id="3"/>
      </w:r>
    </w:p>
    <w:p w14:paraId="75C43003" w14:textId="6AB86B58" w:rsidR="00907CE8" w:rsidRPr="00C66930" w:rsidRDefault="002A5768" w:rsidP="00934AC9">
      <w:pPr>
        <w:pStyle w:val="ListParagraph"/>
        <w:numPr>
          <w:ilvl w:val="0"/>
          <w:numId w:val="3"/>
        </w:numPr>
        <w:contextualSpacing w:val="0"/>
        <w:rPr>
          <w:rFonts w:ascii="Arial" w:hAnsi="Arial" w:cs="Arial"/>
          <w:sz w:val="20"/>
          <w:szCs w:val="20"/>
        </w:rPr>
      </w:pPr>
      <w:r>
        <w:rPr>
          <w:rFonts w:ascii="Arial" w:hAnsi="Arial" w:cs="Arial"/>
          <w:b/>
          <w:bCs/>
          <w:iCs/>
          <w:sz w:val="20"/>
          <w:szCs w:val="20"/>
        </w:rPr>
        <w:lastRenderedPageBreak/>
        <w:t>Currency shifts impacted international returns</w:t>
      </w:r>
      <w:r w:rsidR="00753722">
        <w:rPr>
          <w:rFonts w:ascii="Arial" w:hAnsi="Arial" w:cs="Arial"/>
          <w:b/>
          <w:bCs/>
          <w:iCs/>
          <w:sz w:val="20"/>
          <w:szCs w:val="20"/>
        </w:rPr>
        <w:t xml:space="preserve"> as many </w:t>
      </w:r>
      <w:r w:rsidR="001235D7">
        <w:rPr>
          <w:rFonts w:ascii="Arial" w:hAnsi="Arial" w:cs="Arial"/>
          <w:b/>
          <w:bCs/>
          <w:iCs/>
          <w:sz w:val="20"/>
          <w:szCs w:val="20"/>
        </w:rPr>
        <w:t xml:space="preserve">developed </w:t>
      </w:r>
      <w:r w:rsidR="00753722">
        <w:rPr>
          <w:rFonts w:ascii="Arial" w:hAnsi="Arial" w:cs="Arial"/>
          <w:b/>
          <w:bCs/>
          <w:iCs/>
          <w:sz w:val="20"/>
          <w:szCs w:val="20"/>
        </w:rPr>
        <w:t>count</w:t>
      </w:r>
      <w:r w:rsidR="001235D7">
        <w:rPr>
          <w:rFonts w:ascii="Arial" w:hAnsi="Arial" w:cs="Arial"/>
          <w:b/>
          <w:bCs/>
          <w:iCs/>
          <w:sz w:val="20"/>
          <w:szCs w:val="20"/>
        </w:rPr>
        <w:t>ries</w:t>
      </w:r>
      <w:r w:rsidR="00753722">
        <w:rPr>
          <w:rFonts w:ascii="Arial" w:hAnsi="Arial" w:cs="Arial"/>
          <w:b/>
          <w:bCs/>
          <w:iCs/>
          <w:sz w:val="20"/>
          <w:szCs w:val="20"/>
        </w:rPr>
        <w:t xml:space="preserve"> outperformed the US in local currency terms</w:t>
      </w:r>
      <w:r w:rsidR="00CD5413">
        <w:rPr>
          <w:rFonts w:ascii="Arial" w:hAnsi="Arial" w:cs="Arial"/>
          <w:iCs/>
          <w:sz w:val="20"/>
          <w:szCs w:val="20"/>
        </w:rPr>
        <w:t>.</w:t>
      </w:r>
      <w:r w:rsidR="00EA69BC">
        <w:rPr>
          <w:rFonts w:ascii="Arial" w:hAnsi="Arial" w:cs="Arial"/>
          <w:iCs/>
          <w:sz w:val="20"/>
          <w:szCs w:val="20"/>
        </w:rPr>
        <w:t xml:space="preserve"> </w:t>
      </w:r>
      <w:r w:rsidR="001235D7">
        <w:rPr>
          <w:rFonts w:ascii="Arial" w:hAnsi="Arial" w:cs="Arial"/>
          <w:iCs/>
          <w:sz w:val="20"/>
          <w:szCs w:val="20"/>
        </w:rPr>
        <w:t>Emerging markets saw greatest</w:t>
      </w:r>
      <w:r w:rsidR="00DE10C6">
        <w:rPr>
          <w:rFonts w:ascii="Arial" w:hAnsi="Arial" w:cs="Arial"/>
          <w:iCs/>
          <w:sz w:val="20"/>
          <w:szCs w:val="20"/>
        </w:rPr>
        <w:t xml:space="preserve"> weakest with Latin America returning -5.3%</w:t>
      </w:r>
      <w:r w:rsidR="001D6282">
        <w:rPr>
          <w:rFonts w:ascii="Arial" w:hAnsi="Arial" w:cs="Arial"/>
          <w:iCs/>
          <w:sz w:val="20"/>
          <w:szCs w:val="20"/>
        </w:rPr>
        <w:t xml:space="preserve"> while five of the nine counties in Emerging Asia experienced negative returns, including China which returned -0.4%</w:t>
      </w:r>
      <w:r w:rsidR="0086319B">
        <w:rPr>
          <w:rFonts w:ascii="Arial" w:hAnsi="Arial" w:cs="Arial"/>
          <w:iCs/>
          <w:sz w:val="20"/>
          <w:szCs w:val="20"/>
        </w:rPr>
        <w:t>.</w:t>
      </w:r>
      <w:r w:rsidR="0086319B">
        <w:rPr>
          <w:rStyle w:val="EndnoteReference"/>
          <w:rFonts w:ascii="Arial" w:hAnsi="Arial" w:cs="Arial"/>
          <w:iCs/>
          <w:sz w:val="20"/>
          <w:szCs w:val="20"/>
        </w:rPr>
        <w:endnoteReference w:id="4"/>
      </w:r>
    </w:p>
    <w:p w14:paraId="571F226B" w14:textId="7587D0E5" w:rsidR="00934AC9" w:rsidRPr="00F13E1C" w:rsidRDefault="00156E9F" w:rsidP="00934AC9">
      <w:pPr>
        <w:pStyle w:val="ListParagraph"/>
        <w:numPr>
          <w:ilvl w:val="0"/>
          <w:numId w:val="3"/>
        </w:numPr>
        <w:contextualSpacing w:val="0"/>
        <w:rPr>
          <w:rFonts w:ascii="Arial" w:hAnsi="Arial" w:cs="Arial"/>
          <w:sz w:val="20"/>
          <w:szCs w:val="20"/>
        </w:rPr>
      </w:pPr>
      <w:r>
        <w:rPr>
          <w:rFonts w:ascii="Arial" w:hAnsi="Arial" w:cs="Arial"/>
          <w:b/>
          <w:bCs/>
          <w:iCs/>
          <w:sz w:val="20"/>
          <w:szCs w:val="20"/>
        </w:rPr>
        <w:t xml:space="preserve">The rise in bond </w:t>
      </w:r>
      <w:r w:rsidR="00A07E2D">
        <w:rPr>
          <w:rFonts w:ascii="Arial" w:hAnsi="Arial" w:cs="Arial"/>
          <w:b/>
          <w:bCs/>
          <w:iCs/>
          <w:sz w:val="20"/>
          <w:szCs w:val="20"/>
        </w:rPr>
        <w:t>yields</w:t>
      </w:r>
      <w:r w:rsidR="00363C9F">
        <w:rPr>
          <w:rFonts w:ascii="Arial" w:hAnsi="Arial" w:cs="Arial"/>
          <w:b/>
          <w:bCs/>
          <w:iCs/>
          <w:sz w:val="20"/>
          <w:szCs w:val="20"/>
        </w:rPr>
        <w:t>, especially in longer durations</w:t>
      </w:r>
      <w:r w:rsidR="00417473">
        <w:rPr>
          <w:rFonts w:ascii="Arial" w:hAnsi="Arial" w:cs="Arial"/>
          <w:b/>
          <w:bCs/>
          <w:iCs/>
          <w:sz w:val="20"/>
          <w:szCs w:val="20"/>
        </w:rPr>
        <w:t>, led to negative returns across most bond sectors.</w:t>
      </w:r>
      <w:r w:rsidR="00417473">
        <w:rPr>
          <w:rFonts w:ascii="Arial" w:hAnsi="Arial" w:cs="Arial"/>
          <w:iCs/>
          <w:sz w:val="20"/>
          <w:szCs w:val="20"/>
        </w:rPr>
        <w:t xml:space="preserve"> The US Aggregate index </w:t>
      </w:r>
      <w:r w:rsidR="00373226">
        <w:rPr>
          <w:rFonts w:ascii="Arial" w:hAnsi="Arial" w:cs="Arial"/>
          <w:iCs/>
          <w:sz w:val="20"/>
          <w:szCs w:val="20"/>
        </w:rPr>
        <w:t xml:space="preserve">returned -3.4% for the quarter led lower by longer maturity Treasuries which fell 13.5% for the quarter. </w:t>
      </w:r>
      <w:r w:rsidR="00DA443A">
        <w:rPr>
          <w:rFonts w:ascii="Arial" w:hAnsi="Arial" w:cs="Arial"/>
          <w:iCs/>
          <w:sz w:val="20"/>
          <w:szCs w:val="20"/>
        </w:rPr>
        <w:t>The first quarter mar</w:t>
      </w:r>
      <w:r w:rsidR="007D74EA">
        <w:rPr>
          <w:rFonts w:ascii="Arial" w:hAnsi="Arial" w:cs="Arial"/>
          <w:iCs/>
          <w:sz w:val="20"/>
          <w:szCs w:val="20"/>
        </w:rPr>
        <w:t xml:space="preserve">ked the </w:t>
      </w:r>
      <w:r w:rsidR="003110DE">
        <w:rPr>
          <w:rFonts w:ascii="Arial" w:hAnsi="Arial" w:cs="Arial"/>
          <w:iCs/>
          <w:sz w:val="20"/>
          <w:szCs w:val="20"/>
        </w:rPr>
        <w:t xml:space="preserve">worst first quarter for </w:t>
      </w:r>
      <w:r w:rsidR="00F62D08">
        <w:rPr>
          <w:rFonts w:ascii="Arial" w:hAnsi="Arial" w:cs="Arial"/>
          <w:iCs/>
          <w:sz w:val="20"/>
          <w:szCs w:val="20"/>
        </w:rPr>
        <w:t>both the US Aggregate and long</w:t>
      </w:r>
      <w:r w:rsidR="00182D23">
        <w:rPr>
          <w:rFonts w:ascii="Arial" w:hAnsi="Arial" w:cs="Arial"/>
          <w:iCs/>
          <w:sz w:val="20"/>
          <w:szCs w:val="20"/>
        </w:rPr>
        <w:t>-</w:t>
      </w:r>
      <w:r w:rsidR="00F62D08">
        <w:rPr>
          <w:rFonts w:ascii="Arial" w:hAnsi="Arial" w:cs="Arial"/>
          <w:iCs/>
          <w:sz w:val="20"/>
          <w:szCs w:val="20"/>
        </w:rPr>
        <w:t>term Treasuries</w:t>
      </w:r>
      <w:r w:rsidR="003110DE">
        <w:rPr>
          <w:rFonts w:ascii="Arial" w:hAnsi="Arial" w:cs="Arial"/>
          <w:iCs/>
          <w:sz w:val="20"/>
          <w:szCs w:val="20"/>
        </w:rPr>
        <w:t xml:space="preserve"> since 1980</w:t>
      </w:r>
      <w:r w:rsidR="00C876D4">
        <w:rPr>
          <w:rFonts w:ascii="Arial" w:hAnsi="Arial" w:cs="Arial"/>
          <w:iCs/>
          <w:sz w:val="20"/>
          <w:szCs w:val="20"/>
        </w:rPr>
        <w:t>.</w:t>
      </w:r>
      <w:r w:rsidR="00417473">
        <w:rPr>
          <w:rFonts w:ascii="Arial" w:hAnsi="Arial" w:cs="Arial"/>
          <w:iCs/>
          <w:sz w:val="20"/>
          <w:szCs w:val="20"/>
        </w:rPr>
        <w:t xml:space="preserve"> </w:t>
      </w:r>
      <w:r w:rsidR="00C62E1A">
        <w:rPr>
          <w:rFonts w:ascii="Arial" w:hAnsi="Arial" w:cs="Arial"/>
          <w:iCs/>
          <w:sz w:val="20"/>
          <w:szCs w:val="20"/>
        </w:rPr>
        <w:t>The bright spot</w:t>
      </w:r>
      <w:r w:rsidR="00182D23">
        <w:rPr>
          <w:rFonts w:ascii="Arial" w:hAnsi="Arial" w:cs="Arial"/>
          <w:iCs/>
          <w:sz w:val="20"/>
          <w:szCs w:val="20"/>
        </w:rPr>
        <w:t>s</w:t>
      </w:r>
      <w:r w:rsidR="00C62E1A">
        <w:rPr>
          <w:rFonts w:ascii="Arial" w:hAnsi="Arial" w:cs="Arial"/>
          <w:iCs/>
          <w:sz w:val="20"/>
          <w:szCs w:val="20"/>
        </w:rPr>
        <w:t xml:space="preserve"> in the fixed income markets was </w:t>
      </w:r>
      <w:r w:rsidR="00182D23">
        <w:rPr>
          <w:rFonts w:ascii="Arial" w:hAnsi="Arial" w:cs="Arial"/>
          <w:iCs/>
          <w:sz w:val="20"/>
          <w:szCs w:val="20"/>
        </w:rPr>
        <w:t xml:space="preserve">leveraged loans and </w:t>
      </w:r>
      <w:r w:rsidR="00C62E1A">
        <w:rPr>
          <w:rFonts w:ascii="Arial" w:hAnsi="Arial" w:cs="Arial"/>
          <w:iCs/>
          <w:sz w:val="20"/>
          <w:szCs w:val="20"/>
        </w:rPr>
        <w:t xml:space="preserve">high yield </w:t>
      </w:r>
      <w:r w:rsidR="00182D23">
        <w:rPr>
          <w:rFonts w:ascii="Arial" w:hAnsi="Arial" w:cs="Arial"/>
          <w:iCs/>
          <w:sz w:val="20"/>
          <w:szCs w:val="20"/>
        </w:rPr>
        <w:t>which returned 1.8% and 0.9% for the quarter respectively.</w:t>
      </w:r>
      <w:r w:rsidR="0086319B">
        <w:rPr>
          <w:rStyle w:val="EndnoteReference"/>
          <w:rFonts w:ascii="Arial" w:hAnsi="Arial" w:cs="Arial"/>
          <w:iCs/>
          <w:sz w:val="20"/>
          <w:szCs w:val="20"/>
        </w:rPr>
        <w:endnoteReference w:id="5"/>
      </w:r>
    </w:p>
    <w:p w14:paraId="607859C8" w14:textId="24F4152D" w:rsidR="00934AC9" w:rsidRPr="00ED5986" w:rsidRDefault="00367858" w:rsidP="00934AC9">
      <w:pPr>
        <w:pStyle w:val="ListParagraph"/>
        <w:numPr>
          <w:ilvl w:val="0"/>
          <w:numId w:val="3"/>
        </w:numPr>
        <w:contextualSpacing w:val="0"/>
        <w:rPr>
          <w:rFonts w:ascii="Arial" w:hAnsi="Arial" w:cs="Arial"/>
          <w:sz w:val="20"/>
          <w:szCs w:val="20"/>
        </w:rPr>
      </w:pPr>
      <w:r>
        <w:rPr>
          <w:rFonts w:ascii="Arial" w:hAnsi="Arial" w:cs="Arial"/>
          <w:b/>
          <w:bCs/>
          <w:iCs/>
          <w:sz w:val="20"/>
          <w:szCs w:val="20"/>
        </w:rPr>
        <w:t>REITs made a comeback in the first quarter</w:t>
      </w:r>
      <w:r w:rsidR="006D25C2">
        <w:rPr>
          <w:rFonts w:ascii="Arial" w:hAnsi="Arial" w:cs="Arial"/>
          <w:b/>
          <w:bCs/>
          <w:iCs/>
          <w:sz w:val="20"/>
          <w:szCs w:val="20"/>
        </w:rPr>
        <w:t xml:space="preserve">, returning </w:t>
      </w:r>
      <w:r w:rsidR="006714C7">
        <w:rPr>
          <w:rFonts w:ascii="Arial" w:hAnsi="Arial" w:cs="Arial"/>
          <w:b/>
          <w:bCs/>
          <w:iCs/>
          <w:sz w:val="20"/>
          <w:szCs w:val="20"/>
        </w:rPr>
        <w:t>8.3%</w:t>
      </w:r>
      <w:r>
        <w:rPr>
          <w:rFonts w:ascii="Arial" w:hAnsi="Arial" w:cs="Arial"/>
          <w:b/>
          <w:bCs/>
          <w:iCs/>
          <w:sz w:val="20"/>
          <w:szCs w:val="20"/>
        </w:rPr>
        <w:t xml:space="preserve"> having trailed the broad markets for 2020</w:t>
      </w:r>
      <w:r w:rsidR="00F16212">
        <w:rPr>
          <w:rFonts w:ascii="Arial" w:hAnsi="Arial" w:cs="Arial"/>
          <w:b/>
          <w:bCs/>
          <w:iCs/>
          <w:sz w:val="20"/>
          <w:szCs w:val="20"/>
        </w:rPr>
        <w:t xml:space="preserve"> and commodities continued to rally</w:t>
      </w:r>
      <w:r w:rsidR="006714C7">
        <w:rPr>
          <w:rFonts w:ascii="Arial" w:hAnsi="Arial" w:cs="Arial"/>
          <w:b/>
          <w:bCs/>
          <w:iCs/>
          <w:sz w:val="20"/>
          <w:szCs w:val="20"/>
        </w:rPr>
        <w:t>, up 6.9%</w:t>
      </w:r>
      <w:r w:rsidR="00B9438E">
        <w:rPr>
          <w:rFonts w:ascii="Arial" w:hAnsi="Arial" w:cs="Arial"/>
          <w:sz w:val="20"/>
          <w:szCs w:val="20"/>
        </w:rPr>
        <w:t>.</w:t>
      </w:r>
      <w:r w:rsidR="003D2327">
        <w:rPr>
          <w:rFonts w:ascii="Arial" w:hAnsi="Arial" w:cs="Arial"/>
          <w:sz w:val="20"/>
          <w:szCs w:val="20"/>
        </w:rPr>
        <w:t xml:space="preserve"> All REIT sectors </w:t>
      </w:r>
      <w:r w:rsidR="005A26B5">
        <w:rPr>
          <w:rFonts w:ascii="Arial" w:hAnsi="Arial" w:cs="Arial"/>
          <w:sz w:val="20"/>
          <w:szCs w:val="20"/>
        </w:rPr>
        <w:t>saw positive returns with m</w:t>
      </w:r>
      <w:r w:rsidR="003D2327">
        <w:rPr>
          <w:rFonts w:ascii="Arial" w:hAnsi="Arial" w:cs="Arial"/>
          <w:sz w:val="20"/>
          <w:szCs w:val="20"/>
        </w:rPr>
        <w:t>alls</w:t>
      </w:r>
      <w:r w:rsidR="005A26B5">
        <w:rPr>
          <w:rFonts w:ascii="Arial" w:hAnsi="Arial" w:cs="Arial"/>
          <w:sz w:val="20"/>
          <w:szCs w:val="20"/>
        </w:rPr>
        <w:t xml:space="preserve"> up </w:t>
      </w:r>
      <w:r w:rsidR="00C60EE6">
        <w:rPr>
          <w:rFonts w:ascii="Arial" w:hAnsi="Arial" w:cs="Arial"/>
          <w:sz w:val="20"/>
          <w:szCs w:val="20"/>
        </w:rPr>
        <w:t xml:space="preserve">over </w:t>
      </w:r>
      <w:r w:rsidR="005A26B5">
        <w:rPr>
          <w:rFonts w:ascii="Arial" w:hAnsi="Arial" w:cs="Arial"/>
          <w:sz w:val="20"/>
          <w:szCs w:val="20"/>
        </w:rPr>
        <w:t>3</w:t>
      </w:r>
      <w:r w:rsidR="00C60EE6">
        <w:rPr>
          <w:rFonts w:ascii="Arial" w:hAnsi="Arial" w:cs="Arial"/>
          <w:sz w:val="20"/>
          <w:szCs w:val="20"/>
        </w:rPr>
        <w:t>0</w:t>
      </w:r>
      <w:r w:rsidR="005A26B5">
        <w:rPr>
          <w:rFonts w:ascii="Arial" w:hAnsi="Arial" w:cs="Arial"/>
          <w:sz w:val="20"/>
          <w:szCs w:val="20"/>
        </w:rPr>
        <w:t>% for the quarter</w:t>
      </w:r>
      <w:r w:rsidR="00B56C04">
        <w:rPr>
          <w:rFonts w:ascii="Arial" w:hAnsi="Arial" w:cs="Arial"/>
          <w:sz w:val="20"/>
          <w:szCs w:val="20"/>
        </w:rPr>
        <w:t>, benefiting from the re</w:t>
      </w:r>
      <w:r w:rsidR="000F263F">
        <w:rPr>
          <w:rFonts w:ascii="Arial" w:hAnsi="Arial" w:cs="Arial"/>
          <w:sz w:val="20"/>
          <w:szCs w:val="20"/>
        </w:rPr>
        <w:t>-</w:t>
      </w:r>
      <w:r w:rsidR="00B56C04">
        <w:rPr>
          <w:rFonts w:ascii="Arial" w:hAnsi="Arial" w:cs="Arial"/>
          <w:sz w:val="20"/>
          <w:szCs w:val="20"/>
        </w:rPr>
        <w:t xml:space="preserve">openings across the country.  </w:t>
      </w:r>
      <w:r w:rsidR="006D25C2">
        <w:rPr>
          <w:rFonts w:ascii="Arial" w:hAnsi="Arial" w:cs="Arial"/>
          <w:sz w:val="20"/>
          <w:szCs w:val="20"/>
        </w:rPr>
        <w:t>The rally in commodities</w:t>
      </w:r>
      <w:r w:rsidR="00B2619E">
        <w:rPr>
          <w:rFonts w:ascii="Arial" w:hAnsi="Arial" w:cs="Arial"/>
          <w:sz w:val="20"/>
          <w:szCs w:val="20"/>
        </w:rPr>
        <w:t xml:space="preserve"> was </w:t>
      </w:r>
      <w:r w:rsidR="00DD1D99">
        <w:rPr>
          <w:rFonts w:ascii="Arial" w:hAnsi="Arial" w:cs="Arial"/>
          <w:sz w:val="20"/>
          <w:szCs w:val="20"/>
        </w:rPr>
        <w:t xml:space="preserve">also relatively broad based with only precious metals being down 9.3%, led by a fall in gold </w:t>
      </w:r>
      <w:r w:rsidR="00363339">
        <w:rPr>
          <w:rFonts w:ascii="Arial" w:hAnsi="Arial" w:cs="Arial"/>
          <w:sz w:val="20"/>
          <w:szCs w:val="20"/>
        </w:rPr>
        <w:t>as investors moved out of the safe haven</w:t>
      </w:r>
      <w:r w:rsidR="000F263F">
        <w:rPr>
          <w:rFonts w:ascii="Arial" w:hAnsi="Arial" w:cs="Arial"/>
          <w:sz w:val="20"/>
          <w:szCs w:val="20"/>
        </w:rPr>
        <w:t xml:space="preserve"> with no yield</w:t>
      </w:r>
      <w:r w:rsidR="00363339">
        <w:rPr>
          <w:rFonts w:ascii="Arial" w:hAnsi="Arial" w:cs="Arial"/>
          <w:sz w:val="20"/>
          <w:szCs w:val="20"/>
        </w:rPr>
        <w:t>.</w:t>
      </w:r>
      <w:r w:rsidR="0086319B">
        <w:rPr>
          <w:rStyle w:val="EndnoteReference"/>
          <w:rFonts w:ascii="Arial" w:hAnsi="Arial" w:cs="Arial"/>
          <w:sz w:val="20"/>
          <w:szCs w:val="20"/>
        </w:rPr>
        <w:endnoteReference w:id="6"/>
      </w:r>
      <w:r w:rsidR="00363339">
        <w:rPr>
          <w:rFonts w:ascii="Arial" w:hAnsi="Arial" w:cs="Arial"/>
          <w:sz w:val="20"/>
          <w:szCs w:val="20"/>
        </w:rPr>
        <w:t xml:space="preserve"> </w:t>
      </w:r>
      <w:r w:rsidR="006D25C2">
        <w:rPr>
          <w:rFonts w:ascii="Arial" w:hAnsi="Arial" w:cs="Arial"/>
          <w:sz w:val="20"/>
          <w:szCs w:val="20"/>
        </w:rPr>
        <w:t xml:space="preserve"> </w:t>
      </w:r>
      <w:r w:rsidR="003D2327">
        <w:rPr>
          <w:rFonts w:ascii="Arial" w:hAnsi="Arial" w:cs="Arial"/>
          <w:sz w:val="20"/>
          <w:szCs w:val="20"/>
        </w:rPr>
        <w:t xml:space="preserve"> </w:t>
      </w:r>
      <w:r w:rsidR="00B9438E">
        <w:rPr>
          <w:rFonts w:ascii="Arial" w:hAnsi="Arial" w:cs="Arial"/>
          <w:sz w:val="20"/>
          <w:szCs w:val="20"/>
        </w:rPr>
        <w:t xml:space="preserve"> </w:t>
      </w:r>
    </w:p>
    <w:p w14:paraId="52A629D1" w14:textId="760DCAEA" w:rsidR="00140F12" w:rsidRDefault="00140F12" w:rsidP="00D17BCA">
      <w:pPr>
        <w:ind w:left="-720" w:right="-720"/>
        <w:rPr>
          <w:rFonts w:ascii="Arial" w:hAnsi="Arial" w:cs="Arial"/>
          <w:color w:val="343433"/>
          <w:sz w:val="21"/>
        </w:rPr>
        <w:sectPr w:rsidR="00140F12" w:rsidSect="00397AF7">
          <w:endnotePr>
            <w:numFmt w:val="decimal"/>
          </w:endnotePr>
          <w:type w:val="continuous"/>
          <w:pgSz w:w="12240" w:h="15840"/>
          <w:pgMar w:top="-1659" w:right="1440" w:bottom="1518" w:left="1440" w:header="720" w:footer="720" w:gutter="0"/>
          <w:cols w:space="720"/>
          <w:titlePg/>
          <w:docGrid w:linePitch="360"/>
        </w:sectPr>
      </w:pPr>
    </w:p>
    <w:p w14:paraId="4B4A08F5" w14:textId="6C65438B" w:rsidR="009F65E5" w:rsidRPr="0040163B" w:rsidRDefault="008F63B8" w:rsidP="00140F12">
      <w:pPr>
        <w:spacing w:after="120"/>
        <w:ind w:left="-720" w:right="-720"/>
        <w:rPr>
          <w:rFonts w:ascii="Arial" w:hAnsi="Arial" w:cs="Arial"/>
          <w:color w:val="343433"/>
          <w:sz w:val="21"/>
        </w:rPr>
      </w:pPr>
      <w:r>
        <w:rPr>
          <w:rFonts w:ascii="Arial" w:hAnsi="Arial" w:cs="Arial"/>
          <w:color w:val="343433"/>
          <w:sz w:val="21"/>
        </w:rPr>
        <w:t>Asset classes are represented by the following indexes:</w:t>
      </w:r>
    </w:p>
    <w:tbl>
      <w:tblPr>
        <w:tblStyle w:val="TableGrid"/>
        <w:tblW w:w="10795" w:type="dxa"/>
        <w:tblInd w:w="-720" w:type="dxa"/>
        <w:tblLook w:val="04A0" w:firstRow="1" w:lastRow="0" w:firstColumn="1" w:lastColumn="0" w:noHBand="0" w:noVBand="1"/>
      </w:tblPr>
      <w:tblGrid>
        <w:gridCol w:w="1615"/>
        <w:gridCol w:w="9180"/>
      </w:tblGrid>
      <w:tr w:rsidR="002226E5" w14:paraId="1C4EF1F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5D03EAD" w14:textId="53B402B1" w:rsidR="002226E5" w:rsidRDefault="002226E5" w:rsidP="002226E5">
            <w:pPr>
              <w:spacing w:after="160"/>
              <w:rPr>
                <w:rFonts w:ascii="Arial" w:hAnsi="Arial" w:cs="Arial"/>
                <w:b/>
                <w:color w:val="343433"/>
                <w:sz w:val="16"/>
                <w:szCs w:val="17"/>
              </w:rPr>
            </w:pPr>
            <w:r>
              <w:rPr>
                <w:rFonts w:ascii="Arial" w:hAnsi="Arial" w:cs="Arial"/>
                <w:b/>
                <w:color w:val="343433"/>
                <w:sz w:val="16"/>
                <w:szCs w:val="17"/>
              </w:rPr>
              <w:t>US Equities</w:t>
            </w:r>
          </w:p>
        </w:tc>
        <w:tc>
          <w:tcPr>
            <w:tcW w:w="9180" w:type="dxa"/>
            <w:tcBorders>
              <w:top w:val="single" w:sz="4" w:space="0" w:color="E7E6E6"/>
              <w:left w:val="single" w:sz="4" w:space="0" w:color="E7E6E6"/>
              <w:bottom w:val="single" w:sz="4" w:space="0" w:color="E7E6E6"/>
              <w:right w:val="single" w:sz="4" w:space="0" w:color="E7E6E6"/>
            </w:tcBorders>
          </w:tcPr>
          <w:p w14:paraId="31015CB9" w14:textId="3BD81EDC"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S&amp;P 500</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n unmanaged index that is generally considered representative of the US equity market, consisting of 500 leading companies in leading industries of the US economy (typically large cap companies) representing approximately 75% of the investable US equity market. </w:t>
            </w:r>
          </w:p>
        </w:tc>
      </w:tr>
      <w:tr w:rsidR="002226E5" w14:paraId="20B2C35A"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A437AA" w14:textId="47CBCA34" w:rsidR="002226E5" w:rsidRDefault="002226E5" w:rsidP="002226E5">
            <w:pPr>
              <w:spacing w:after="160"/>
              <w:rPr>
                <w:rFonts w:ascii="Arial" w:hAnsi="Arial" w:cs="Arial"/>
                <w:b/>
                <w:color w:val="343433"/>
                <w:sz w:val="16"/>
                <w:szCs w:val="17"/>
              </w:rPr>
            </w:pPr>
            <w:r>
              <w:rPr>
                <w:rFonts w:ascii="Arial" w:hAnsi="Arial" w:cs="Arial"/>
                <w:b/>
                <w:color w:val="343433"/>
                <w:sz w:val="16"/>
                <w:szCs w:val="17"/>
              </w:rPr>
              <w:t>International Equities</w:t>
            </w:r>
          </w:p>
        </w:tc>
        <w:tc>
          <w:tcPr>
            <w:tcW w:w="9180" w:type="dxa"/>
            <w:tcBorders>
              <w:top w:val="single" w:sz="4" w:space="0" w:color="E7E6E6"/>
              <w:left w:val="single" w:sz="4" w:space="0" w:color="E7E6E6"/>
              <w:bottom w:val="single" w:sz="4" w:space="0" w:color="E7E6E6"/>
              <w:right w:val="single" w:sz="4" w:space="0" w:color="E7E6E6"/>
            </w:tcBorders>
          </w:tcPr>
          <w:p w14:paraId="05F8466F" w14:textId="701916FD"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MSCI EAFE</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weighted index that is designed to measure the equity market performance of countries considered to represent developed markets, excluding the U.S. and Canada. </w:t>
            </w:r>
          </w:p>
        </w:tc>
      </w:tr>
      <w:tr w:rsidR="002226E5" w14:paraId="0CD0556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4FD21ED" w14:textId="75AA362D" w:rsidR="002226E5" w:rsidRDefault="002226E5" w:rsidP="002226E5">
            <w:pPr>
              <w:spacing w:after="160"/>
              <w:rPr>
                <w:rFonts w:ascii="Arial" w:hAnsi="Arial" w:cs="Arial"/>
                <w:b/>
                <w:color w:val="343433"/>
                <w:sz w:val="16"/>
                <w:szCs w:val="17"/>
              </w:rPr>
            </w:pPr>
            <w:r>
              <w:rPr>
                <w:rFonts w:ascii="Arial" w:hAnsi="Arial" w:cs="Arial"/>
                <w:b/>
                <w:color w:val="343433"/>
                <w:sz w:val="16"/>
                <w:szCs w:val="17"/>
              </w:rPr>
              <w:t>Emerging Markets Equities</w:t>
            </w:r>
          </w:p>
        </w:tc>
        <w:tc>
          <w:tcPr>
            <w:tcW w:w="9180" w:type="dxa"/>
            <w:tcBorders>
              <w:top w:val="single" w:sz="4" w:space="0" w:color="E7E6E6"/>
              <w:left w:val="single" w:sz="4" w:space="0" w:color="E7E6E6"/>
              <w:bottom w:val="single" w:sz="4" w:space="0" w:color="E7E6E6"/>
              <w:right w:val="single" w:sz="4" w:space="0" w:color="E7E6E6"/>
            </w:tcBorders>
          </w:tcPr>
          <w:p w14:paraId="7E0B267C" w14:textId="1DED65EB"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MSCI Emerging Markets</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index that is designed to measure the equity market performance of countries considered to represent emerging markets</w:t>
            </w:r>
            <w:r>
              <w:rPr>
                <w:rFonts w:ascii="Arial" w:hAnsi="Arial" w:cs="Arial"/>
                <w:color w:val="343433"/>
                <w:sz w:val="16"/>
                <w:szCs w:val="17"/>
              </w:rPr>
              <w:t>.</w:t>
            </w:r>
          </w:p>
        </w:tc>
      </w:tr>
      <w:tr w:rsidR="002226E5" w14:paraId="2BF00A1F"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689800" w14:textId="0090FEA4" w:rsidR="002226E5" w:rsidRDefault="002226E5" w:rsidP="002226E5">
            <w:pPr>
              <w:spacing w:after="160"/>
              <w:rPr>
                <w:rFonts w:ascii="Arial" w:hAnsi="Arial" w:cs="Arial"/>
                <w:b/>
                <w:color w:val="343433"/>
                <w:sz w:val="16"/>
                <w:szCs w:val="17"/>
              </w:rPr>
            </w:pPr>
            <w:r>
              <w:rPr>
                <w:rFonts w:ascii="Arial" w:hAnsi="Arial" w:cs="Arial"/>
                <w:b/>
                <w:color w:val="343433"/>
                <w:sz w:val="16"/>
                <w:szCs w:val="17"/>
              </w:rPr>
              <w:t>US Bonds</w:t>
            </w:r>
          </w:p>
        </w:tc>
        <w:tc>
          <w:tcPr>
            <w:tcW w:w="9180" w:type="dxa"/>
            <w:tcBorders>
              <w:top w:val="single" w:sz="4" w:space="0" w:color="E7E6E6"/>
              <w:left w:val="single" w:sz="4" w:space="0" w:color="E7E6E6"/>
              <w:bottom w:val="single" w:sz="4" w:space="0" w:color="E7E6E6"/>
              <w:right w:val="single" w:sz="4" w:space="0" w:color="E7E6E6"/>
            </w:tcBorders>
          </w:tcPr>
          <w:p w14:paraId="5A9BF417" w14:textId="55858C87" w:rsidR="002226E5" w:rsidRPr="0040163B" w:rsidRDefault="002226E5" w:rsidP="002226E5">
            <w:pPr>
              <w:spacing w:after="120"/>
              <w:rPr>
                <w:rFonts w:ascii="Arial" w:hAnsi="Arial" w:cs="Arial"/>
                <w:b/>
                <w:color w:val="343433"/>
                <w:sz w:val="16"/>
                <w:szCs w:val="17"/>
              </w:rPr>
            </w:pPr>
            <w:r>
              <w:rPr>
                <w:rFonts w:ascii="Arial" w:hAnsi="Arial" w:cs="Arial"/>
                <w:b/>
                <w:color w:val="343433"/>
                <w:sz w:val="16"/>
                <w:szCs w:val="17"/>
              </w:rPr>
              <w:t xml:space="preserve">Barclays US Aggregate — </w:t>
            </w:r>
            <w:r>
              <w:rPr>
                <w:rFonts w:ascii="Arial" w:hAnsi="Arial" w:cs="Arial"/>
                <w:color w:val="343433"/>
                <w:sz w:val="16"/>
                <w:szCs w:val="17"/>
              </w:rPr>
              <w:t xml:space="preserve">measures the market of USD-denominated, investment grade, fixed-rate taxable bond market of SEC-registered securities, including bonds from the Treasury, government-related, corporate, mortgage-backed securities (agency fixed-rate and hybrid ARM passthroughs), ABS and CMBS sectors. US Agency Hybrid Adjustable Rate Mortgage (ARM) securities were added to the US Aggregate Index on April 1, 2007. </w:t>
            </w:r>
          </w:p>
        </w:tc>
      </w:tr>
      <w:tr w:rsidR="002226E5" w14:paraId="563AD8A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24671F2" w14:textId="1458C919" w:rsidR="002226E5" w:rsidRDefault="002226E5" w:rsidP="002226E5">
            <w:pPr>
              <w:spacing w:after="160"/>
              <w:rPr>
                <w:rFonts w:ascii="Arial" w:hAnsi="Arial" w:cs="Arial"/>
                <w:b/>
                <w:color w:val="343433"/>
                <w:sz w:val="16"/>
                <w:szCs w:val="17"/>
              </w:rPr>
            </w:pPr>
            <w:r>
              <w:rPr>
                <w:rFonts w:ascii="Arial" w:hAnsi="Arial" w:cs="Arial"/>
                <w:b/>
                <w:color w:val="343433"/>
                <w:sz w:val="16"/>
                <w:szCs w:val="17"/>
              </w:rPr>
              <w:t>International Bonds</w:t>
            </w:r>
          </w:p>
        </w:tc>
        <w:tc>
          <w:tcPr>
            <w:tcW w:w="9180" w:type="dxa"/>
            <w:tcBorders>
              <w:top w:val="single" w:sz="4" w:space="0" w:color="E7E6E6"/>
              <w:left w:val="single" w:sz="4" w:space="0" w:color="E7E6E6"/>
              <w:bottom w:val="single" w:sz="4" w:space="0" w:color="E7E6E6"/>
              <w:right w:val="single" w:sz="4" w:space="0" w:color="E7E6E6"/>
            </w:tcBorders>
          </w:tcPr>
          <w:p w14:paraId="138E540B" w14:textId="608F5EAF" w:rsidR="002226E5" w:rsidRPr="005C0619" w:rsidRDefault="002226E5" w:rsidP="002226E5">
            <w:pPr>
              <w:spacing w:after="120"/>
              <w:rPr>
                <w:rFonts w:ascii="Arial" w:hAnsi="Arial" w:cs="Arial"/>
                <w:color w:val="343433"/>
                <w:sz w:val="16"/>
                <w:szCs w:val="17"/>
              </w:rPr>
            </w:pPr>
            <w:r w:rsidRPr="0040163B">
              <w:rPr>
                <w:rFonts w:ascii="Arial" w:hAnsi="Arial" w:cs="Arial"/>
                <w:b/>
                <w:color w:val="343433"/>
                <w:sz w:val="16"/>
                <w:szCs w:val="17"/>
              </w:rPr>
              <w:t>Bloomberg Barclays Global Aggregate ex USD</w:t>
            </w:r>
            <w:r w:rsidRPr="0040163B">
              <w:rPr>
                <w:rFonts w:ascii="Arial" w:hAnsi="Arial" w:cs="Arial"/>
                <w:color w:val="343433"/>
                <w:sz w:val="16"/>
                <w:szCs w:val="17"/>
              </w:rPr>
              <w:t xml:space="preserve"> - is a flagship hard currency Emerg</w:t>
            </w:r>
            <w:r>
              <w:rPr>
                <w:rFonts w:ascii="Arial" w:hAnsi="Arial" w:cs="Arial"/>
                <w:color w:val="343433"/>
                <w:sz w:val="16"/>
                <w:szCs w:val="17"/>
              </w:rPr>
              <w:t>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2226E5" w14:paraId="660109F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744E8" w14:textId="392555CC" w:rsidR="002226E5" w:rsidRDefault="002226E5" w:rsidP="002226E5">
            <w:pPr>
              <w:spacing w:after="160"/>
              <w:rPr>
                <w:rFonts w:ascii="Arial" w:hAnsi="Arial" w:cs="Arial"/>
                <w:b/>
                <w:color w:val="343433"/>
                <w:sz w:val="16"/>
                <w:szCs w:val="17"/>
              </w:rPr>
            </w:pPr>
            <w:r>
              <w:rPr>
                <w:rFonts w:ascii="Arial" w:hAnsi="Arial" w:cs="Arial"/>
                <w:b/>
                <w:color w:val="343433"/>
                <w:sz w:val="16"/>
                <w:szCs w:val="17"/>
              </w:rPr>
              <w:t>Emerging Markets Bonds</w:t>
            </w:r>
          </w:p>
        </w:tc>
        <w:tc>
          <w:tcPr>
            <w:tcW w:w="9180" w:type="dxa"/>
            <w:tcBorders>
              <w:top w:val="single" w:sz="4" w:space="0" w:color="E7E6E6"/>
              <w:left w:val="single" w:sz="4" w:space="0" w:color="E7E6E6"/>
              <w:bottom w:val="single" w:sz="4" w:space="0" w:color="E7E6E6"/>
              <w:right w:val="single" w:sz="4" w:space="0" w:color="E7E6E6"/>
            </w:tcBorders>
          </w:tcPr>
          <w:p w14:paraId="083B4CE1" w14:textId="68595663" w:rsidR="002226E5" w:rsidRPr="00D17BCA" w:rsidRDefault="002226E5" w:rsidP="002226E5">
            <w:pPr>
              <w:spacing w:after="160"/>
              <w:rPr>
                <w:rFonts w:ascii="Arial" w:hAnsi="Arial" w:cs="Arial"/>
                <w:color w:val="343433"/>
                <w:sz w:val="16"/>
                <w:szCs w:val="17"/>
              </w:rPr>
            </w:pPr>
            <w:r w:rsidRPr="0040163B">
              <w:rPr>
                <w:rFonts w:ascii="Arial" w:hAnsi="Arial" w:cs="Arial"/>
                <w:b/>
                <w:color w:val="343433"/>
                <w:sz w:val="16"/>
                <w:szCs w:val="17"/>
              </w:rPr>
              <w:t>Bloomberg Barclays Emerging Markets USD Aggregate</w:t>
            </w:r>
            <w:r w:rsidRPr="0040163B">
              <w:rPr>
                <w:rFonts w:ascii="Arial" w:hAnsi="Arial" w:cs="Arial"/>
                <w:color w:val="343433"/>
                <w:sz w:val="16"/>
                <w:szCs w:val="17"/>
              </w:rPr>
              <w:t xml:space="preserve"> - is a </w:t>
            </w:r>
            <w:r>
              <w:rPr>
                <w:rFonts w:ascii="Arial" w:hAnsi="Arial" w:cs="Arial"/>
                <w:color w:val="343433"/>
                <w:sz w:val="16"/>
                <w:szCs w:val="17"/>
              </w:rPr>
              <w:t>flagship hard currency Emerging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1C2475" w14:paraId="2231EF2E"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0E8F5DE" w14:textId="5A92C28E"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Small Caps</w:t>
            </w:r>
          </w:p>
        </w:tc>
        <w:tc>
          <w:tcPr>
            <w:tcW w:w="9180" w:type="dxa"/>
            <w:tcBorders>
              <w:top w:val="single" w:sz="4" w:space="0" w:color="E7E6E6"/>
              <w:left w:val="single" w:sz="4" w:space="0" w:color="E7E6E6"/>
              <w:bottom w:val="single" w:sz="4" w:space="0" w:color="E7E6E6"/>
              <w:right w:val="single" w:sz="4" w:space="0" w:color="E7E6E6"/>
            </w:tcBorders>
          </w:tcPr>
          <w:p w14:paraId="142D2004" w14:textId="1361F9C3" w:rsidR="001C2475" w:rsidRPr="002C384C" w:rsidRDefault="001C2475" w:rsidP="001C2475">
            <w:pPr>
              <w:spacing w:after="160"/>
              <w:rPr>
                <w:rFonts w:ascii="Arial" w:hAnsi="Arial" w:cs="Arial"/>
                <w:color w:val="000000"/>
                <w:sz w:val="16"/>
                <w:szCs w:val="16"/>
              </w:rPr>
            </w:pPr>
            <w:r w:rsidRPr="002C384C">
              <w:rPr>
                <w:rFonts w:ascii="Arial" w:hAnsi="Arial" w:cs="Arial"/>
                <w:b/>
                <w:color w:val="343433"/>
                <w:sz w:val="16"/>
                <w:szCs w:val="17"/>
              </w:rPr>
              <w:t xml:space="preserve">S&amp;P 600 </w:t>
            </w:r>
            <w:r w:rsidRPr="002C384C">
              <w:rPr>
                <w:rFonts w:ascii="Arial" w:hAnsi="Arial" w:cs="Arial"/>
                <w:b/>
                <w:color w:val="343433"/>
                <w:sz w:val="16"/>
                <w:szCs w:val="16"/>
              </w:rPr>
              <w:t xml:space="preserve">- </w:t>
            </w:r>
            <w:r w:rsidRPr="002C384C">
              <w:rPr>
                <w:rFonts w:ascii="Arial" w:hAnsi="Arial" w:cs="Arial"/>
                <w:color w:val="000000"/>
                <w:sz w:val="16"/>
                <w:szCs w:val="16"/>
              </w:rPr>
              <w:t>measures the performance of 600 small-sized companies in the U.S. Constituents generally have a market-cap between $400 million and $1.8 billion and meet criteria to ensure they are liquid and financially viable.</w:t>
            </w:r>
            <w:r w:rsidRPr="002C384C">
              <w:rPr>
                <w:rFonts w:ascii="Arial" w:hAnsi="Arial" w:cs="Arial"/>
                <w:color w:val="000000"/>
                <w:sz w:val="20"/>
                <w:szCs w:val="20"/>
              </w:rPr>
              <w:t xml:space="preserve"> </w:t>
            </w:r>
          </w:p>
        </w:tc>
      </w:tr>
      <w:tr w:rsidR="001C2475" w14:paraId="555C3268"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0B17440" w14:textId="15359990" w:rsidR="001C2475" w:rsidRPr="002C384C" w:rsidRDefault="00F93B24" w:rsidP="001C2475">
            <w:pPr>
              <w:spacing w:after="160"/>
              <w:rPr>
                <w:rFonts w:ascii="Arial" w:hAnsi="Arial" w:cs="Arial"/>
                <w:b/>
                <w:color w:val="343433"/>
                <w:sz w:val="16"/>
                <w:szCs w:val="17"/>
              </w:rPr>
            </w:pPr>
            <w:r>
              <w:rPr>
                <w:rFonts w:ascii="Arial" w:hAnsi="Arial" w:cs="Arial"/>
                <w:b/>
                <w:color w:val="343433"/>
                <w:sz w:val="16"/>
                <w:szCs w:val="17"/>
              </w:rPr>
              <w:t>Energy</w:t>
            </w:r>
          </w:p>
        </w:tc>
        <w:tc>
          <w:tcPr>
            <w:tcW w:w="9180" w:type="dxa"/>
            <w:tcBorders>
              <w:top w:val="single" w:sz="4" w:space="0" w:color="E7E6E6"/>
              <w:left w:val="single" w:sz="4" w:space="0" w:color="E7E6E6"/>
              <w:bottom w:val="single" w:sz="4" w:space="0" w:color="E7E6E6"/>
              <w:right w:val="single" w:sz="4" w:space="0" w:color="E7E6E6"/>
            </w:tcBorders>
          </w:tcPr>
          <w:p w14:paraId="62C5B276" w14:textId="27D39B08" w:rsidR="001C2475" w:rsidRPr="002C384C" w:rsidRDefault="00F93B24" w:rsidP="001C2475">
            <w:pPr>
              <w:spacing w:after="160"/>
              <w:rPr>
                <w:rFonts w:ascii="Arial" w:hAnsi="Arial" w:cs="Arial"/>
                <w:color w:val="000000"/>
                <w:sz w:val="16"/>
                <w:szCs w:val="16"/>
              </w:rPr>
            </w:pPr>
            <w:r w:rsidRPr="0086319B">
              <w:rPr>
                <w:rFonts w:ascii="Arial" w:hAnsi="Arial" w:cs="Arial"/>
                <w:b/>
                <w:color w:val="000000"/>
                <w:sz w:val="16"/>
                <w:szCs w:val="16"/>
              </w:rPr>
              <w:t>S&amp;P 500 Energy Sector</w:t>
            </w:r>
            <w:r w:rsidR="0086319B">
              <w:rPr>
                <w:rFonts w:ascii="Arial" w:hAnsi="Arial" w:cs="Arial"/>
                <w:color w:val="000000"/>
                <w:sz w:val="16"/>
                <w:szCs w:val="16"/>
              </w:rPr>
              <w:t xml:space="preserve"> -</w:t>
            </w:r>
            <w:r w:rsidR="0086319B" w:rsidRPr="0086319B">
              <w:rPr>
                <w:rFonts w:ascii="Arial" w:hAnsi="Arial" w:cs="Arial"/>
                <w:color w:val="000000"/>
                <w:sz w:val="16"/>
                <w:szCs w:val="16"/>
              </w:rPr>
              <w:t>measures the performance of companies in an array of diversified financial service firms, insurance, banks, capital markets, consumer finance and thrift companies.</w:t>
            </w:r>
          </w:p>
        </w:tc>
      </w:tr>
      <w:tr w:rsidR="00F93B24" w14:paraId="6026723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F360E3" w14:textId="23DA539C" w:rsidR="00F93B24" w:rsidRPr="002C384C" w:rsidRDefault="00F93B24" w:rsidP="001C2475">
            <w:pPr>
              <w:spacing w:after="160"/>
              <w:rPr>
                <w:rFonts w:ascii="Arial" w:hAnsi="Arial" w:cs="Arial"/>
                <w:b/>
                <w:color w:val="343433"/>
                <w:sz w:val="16"/>
                <w:szCs w:val="17"/>
              </w:rPr>
            </w:pPr>
            <w:r>
              <w:rPr>
                <w:rFonts w:ascii="Arial" w:hAnsi="Arial" w:cs="Arial"/>
                <w:b/>
                <w:color w:val="343433"/>
                <w:sz w:val="16"/>
                <w:szCs w:val="17"/>
              </w:rPr>
              <w:t>Financials</w:t>
            </w:r>
          </w:p>
        </w:tc>
        <w:tc>
          <w:tcPr>
            <w:tcW w:w="9180" w:type="dxa"/>
            <w:tcBorders>
              <w:top w:val="single" w:sz="4" w:space="0" w:color="E7E6E6"/>
              <w:left w:val="single" w:sz="4" w:space="0" w:color="E7E6E6"/>
              <w:bottom w:val="single" w:sz="4" w:space="0" w:color="E7E6E6"/>
              <w:right w:val="single" w:sz="4" w:space="0" w:color="E7E6E6"/>
            </w:tcBorders>
          </w:tcPr>
          <w:p w14:paraId="47D8B862" w14:textId="782C082E" w:rsidR="00F93B24" w:rsidRPr="002C384C" w:rsidRDefault="00F93B24" w:rsidP="001C2475">
            <w:pPr>
              <w:spacing w:after="160"/>
              <w:rPr>
                <w:rFonts w:ascii="Arial" w:hAnsi="Arial" w:cs="Arial"/>
                <w:color w:val="000000"/>
                <w:sz w:val="16"/>
                <w:szCs w:val="16"/>
              </w:rPr>
            </w:pPr>
            <w:r w:rsidRPr="0086319B">
              <w:rPr>
                <w:rFonts w:ascii="Arial" w:hAnsi="Arial" w:cs="Arial"/>
                <w:b/>
                <w:color w:val="000000"/>
                <w:sz w:val="16"/>
                <w:szCs w:val="16"/>
              </w:rPr>
              <w:t>S&amp;P 500 Financials Sector</w:t>
            </w:r>
            <w:r w:rsidR="0086319B" w:rsidRPr="0086319B">
              <w:rPr>
                <w:rFonts w:ascii="Arial" w:hAnsi="Arial" w:cs="Arial"/>
                <w:b/>
                <w:color w:val="000000"/>
                <w:sz w:val="16"/>
                <w:szCs w:val="16"/>
              </w:rPr>
              <w:t xml:space="preserve"> -</w:t>
            </w:r>
            <w:r w:rsidR="0086319B">
              <w:rPr>
                <w:rFonts w:ascii="Arial" w:hAnsi="Arial" w:cs="Arial"/>
                <w:color w:val="000000"/>
                <w:sz w:val="16"/>
                <w:szCs w:val="16"/>
              </w:rPr>
              <w:t xml:space="preserve"> </w:t>
            </w:r>
            <w:r w:rsidR="0086319B" w:rsidRPr="0086319B">
              <w:rPr>
                <w:rFonts w:ascii="Arial" w:hAnsi="Arial" w:cs="Arial"/>
                <w:color w:val="000000"/>
                <w:sz w:val="16"/>
                <w:szCs w:val="16"/>
              </w:rPr>
              <w:t>measures the performance of companies involved in health care equipment and supplies, health care providers and services, biotechnology and pharmaceutical industries.</w:t>
            </w:r>
          </w:p>
        </w:tc>
      </w:tr>
      <w:tr w:rsidR="00F93B24" w14:paraId="55BBB1A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31F6983A" w14:textId="54239382" w:rsidR="00F93B24" w:rsidRPr="002C384C" w:rsidRDefault="00877654" w:rsidP="001C2475">
            <w:pPr>
              <w:spacing w:after="160"/>
              <w:rPr>
                <w:rFonts w:ascii="Arial" w:hAnsi="Arial" w:cs="Arial"/>
                <w:b/>
                <w:color w:val="343433"/>
                <w:sz w:val="16"/>
                <w:szCs w:val="17"/>
              </w:rPr>
            </w:pPr>
            <w:r>
              <w:rPr>
                <w:rFonts w:ascii="Arial" w:hAnsi="Arial" w:cs="Arial"/>
                <w:b/>
                <w:color w:val="343433"/>
                <w:sz w:val="16"/>
                <w:szCs w:val="17"/>
              </w:rPr>
              <w:t>Technology</w:t>
            </w:r>
          </w:p>
        </w:tc>
        <w:tc>
          <w:tcPr>
            <w:tcW w:w="9180" w:type="dxa"/>
            <w:tcBorders>
              <w:top w:val="single" w:sz="4" w:space="0" w:color="E7E6E6"/>
              <w:left w:val="single" w:sz="4" w:space="0" w:color="E7E6E6"/>
              <w:bottom w:val="single" w:sz="4" w:space="0" w:color="E7E6E6"/>
              <w:right w:val="single" w:sz="4" w:space="0" w:color="E7E6E6"/>
            </w:tcBorders>
          </w:tcPr>
          <w:p w14:paraId="5C3AC59B" w14:textId="51AEDD49" w:rsidR="00F93B24" w:rsidRPr="002C384C" w:rsidRDefault="00877654" w:rsidP="001C2475">
            <w:pPr>
              <w:spacing w:after="160"/>
              <w:rPr>
                <w:rFonts w:ascii="Arial" w:hAnsi="Arial" w:cs="Arial"/>
                <w:color w:val="000000"/>
                <w:sz w:val="16"/>
                <w:szCs w:val="16"/>
              </w:rPr>
            </w:pPr>
            <w:r w:rsidRPr="0086319B">
              <w:rPr>
                <w:rFonts w:ascii="Arial" w:hAnsi="Arial" w:cs="Arial"/>
                <w:b/>
                <w:color w:val="000000"/>
                <w:sz w:val="16"/>
                <w:szCs w:val="16"/>
              </w:rPr>
              <w:t>S&amp;P 500 Technology Sector</w:t>
            </w:r>
            <w:r w:rsidR="0086319B">
              <w:rPr>
                <w:rFonts w:ascii="Arial" w:hAnsi="Arial" w:cs="Arial"/>
                <w:color w:val="000000"/>
                <w:sz w:val="16"/>
                <w:szCs w:val="16"/>
              </w:rPr>
              <w:t xml:space="preserve"> - </w:t>
            </w:r>
            <w:r w:rsidR="0086319B" w:rsidRPr="0086319B">
              <w:rPr>
                <w:rFonts w:ascii="Arial" w:hAnsi="Arial" w:cs="Arial"/>
                <w:color w:val="000000"/>
                <w:sz w:val="16"/>
                <w:szCs w:val="16"/>
              </w:rPr>
              <w:t>measures the performance of companies that product, generate, transmit or distribute electricity, water or natural gas, and also includes power producers &amp; energy traders and companies that engage in generation and distribution of electricity using renewable sources.</w:t>
            </w:r>
          </w:p>
        </w:tc>
      </w:tr>
      <w:tr w:rsidR="00877654" w14:paraId="5564DFE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306A72" w14:textId="7EF749E5" w:rsidR="00877654" w:rsidRPr="002C384C" w:rsidRDefault="00877654" w:rsidP="001C2475">
            <w:pPr>
              <w:spacing w:after="160"/>
              <w:rPr>
                <w:rFonts w:ascii="Arial" w:hAnsi="Arial" w:cs="Arial"/>
                <w:b/>
                <w:color w:val="343433"/>
                <w:sz w:val="16"/>
                <w:szCs w:val="17"/>
              </w:rPr>
            </w:pPr>
            <w:r>
              <w:rPr>
                <w:rFonts w:ascii="Arial" w:hAnsi="Arial" w:cs="Arial"/>
                <w:b/>
                <w:color w:val="343433"/>
                <w:sz w:val="16"/>
                <w:szCs w:val="17"/>
              </w:rPr>
              <w:lastRenderedPageBreak/>
              <w:t>Consumer Staples</w:t>
            </w:r>
          </w:p>
        </w:tc>
        <w:tc>
          <w:tcPr>
            <w:tcW w:w="9180" w:type="dxa"/>
            <w:tcBorders>
              <w:top w:val="single" w:sz="4" w:space="0" w:color="E7E6E6"/>
              <w:left w:val="single" w:sz="4" w:space="0" w:color="E7E6E6"/>
              <w:bottom w:val="single" w:sz="4" w:space="0" w:color="E7E6E6"/>
              <w:right w:val="single" w:sz="4" w:space="0" w:color="E7E6E6"/>
            </w:tcBorders>
          </w:tcPr>
          <w:p w14:paraId="6B707C7E" w14:textId="393CECFD" w:rsidR="00877654" w:rsidRPr="002C384C" w:rsidRDefault="00877654" w:rsidP="001C2475">
            <w:pPr>
              <w:spacing w:after="160"/>
              <w:rPr>
                <w:rFonts w:ascii="Arial" w:hAnsi="Arial" w:cs="Arial"/>
                <w:color w:val="000000"/>
                <w:sz w:val="16"/>
                <w:szCs w:val="16"/>
              </w:rPr>
            </w:pPr>
            <w:r>
              <w:rPr>
                <w:rFonts w:ascii="Arial" w:hAnsi="Arial" w:cs="Arial"/>
                <w:color w:val="000000"/>
                <w:sz w:val="16"/>
                <w:szCs w:val="16"/>
              </w:rPr>
              <w:t>S&amp;P 500 Consumer Staples Sector</w:t>
            </w:r>
            <w:r w:rsidR="0086319B">
              <w:rPr>
                <w:rFonts w:ascii="Arial" w:hAnsi="Arial" w:cs="Arial"/>
                <w:color w:val="000000"/>
                <w:sz w:val="16"/>
                <w:szCs w:val="16"/>
              </w:rPr>
              <w:t xml:space="preserve"> - </w:t>
            </w:r>
            <w:r w:rsidR="0086319B" w:rsidRPr="0086319B">
              <w:rPr>
                <w:rFonts w:ascii="Arial" w:hAnsi="Arial" w:cs="Arial"/>
                <w:color w:val="000000"/>
                <w:sz w:val="16"/>
                <w:szCs w:val="16"/>
              </w:rPr>
              <w:t>measures the performance of companies involved in the development and production of crude oil, natural gas and provide drilling and other energy-related services.</w:t>
            </w:r>
          </w:p>
        </w:tc>
      </w:tr>
      <w:tr w:rsidR="001C2475" w14:paraId="31E3E4AB"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DB0D773" w14:textId="2B855185" w:rsidR="001C2475" w:rsidRPr="002C384C" w:rsidRDefault="001C1491" w:rsidP="001C2475">
            <w:pPr>
              <w:spacing w:after="160"/>
              <w:rPr>
                <w:rFonts w:ascii="Arial" w:hAnsi="Arial" w:cs="Arial"/>
                <w:b/>
                <w:color w:val="343433"/>
                <w:sz w:val="16"/>
                <w:szCs w:val="17"/>
              </w:rPr>
            </w:pPr>
            <w:r>
              <w:rPr>
                <w:rFonts w:ascii="Arial" w:hAnsi="Arial" w:cs="Arial"/>
                <w:b/>
                <w:color w:val="343433"/>
                <w:sz w:val="16"/>
                <w:szCs w:val="17"/>
              </w:rPr>
              <w:t>EM Latin Am</w:t>
            </w:r>
            <w:r w:rsidR="00383327">
              <w:rPr>
                <w:rFonts w:ascii="Arial" w:hAnsi="Arial" w:cs="Arial"/>
                <w:b/>
                <w:color w:val="343433"/>
                <w:sz w:val="16"/>
                <w:szCs w:val="17"/>
              </w:rPr>
              <w:t>e</w:t>
            </w:r>
            <w:r>
              <w:rPr>
                <w:rFonts w:ascii="Arial" w:hAnsi="Arial" w:cs="Arial"/>
                <w:b/>
                <w:color w:val="343433"/>
                <w:sz w:val="16"/>
                <w:szCs w:val="17"/>
              </w:rPr>
              <w:t>rica</w:t>
            </w:r>
          </w:p>
        </w:tc>
        <w:tc>
          <w:tcPr>
            <w:tcW w:w="9180" w:type="dxa"/>
            <w:tcBorders>
              <w:top w:val="single" w:sz="4" w:space="0" w:color="E7E6E6"/>
              <w:left w:val="single" w:sz="4" w:space="0" w:color="E7E6E6"/>
              <w:bottom w:val="single" w:sz="4" w:space="0" w:color="E7E6E6"/>
              <w:right w:val="single" w:sz="4" w:space="0" w:color="E7E6E6"/>
            </w:tcBorders>
          </w:tcPr>
          <w:p w14:paraId="2446241B" w14:textId="5CDEC0F1" w:rsidR="001C2475" w:rsidRPr="002C384C" w:rsidRDefault="001C1491" w:rsidP="001C2475">
            <w:pPr>
              <w:spacing w:after="160"/>
              <w:rPr>
                <w:rFonts w:ascii="Arial" w:hAnsi="Arial" w:cs="Arial"/>
                <w:color w:val="000000"/>
                <w:sz w:val="20"/>
                <w:szCs w:val="20"/>
              </w:rPr>
            </w:pPr>
            <w:r w:rsidRPr="00BE5212">
              <w:rPr>
                <w:rFonts w:ascii="Arial" w:hAnsi="Arial" w:cs="Arial"/>
                <w:color w:val="000000"/>
                <w:sz w:val="16"/>
                <w:szCs w:val="16"/>
              </w:rPr>
              <w:t xml:space="preserve">MSCI </w:t>
            </w:r>
            <w:r w:rsidR="00383327" w:rsidRPr="00BE5212">
              <w:rPr>
                <w:rFonts w:ascii="Arial" w:hAnsi="Arial" w:cs="Arial"/>
                <w:color w:val="000000"/>
                <w:sz w:val="16"/>
                <w:szCs w:val="16"/>
              </w:rPr>
              <w:t>Emerging Markets Latin America</w:t>
            </w:r>
            <w:r w:rsidR="0086319B">
              <w:rPr>
                <w:rFonts w:ascii="Arial" w:hAnsi="Arial" w:cs="Arial"/>
                <w:color w:val="000000"/>
                <w:sz w:val="16"/>
                <w:szCs w:val="16"/>
              </w:rPr>
              <w:t xml:space="preserve"> - </w:t>
            </w:r>
            <w:r w:rsidR="0086319B" w:rsidRPr="0086319B">
              <w:rPr>
                <w:rFonts w:ascii="Arial" w:hAnsi="Arial" w:cs="Arial"/>
                <w:color w:val="000000"/>
                <w:sz w:val="16"/>
                <w:szCs w:val="16"/>
              </w:rPr>
              <w:t xml:space="preserve">measures the performance of USD-denominated, investment-grade, fixed-rate taxable bond market of SEC-registered securities.  The index includes Treasury bonds, Government-related Corporate, MBS (agency fixed-rate and hybrid ARM pass-throughs), ABS and CMBS sectors.  </w:t>
            </w:r>
          </w:p>
        </w:tc>
      </w:tr>
      <w:tr w:rsidR="001C2475" w14:paraId="5B05131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C84B31" w14:textId="45BA4173"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China</w:t>
            </w:r>
          </w:p>
        </w:tc>
        <w:tc>
          <w:tcPr>
            <w:tcW w:w="9180" w:type="dxa"/>
            <w:tcBorders>
              <w:top w:val="single" w:sz="4" w:space="0" w:color="E7E6E6"/>
              <w:left w:val="single" w:sz="4" w:space="0" w:color="E7E6E6"/>
              <w:bottom w:val="single" w:sz="4" w:space="0" w:color="E7E6E6"/>
              <w:right w:val="single" w:sz="4" w:space="0" w:color="E7E6E6"/>
            </w:tcBorders>
          </w:tcPr>
          <w:p w14:paraId="34F94CD3" w14:textId="5E048FE2"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MSCI China</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performance of small-cap equities in developed market countries around the world, excluding the U.S. and Canada. The index covers approximately 14% of the market cap in each country.</w:t>
            </w:r>
          </w:p>
        </w:tc>
      </w:tr>
      <w:tr w:rsidR="00F3503A" w14:paraId="22791E5C" w14:textId="77777777" w:rsidTr="002226E5">
        <w:trPr>
          <w:trHeight w:val="70"/>
        </w:trPr>
        <w:tc>
          <w:tcPr>
            <w:tcW w:w="1615" w:type="dxa"/>
            <w:tcBorders>
              <w:top w:val="single" w:sz="4" w:space="0" w:color="E7E6E6"/>
              <w:left w:val="single" w:sz="4" w:space="0" w:color="E7E6E6"/>
              <w:bottom w:val="single" w:sz="4" w:space="0" w:color="E7E6E6"/>
              <w:right w:val="single" w:sz="4" w:space="0" w:color="E7E6E6"/>
            </w:tcBorders>
          </w:tcPr>
          <w:p w14:paraId="6CB959E6" w14:textId="6264514D" w:rsidR="00F3503A" w:rsidRPr="002C384C" w:rsidRDefault="00F3503A" w:rsidP="00F3503A">
            <w:pPr>
              <w:spacing w:after="160"/>
              <w:rPr>
                <w:rFonts w:ascii="Arial" w:hAnsi="Arial" w:cs="Arial"/>
                <w:b/>
                <w:color w:val="343433"/>
                <w:sz w:val="16"/>
                <w:szCs w:val="16"/>
              </w:rPr>
            </w:pPr>
            <w:r>
              <w:rPr>
                <w:rFonts w:ascii="Arial" w:hAnsi="Arial" w:cs="Arial"/>
                <w:b/>
                <w:color w:val="343433"/>
                <w:sz w:val="16"/>
                <w:szCs w:val="16"/>
              </w:rPr>
              <w:t>Long term Treasuries</w:t>
            </w:r>
          </w:p>
        </w:tc>
        <w:tc>
          <w:tcPr>
            <w:tcW w:w="9180" w:type="dxa"/>
            <w:tcBorders>
              <w:top w:val="single" w:sz="4" w:space="0" w:color="E7E6E6"/>
              <w:left w:val="single" w:sz="4" w:space="0" w:color="E7E6E6"/>
              <w:bottom w:val="single" w:sz="4" w:space="0" w:color="E7E6E6"/>
              <w:right w:val="single" w:sz="4" w:space="0" w:color="E7E6E6"/>
            </w:tcBorders>
          </w:tcPr>
          <w:p w14:paraId="1DBACDE2" w14:textId="6952FAE0" w:rsidR="00F3503A" w:rsidRPr="002C384C" w:rsidRDefault="00F3503A" w:rsidP="00F3503A">
            <w:pPr>
              <w:spacing w:after="160"/>
              <w:rPr>
                <w:rFonts w:ascii="Arial" w:hAnsi="Arial" w:cs="Arial"/>
                <w:color w:val="000000"/>
                <w:sz w:val="16"/>
                <w:szCs w:val="16"/>
              </w:rPr>
            </w:pPr>
            <w:r w:rsidRPr="0086319B">
              <w:rPr>
                <w:rFonts w:ascii="Arial" w:hAnsi="Arial" w:cs="Arial"/>
                <w:b/>
                <w:color w:val="000000"/>
                <w:sz w:val="16"/>
                <w:szCs w:val="16"/>
              </w:rPr>
              <w:t>Bloomberg Barclays US Treasury Long</w:t>
            </w:r>
            <w:r w:rsidR="0086319B">
              <w:rPr>
                <w:rFonts w:ascii="Arial" w:hAnsi="Arial" w:cs="Arial"/>
                <w:color w:val="000000"/>
                <w:sz w:val="16"/>
                <w:szCs w:val="16"/>
              </w:rPr>
              <w:t xml:space="preserve"> - </w:t>
            </w:r>
            <w:r w:rsidR="0086319B" w:rsidRPr="0086319B">
              <w:rPr>
                <w:rFonts w:ascii="Arial" w:hAnsi="Arial" w:cs="Arial"/>
                <w:color w:val="000000"/>
                <w:sz w:val="16"/>
                <w:szCs w:val="16"/>
              </w:rPr>
              <w:t>measures the performance of US Treasury and US Agency markets.  The index includes USD-denominated fixed-rate, nominal US Treasuries and US agency debentures (securities issued by the US government-owned or sponsored entities), and explicitly guaranteed by the US government.</w:t>
            </w:r>
          </w:p>
        </w:tc>
      </w:tr>
      <w:tr w:rsidR="00F3503A" w14:paraId="217CC606"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8E7F4C" w14:textId="25EF07FE" w:rsidR="00F3503A" w:rsidRPr="002C384C" w:rsidRDefault="00F3503A" w:rsidP="00F3503A">
            <w:pPr>
              <w:spacing w:after="160"/>
              <w:rPr>
                <w:rFonts w:ascii="Arial" w:hAnsi="Arial" w:cs="Arial"/>
                <w:b/>
                <w:color w:val="343433"/>
                <w:sz w:val="16"/>
                <w:szCs w:val="16"/>
              </w:rPr>
            </w:pPr>
            <w:r>
              <w:rPr>
                <w:rFonts w:ascii="Arial" w:hAnsi="Arial" w:cs="Arial"/>
                <w:b/>
                <w:color w:val="343433"/>
                <w:sz w:val="16"/>
                <w:szCs w:val="17"/>
              </w:rPr>
              <w:t>High-Yield Bonds</w:t>
            </w:r>
          </w:p>
        </w:tc>
        <w:tc>
          <w:tcPr>
            <w:tcW w:w="9180" w:type="dxa"/>
            <w:tcBorders>
              <w:top w:val="single" w:sz="4" w:space="0" w:color="E7E6E6"/>
              <w:left w:val="single" w:sz="4" w:space="0" w:color="E7E6E6"/>
              <w:bottom w:val="single" w:sz="4" w:space="0" w:color="E7E6E6"/>
              <w:right w:val="single" w:sz="4" w:space="0" w:color="E7E6E6"/>
            </w:tcBorders>
          </w:tcPr>
          <w:p w14:paraId="44B65236" w14:textId="034C406C" w:rsidR="00F3503A" w:rsidRPr="002C384C" w:rsidRDefault="00F3503A" w:rsidP="00F3503A">
            <w:pPr>
              <w:spacing w:after="160"/>
              <w:rPr>
                <w:rFonts w:ascii="Arial" w:hAnsi="Arial" w:cs="Arial"/>
                <w:color w:val="000000"/>
                <w:sz w:val="16"/>
                <w:szCs w:val="16"/>
              </w:rPr>
            </w:pPr>
            <w:r w:rsidRPr="0040163B">
              <w:rPr>
                <w:rFonts w:ascii="Arial" w:hAnsi="Arial" w:cs="Arial"/>
                <w:b/>
                <w:color w:val="343433"/>
                <w:sz w:val="16"/>
                <w:szCs w:val="17"/>
              </w:rPr>
              <w:t>Bloomberg Barclays US Corporate High Yield</w:t>
            </w:r>
            <w:r w:rsidRPr="0040163B">
              <w:rPr>
                <w:rFonts w:ascii="Arial" w:hAnsi="Arial" w:cs="Arial"/>
                <w:color w:val="343433"/>
                <w:sz w:val="16"/>
                <w:szCs w:val="17"/>
              </w:rPr>
              <w:t xml:space="preserve"> - measures the market of USD-denominated, non-investment grade, fixed-rate, taxable corporate bonds. Securities are classified as high yield if the middle rating of Moody’s, Fitch, and S&amp;P is Ba1/BB+/BB+ or below. The index excludes emerging market debt.</w:t>
            </w:r>
          </w:p>
        </w:tc>
      </w:tr>
      <w:tr w:rsidR="00F3503A" w14:paraId="4295605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D069BF1" w14:textId="42E56307" w:rsidR="00F3503A" w:rsidRDefault="004C0D0C" w:rsidP="00F3503A">
            <w:pPr>
              <w:spacing w:after="160"/>
              <w:rPr>
                <w:rFonts w:ascii="Arial" w:hAnsi="Arial" w:cs="Arial"/>
                <w:b/>
                <w:color w:val="343433"/>
                <w:sz w:val="16"/>
                <w:szCs w:val="17"/>
              </w:rPr>
            </w:pPr>
            <w:r>
              <w:rPr>
                <w:rFonts w:ascii="Arial" w:hAnsi="Arial" w:cs="Arial"/>
                <w:b/>
                <w:color w:val="343433"/>
                <w:sz w:val="16"/>
                <w:szCs w:val="17"/>
              </w:rPr>
              <w:t>Leve</w:t>
            </w:r>
            <w:r w:rsidR="001C1491">
              <w:rPr>
                <w:rFonts w:ascii="Arial" w:hAnsi="Arial" w:cs="Arial"/>
                <w:b/>
                <w:color w:val="343433"/>
                <w:sz w:val="16"/>
                <w:szCs w:val="17"/>
              </w:rPr>
              <w:t>r</w:t>
            </w:r>
            <w:r>
              <w:rPr>
                <w:rFonts w:ascii="Arial" w:hAnsi="Arial" w:cs="Arial"/>
                <w:b/>
                <w:color w:val="343433"/>
                <w:sz w:val="16"/>
                <w:szCs w:val="17"/>
              </w:rPr>
              <w:t>aged Loans</w:t>
            </w:r>
          </w:p>
        </w:tc>
        <w:tc>
          <w:tcPr>
            <w:tcW w:w="9180" w:type="dxa"/>
            <w:tcBorders>
              <w:top w:val="single" w:sz="4" w:space="0" w:color="E7E6E6"/>
              <w:left w:val="single" w:sz="4" w:space="0" w:color="E7E6E6"/>
              <w:bottom w:val="single" w:sz="4" w:space="0" w:color="E7E6E6"/>
              <w:right w:val="single" w:sz="4" w:space="0" w:color="E7E6E6"/>
            </w:tcBorders>
          </w:tcPr>
          <w:p w14:paraId="1199566D" w14:textId="32EB541F" w:rsidR="00F3503A" w:rsidRPr="00D17BCA" w:rsidRDefault="004C0D0C" w:rsidP="00F3503A">
            <w:pPr>
              <w:spacing w:after="160"/>
              <w:rPr>
                <w:rFonts w:ascii="Arial" w:hAnsi="Arial" w:cs="Arial"/>
                <w:color w:val="343433"/>
                <w:sz w:val="16"/>
                <w:szCs w:val="17"/>
              </w:rPr>
            </w:pPr>
            <w:r>
              <w:rPr>
                <w:rFonts w:ascii="Arial" w:hAnsi="Arial" w:cs="Arial"/>
                <w:b/>
                <w:color w:val="343433"/>
                <w:sz w:val="16"/>
                <w:szCs w:val="17"/>
              </w:rPr>
              <w:t>S&amp;P/LSTA Leveraged Loans</w:t>
            </w:r>
            <w:r w:rsidR="0086319B">
              <w:rPr>
                <w:rFonts w:ascii="Arial" w:hAnsi="Arial" w:cs="Arial"/>
                <w:b/>
                <w:color w:val="343433"/>
                <w:sz w:val="16"/>
                <w:szCs w:val="17"/>
              </w:rPr>
              <w:t xml:space="preserve"> </w:t>
            </w:r>
            <w:r w:rsidR="0086319B" w:rsidRPr="0086319B">
              <w:rPr>
                <w:rFonts w:ascii="Arial" w:hAnsi="Arial" w:cs="Arial"/>
                <w:color w:val="343433"/>
                <w:sz w:val="16"/>
                <w:szCs w:val="17"/>
              </w:rPr>
              <w:t>- measures the performance of investment-grade fixed-rate mortgage-backed pass-through securities of GNMA, FNMA and FHLMC.</w:t>
            </w:r>
          </w:p>
        </w:tc>
      </w:tr>
      <w:tr w:rsidR="00F3503A" w14:paraId="12BD0B75"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79D29FD" w14:textId="559122A5" w:rsidR="00F3503A" w:rsidRDefault="00F3503A" w:rsidP="00F3503A">
            <w:pPr>
              <w:spacing w:after="160"/>
              <w:rPr>
                <w:rFonts w:ascii="Arial" w:hAnsi="Arial" w:cs="Arial"/>
                <w:b/>
                <w:color w:val="343433"/>
                <w:sz w:val="16"/>
                <w:szCs w:val="17"/>
              </w:rPr>
            </w:pPr>
            <w:r>
              <w:rPr>
                <w:rFonts w:ascii="Arial" w:hAnsi="Arial" w:cs="Arial"/>
                <w:b/>
                <w:color w:val="343433"/>
                <w:sz w:val="16"/>
                <w:szCs w:val="17"/>
              </w:rPr>
              <w:t>Commodities</w:t>
            </w:r>
          </w:p>
        </w:tc>
        <w:tc>
          <w:tcPr>
            <w:tcW w:w="9180" w:type="dxa"/>
            <w:tcBorders>
              <w:top w:val="single" w:sz="4" w:space="0" w:color="E7E6E6"/>
              <w:left w:val="single" w:sz="4" w:space="0" w:color="E7E6E6"/>
              <w:bottom w:val="single" w:sz="4" w:space="0" w:color="E7E6E6"/>
              <w:right w:val="single" w:sz="4" w:space="0" w:color="E7E6E6"/>
            </w:tcBorders>
          </w:tcPr>
          <w:p w14:paraId="6360C6F2" w14:textId="57C06252" w:rsidR="00F3503A" w:rsidRDefault="00F3503A" w:rsidP="00F3503A">
            <w:pPr>
              <w:spacing w:after="160"/>
              <w:rPr>
                <w:rFonts w:ascii="Arial" w:hAnsi="Arial" w:cs="Arial"/>
                <w:b/>
                <w:color w:val="343433"/>
                <w:sz w:val="16"/>
                <w:szCs w:val="17"/>
              </w:rPr>
            </w:pPr>
            <w:r w:rsidRPr="00080D15">
              <w:rPr>
                <w:rFonts w:ascii="Arial" w:hAnsi="Arial" w:cs="Arial"/>
                <w:b/>
                <w:color w:val="343433"/>
                <w:sz w:val="16"/>
                <w:szCs w:val="17"/>
              </w:rPr>
              <w:t xml:space="preserve">Bloomberg </w:t>
            </w:r>
            <w:r>
              <w:rPr>
                <w:rFonts w:ascii="Arial" w:hAnsi="Arial" w:cs="Arial"/>
                <w:b/>
                <w:color w:val="343433"/>
                <w:sz w:val="16"/>
                <w:szCs w:val="17"/>
              </w:rPr>
              <w:t>Commodity</w:t>
            </w:r>
            <w:r w:rsidRPr="00080D15">
              <w:rPr>
                <w:rFonts w:ascii="Arial" w:hAnsi="Arial" w:cs="Arial"/>
                <w:color w:val="343433"/>
                <w:sz w:val="16"/>
                <w:szCs w:val="17"/>
              </w:rPr>
              <w:t>.</w:t>
            </w:r>
            <w:r w:rsidR="0086319B">
              <w:rPr>
                <w:rFonts w:ascii="Arial" w:hAnsi="Arial" w:cs="Arial"/>
                <w:color w:val="343433"/>
                <w:sz w:val="16"/>
                <w:szCs w:val="17"/>
              </w:rPr>
              <w:t xml:space="preserve">- </w:t>
            </w:r>
            <w:r w:rsidR="0086319B" w:rsidRPr="0086319B">
              <w:rPr>
                <w:rFonts w:ascii="Arial" w:hAnsi="Arial" w:cs="Arial"/>
                <w:color w:val="343433"/>
                <w:sz w:val="16"/>
                <w:szCs w:val="17"/>
              </w:rPr>
              <w:t>dynamically rebalances exposure to maintain a 10% volatility target and represents portfolios consisting of the S&amp;P 500 index and a cash component accruing interest.  Uses S&amp;P 500 methodology and overlays algorithms to control the index risk at specific volatility targets.</w:t>
            </w:r>
          </w:p>
        </w:tc>
      </w:tr>
      <w:tr w:rsidR="00671395" w14:paraId="01DC38B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F9042" w14:textId="08BDE24E" w:rsidR="00671395" w:rsidRDefault="00671395" w:rsidP="00F3503A">
            <w:pPr>
              <w:spacing w:after="160"/>
              <w:rPr>
                <w:rFonts w:ascii="Arial" w:hAnsi="Arial" w:cs="Arial"/>
                <w:b/>
                <w:color w:val="343433"/>
                <w:sz w:val="16"/>
                <w:szCs w:val="17"/>
              </w:rPr>
            </w:pPr>
            <w:r>
              <w:rPr>
                <w:rFonts w:ascii="Arial" w:hAnsi="Arial" w:cs="Arial"/>
                <w:b/>
                <w:color w:val="343433"/>
                <w:sz w:val="16"/>
                <w:szCs w:val="17"/>
              </w:rPr>
              <w:t>Precious Metals</w:t>
            </w:r>
          </w:p>
        </w:tc>
        <w:tc>
          <w:tcPr>
            <w:tcW w:w="9180" w:type="dxa"/>
            <w:tcBorders>
              <w:top w:val="single" w:sz="4" w:space="0" w:color="E7E6E6"/>
              <w:left w:val="single" w:sz="4" w:space="0" w:color="E7E6E6"/>
              <w:bottom w:val="single" w:sz="4" w:space="0" w:color="E7E6E6"/>
              <w:right w:val="single" w:sz="4" w:space="0" w:color="E7E6E6"/>
            </w:tcBorders>
          </w:tcPr>
          <w:p w14:paraId="466DEAF9" w14:textId="4623187F" w:rsidR="00671395" w:rsidRDefault="00671395" w:rsidP="00F3503A">
            <w:pPr>
              <w:spacing w:after="160"/>
              <w:rPr>
                <w:rFonts w:ascii="Arial" w:hAnsi="Arial" w:cs="Arial"/>
                <w:b/>
                <w:color w:val="343433"/>
                <w:sz w:val="16"/>
                <w:szCs w:val="17"/>
              </w:rPr>
            </w:pPr>
            <w:r>
              <w:rPr>
                <w:rFonts w:ascii="Arial" w:hAnsi="Arial" w:cs="Arial"/>
                <w:b/>
                <w:color w:val="343433"/>
                <w:sz w:val="16"/>
                <w:szCs w:val="17"/>
              </w:rPr>
              <w:t>Bloomberg Precious Metals</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price of gold futures contracts, reflecting the return of underlying commodity futures price movements quoted in USD.</w:t>
            </w:r>
          </w:p>
        </w:tc>
      </w:tr>
      <w:tr w:rsidR="00F3503A" w14:paraId="13EEFDA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96D3D4D" w14:textId="481665B1" w:rsidR="00F3503A" w:rsidRPr="00080D15" w:rsidRDefault="00F3503A" w:rsidP="00F3503A">
            <w:pPr>
              <w:spacing w:after="160"/>
              <w:rPr>
                <w:rFonts w:ascii="Arial" w:hAnsi="Arial" w:cs="Arial"/>
                <w:b/>
                <w:color w:val="343433"/>
                <w:sz w:val="16"/>
                <w:szCs w:val="17"/>
              </w:rPr>
            </w:pPr>
            <w:r>
              <w:rPr>
                <w:rFonts w:ascii="Arial" w:hAnsi="Arial" w:cs="Arial"/>
                <w:b/>
                <w:color w:val="343433"/>
                <w:sz w:val="16"/>
                <w:szCs w:val="17"/>
              </w:rPr>
              <w:t>US REITs</w:t>
            </w:r>
          </w:p>
        </w:tc>
        <w:tc>
          <w:tcPr>
            <w:tcW w:w="9180" w:type="dxa"/>
            <w:tcBorders>
              <w:top w:val="single" w:sz="4" w:space="0" w:color="E7E6E6"/>
              <w:left w:val="single" w:sz="4" w:space="0" w:color="E7E6E6"/>
              <w:bottom w:val="single" w:sz="4" w:space="0" w:color="E7E6E6"/>
              <w:right w:val="single" w:sz="4" w:space="0" w:color="E7E6E6"/>
            </w:tcBorders>
          </w:tcPr>
          <w:p w14:paraId="6ED59CD8" w14:textId="4FDCFE6A" w:rsidR="00F3503A" w:rsidRPr="00080D15" w:rsidRDefault="00F3503A" w:rsidP="00F3503A">
            <w:pPr>
              <w:spacing w:after="160"/>
              <w:rPr>
                <w:rFonts w:ascii="Arial" w:hAnsi="Arial" w:cs="Arial"/>
                <w:b/>
                <w:color w:val="343433"/>
                <w:sz w:val="16"/>
                <w:szCs w:val="17"/>
              </w:rPr>
            </w:pPr>
            <w:r>
              <w:rPr>
                <w:rFonts w:ascii="Arial" w:hAnsi="Arial" w:cs="Arial"/>
                <w:b/>
                <w:color w:val="343433"/>
                <w:sz w:val="16"/>
                <w:szCs w:val="17"/>
              </w:rPr>
              <w:t>FTSE N</w:t>
            </w:r>
            <w:r w:rsidR="0086319B">
              <w:rPr>
                <w:rFonts w:ascii="Arial" w:hAnsi="Arial" w:cs="Arial"/>
                <w:b/>
                <w:color w:val="343433"/>
                <w:sz w:val="16"/>
                <w:szCs w:val="17"/>
              </w:rPr>
              <w:t>AREIT</w:t>
            </w:r>
            <w:r w:rsidR="004C52F8">
              <w:rPr>
                <w:rFonts w:ascii="Arial" w:hAnsi="Arial" w:cs="Arial"/>
                <w:b/>
                <w:color w:val="343433"/>
                <w:sz w:val="16"/>
                <w:szCs w:val="17"/>
              </w:rPr>
              <w:t xml:space="preserve"> All Equity REIT</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price of physical commodities futures contracts traded on US exchanges, except aluminum, nickel and zinc, which trade on the London Metal Exchange. Weightings are determined by rules designed to insure diversified commodity exposure.</w:t>
            </w:r>
          </w:p>
        </w:tc>
      </w:tr>
    </w:tbl>
    <w:p w14:paraId="6B301E9F" w14:textId="77777777" w:rsidR="00140F12" w:rsidRDefault="00140F12" w:rsidP="004F6ABF">
      <w:pPr>
        <w:spacing w:after="0" w:line="240" w:lineRule="auto"/>
        <w:rPr>
          <w:rFonts w:ascii="Arial" w:hAnsi="Arial" w:cs="Arial"/>
          <w:color w:val="343433"/>
          <w:sz w:val="16"/>
          <w:szCs w:val="16"/>
        </w:rPr>
      </w:pPr>
    </w:p>
    <w:p w14:paraId="7BC73908" w14:textId="5BFE8381" w:rsidR="00140F12" w:rsidRDefault="00140F12">
      <w:pPr>
        <w:spacing w:after="0" w:line="240" w:lineRule="auto"/>
        <w:rPr>
          <w:rFonts w:ascii="Arial" w:hAnsi="Arial" w:cs="Arial"/>
          <w:color w:val="343433"/>
          <w:sz w:val="16"/>
          <w:szCs w:val="16"/>
        </w:rPr>
      </w:pPr>
    </w:p>
    <w:p w14:paraId="0AAD309A" w14:textId="30139EFE" w:rsidR="000F6A69" w:rsidRPr="009F65E5" w:rsidRDefault="004F6ABF" w:rsidP="004F6ABF">
      <w:pPr>
        <w:spacing w:after="0" w:line="240" w:lineRule="auto"/>
        <w:rPr>
          <w:rFonts w:ascii="Arial" w:hAnsi="Arial" w:cs="Arial"/>
          <w:color w:val="343433"/>
          <w:sz w:val="16"/>
          <w:szCs w:val="16"/>
        </w:rPr>
      </w:pPr>
      <w:r w:rsidRPr="0040163B">
        <w:rPr>
          <w:rFonts w:ascii="Arial" w:hAnsi="Arial" w:cs="Arial"/>
          <w:noProof/>
          <w:color w:val="343433"/>
          <w:sz w:val="21"/>
        </w:rPr>
        <mc:AlternateContent>
          <mc:Choice Requires="wpg">
            <w:drawing>
              <wp:anchor distT="0" distB="0" distL="114300" distR="114300" simplePos="0" relativeHeight="251673600" behindDoc="1" locked="0" layoutInCell="1" allowOverlap="1" wp14:anchorId="69F78F6C" wp14:editId="232D1223">
                <wp:simplePos x="0" y="0"/>
                <wp:positionH relativeFrom="margin">
                  <wp:posOffset>-463550</wp:posOffset>
                </wp:positionH>
                <wp:positionV relativeFrom="margin">
                  <wp:posOffset>5544185</wp:posOffset>
                </wp:positionV>
                <wp:extent cx="6875780" cy="2739390"/>
                <wp:effectExtent l="0" t="0" r="1270" b="3810"/>
                <wp:wrapTight wrapText="bothSides">
                  <wp:wrapPolygon edited="0">
                    <wp:start x="0" y="0"/>
                    <wp:lineTo x="0" y="20278"/>
                    <wp:lineTo x="299" y="21480"/>
                    <wp:lineTo x="4309" y="21480"/>
                    <wp:lineTo x="21544" y="20278"/>
                    <wp:lineTo x="21544"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875780" cy="2739390"/>
                          <a:chOff x="0" y="299834"/>
                          <a:chExt cx="6858000" cy="2054109"/>
                        </a:xfrm>
                      </wpg:grpSpPr>
                      <wps:wsp>
                        <wps:cNvPr id="18" name="Rectangle 18"/>
                        <wps:cNvSpPr/>
                        <wps:spPr>
                          <a:xfrm>
                            <a:off x="0" y="299834"/>
                            <a:ext cx="6858000" cy="1927443"/>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39694" y="408482"/>
                            <a:ext cx="5417874" cy="1799701"/>
                          </a:xfrm>
                          <a:prstGeom prst="rect">
                            <a:avLst/>
                          </a:prstGeom>
                          <a:noFill/>
                          <a:ln w="6350">
                            <a:noFill/>
                          </a:ln>
                        </wps:spPr>
                        <wps:txbx>
                          <w:txbxContent>
                            <w:p w14:paraId="426D23FC" w14:textId="77777777" w:rsidR="004F6ABF" w:rsidRPr="00A57DA9" w:rsidRDefault="004F6ABF" w:rsidP="004F6ABF">
                              <w:pPr>
                                <w:spacing w:after="120" w:line="240" w:lineRule="auto"/>
                                <w:rPr>
                                  <w:rFonts w:ascii="Arial" w:hAnsi="Arial" w:cs="Arial"/>
                                  <w:b/>
                                  <w:sz w:val="16"/>
                                  <w:szCs w:val="16"/>
                                </w:rPr>
                              </w:pPr>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77777777" w:rsidR="00A933B5"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44D139E2" w14:textId="77777777"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©2021 AssetMark, Inc. All rights reserved.</w:t>
                              </w:r>
                            </w:p>
                            <w:p w14:paraId="29A67675" w14:textId="4C76CCC5" w:rsidR="00A933B5" w:rsidRDefault="00A933B5" w:rsidP="00A933B5">
                              <w:pPr>
                                <w:spacing w:after="120" w:line="240" w:lineRule="auto"/>
                                <w:rPr>
                                  <w:rFonts w:ascii="Arial" w:hAnsi="Arial" w:cs="Arial"/>
                                  <w:sz w:val="16"/>
                                  <w:szCs w:val="16"/>
                                </w:rPr>
                              </w:pPr>
                              <w:r>
                                <w:rPr>
                                  <w:rFonts w:ascii="Arial" w:hAnsi="Arial" w:cs="Arial"/>
                                  <w:sz w:val="16"/>
                                  <w:szCs w:val="16"/>
                                </w:rPr>
                                <w:t>10</w:t>
                              </w:r>
                              <w:r w:rsidR="00CA0E31">
                                <w:rPr>
                                  <w:rFonts w:ascii="Arial" w:hAnsi="Arial" w:cs="Arial"/>
                                  <w:sz w:val="16"/>
                                  <w:szCs w:val="16"/>
                                </w:rPr>
                                <w:t>2265</w:t>
                              </w:r>
                              <w:r>
                                <w:rPr>
                                  <w:rFonts w:ascii="Arial" w:hAnsi="Arial" w:cs="Arial"/>
                                  <w:sz w:val="16"/>
                                  <w:szCs w:val="16"/>
                                </w:rPr>
                                <w:t xml:space="preserve"> | C2</w:t>
                              </w:r>
                              <w:r w:rsidR="00CA0E31">
                                <w:rPr>
                                  <w:rFonts w:ascii="Arial" w:hAnsi="Arial" w:cs="Arial"/>
                                  <w:sz w:val="16"/>
                                  <w:szCs w:val="16"/>
                                </w:rPr>
                                <w:t>1-17513</w:t>
                              </w:r>
                              <w:r>
                                <w:rPr>
                                  <w:rFonts w:ascii="Arial" w:hAnsi="Arial" w:cs="Arial"/>
                                  <w:sz w:val="16"/>
                                  <w:szCs w:val="16"/>
                                </w:rPr>
                                <w:t xml:space="preserve"> | 04/2021 | EXP </w:t>
                              </w:r>
                              <w:r w:rsidR="00CA0E31">
                                <w:rPr>
                                  <w:rFonts w:ascii="Arial" w:hAnsi="Arial" w:cs="Arial"/>
                                  <w:sz w:val="16"/>
                                  <w:szCs w:val="16"/>
                                </w:rPr>
                                <w:t>04</w:t>
                              </w:r>
                              <w:r>
                                <w:rPr>
                                  <w:rFonts w:ascii="Arial" w:hAnsi="Arial" w:cs="Arial"/>
                                  <w:sz w:val="16"/>
                                  <w:szCs w:val="16"/>
                                </w:rPr>
                                <w:t>/3</w:t>
                              </w:r>
                              <w:r w:rsidR="00CA0E31">
                                <w:rPr>
                                  <w:rFonts w:ascii="Arial" w:hAnsi="Arial" w:cs="Arial"/>
                                  <w:sz w:val="16"/>
                                  <w:szCs w:val="16"/>
                                </w:rPr>
                                <w:t>0</w:t>
                              </w:r>
                              <w:r>
                                <w:rPr>
                                  <w:rFonts w:ascii="Arial" w:hAnsi="Arial" w:cs="Arial"/>
                                  <w:sz w:val="16"/>
                                  <w:szCs w:val="16"/>
                                </w:rPr>
                                <w:t>/202</w:t>
                              </w:r>
                              <w:r w:rsidR="00CA0E31">
                                <w:rPr>
                                  <w:rFonts w:ascii="Arial" w:hAnsi="Arial" w:cs="Arial"/>
                                  <w:sz w:val="16"/>
                                  <w:szCs w:val="16"/>
                                </w:rPr>
                                <w:t>2</w:t>
                              </w:r>
                            </w:p>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8634" y="408461"/>
                            <a:ext cx="1390953" cy="1945482"/>
                          </a:xfrm>
                          <a:prstGeom prst="rect">
                            <a:avLst/>
                          </a:prstGeom>
                          <a:noFill/>
                          <a:ln w="6350">
                            <a:noFill/>
                          </a:ln>
                        </wps:spPr>
                        <wps:txb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8F6C" id="Group 16" o:spid="_x0000_s1026" style="position:absolute;margin-left:-36.5pt;margin-top:436.55pt;width:541.4pt;height:215.7pt;z-index:-251642880;mso-position-horizontal-relative:margin;mso-position-vertical-relative:margin;mso-width-relative:margin;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">
                <v:rect id="Rectangle 18"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" fillcolor="#f2f2f2" stroked="f" strokeweight="1pt"/>
                <v:shapetype id="_x0000_t202" coordsize="21600,21600" o:spt="202" path="m,l,21600r21600,l21600,xe">
                  <v:stroke joinstyle="miter"/>
                  <v:path gradientshapeok="t" o:connecttype="rect"/>
                </v:shapetype>
                <v:shape id="Text Box 22" o:spid="_x0000_s1028"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D23FC" w14:textId="77777777" w:rsidR="004F6ABF" w:rsidRPr="00A57DA9" w:rsidRDefault="004F6ABF" w:rsidP="004F6ABF">
                        <w:pPr>
                          <w:spacing w:after="120" w:line="240" w:lineRule="auto"/>
                          <w:rPr>
                            <w:rFonts w:ascii="Arial" w:hAnsi="Arial" w:cs="Arial"/>
                            <w:b/>
                            <w:sz w:val="16"/>
                            <w:szCs w:val="16"/>
                          </w:rPr>
                        </w:pPr>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77777777" w:rsidR="00A933B5"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44D139E2" w14:textId="77777777"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©2021 AssetMark, Inc. All rights reserved.</w:t>
                        </w:r>
                      </w:p>
                      <w:p w14:paraId="29A67675" w14:textId="4C76CCC5" w:rsidR="00A933B5" w:rsidRDefault="00A933B5" w:rsidP="00A933B5">
                        <w:pPr>
                          <w:spacing w:after="120" w:line="240" w:lineRule="auto"/>
                          <w:rPr>
                            <w:rFonts w:ascii="Arial" w:hAnsi="Arial" w:cs="Arial"/>
                            <w:sz w:val="16"/>
                            <w:szCs w:val="16"/>
                          </w:rPr>
                        </w:pPr>
                        <w:r>
                          <w:rPr>
                            <w:rFonts w:ascii="Arial" w:hAnsi="Arial" w:cs="Arial"/>
                            <w:sz w:val="16"/>
                            <w:szCs w:val="16"/>
                          </w:rPr>
                          <w:t>10</w:t>
                        </w:r>
                        <w:r w:rsidR="00CA0E31">
                          <w:rPr>
                            <w:rFonts w:ascii="Arial" w:hAnsi="Arial" w:cs="Arial"/>
                            <w:sz w:val="16"/>
                            <w:szCs w:val="16"/>
                          </w:rPr>
                          <w:t>2265</w:t>
                        </w:r>
                        <w:r>
                          <w:rPr>
                            <w:rFonts w:ascii="Arial" w:hAnsi="Arial" w:cs="Arial"/>
                            <w:sz w:val="16"/>
                            <w:szCs w:val="16"/>
                          </w:rPr>
                          <w:t xml:space="preserve"> | C2</w:t>
                        </w:r>
                        <w:r w:rsidR="00CA0E31">
                          <w:rPr>
                            <w:rFonts w:ascii="Arial" w:hAnsi="Arial" w:cs="Arial"/>
                            <w:sz w:val="16"/>
                            <w:szCs w:val="16"/>
                          </w:rPr>
                          <w:t>1-17513</w:t>
                        </w:r>
                        <w:r>
                          <w:rPr>
                            <w:rFonts w:ascii="Arial" w:hAnsi="Arial" w:cs="Arial"/>
                            <w:sz w:val="16"/>
                            <w:szCs w:val="16"/>
                          </w:rPr>
                          <w:t xml:space="preserve"> | 04/2021 | EXP </w:t>
                        </w:r>
                        <w:r w:rsidR="00CA0E31">
                          <w:rPr>
                            <w:rFonts w:ascii="Arial" w:hAnsi="Arial" w:cs="Arial"/>
                            <w:sz w:val="16"/>
                            <w:szCs w:val="16"/>
                          </w:rPr>
                          <w:t>04</w:t>
                        </w:r>
                        <w:r>
                          <w:rPr>
                            <w:rFonts w:ascii="Arial" w:hAnsi="Arial" w:cs="Arial"/>
                            <w:sz w:val="16"/>
                            <w:szCs w:val="16"/>
                          </w:rPr>
                          <w:t>/3</w:t>
                        </w:r>
                        <w:r w:rsidR="00CA0E31">
                          <w:rPr>
                            <w:rFonts w:ascii="Arial" w:hAnsi="Arial" w:cs="Arial"/>
                            <w:sz w:val="16"/>
                            <w:szCs w:val="16"/>
                          </w:rPr>
                          <w:t>0</w:t>
                        </w:r>
                        <w:r>
                          <w:rPr>
                            <w:rFonts w:ascii="Arial" w:hAnsi="Arial" w:cs="Arial"/>
                            <w:sz w:val="16"/>
                            <w:szCs w:val="16"/>
                          </w:rPr>
                          <w:t>/202</w:t>
                        </w:r>
                        <w:r w:rsidR="00CA0E31">
                          <w:rPr>
                            <w:rFonts w:ascii="Arial" w:hAnsi="Arial" w:cs="Arial"/>
                            <w:sz w:val="16"/>
                            <w:szCs w:val="16"/>
                          </w:rPr>
                          <w:t>2</w:t>
                        </w:r>
                      </w:p>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v:textbox>
                </v:shape>
                <v:shape id="Text Box 23" o:spid="_x0000_s1029" type="#_x0000_t202" style="position:absolute;left:486;top:4084;width:13909;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v:textbox>
                </v:shape>
                <w10:wrap type="tight" anchorx="margin" anchory="margin"/>
              </v:group>
            </w:pict>
          </mc:Fallback>
        </mc:AlternateContent>
      </w:r>
    </w:p>
    <w:sectPr w:rsidR="000F6A69" w:rsidRPr="009F65E5" w:rsidSect="00890AD2">
      <w:type w:val="continuous"/>
      <w:pgSz w:w="12240" w:h="15840"/>
      <w:pgMar w:top="-1659" w:right="1440" w:bottom="15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34CC" w14:textId="77777777" w:rsidR="008F5A1C" w:rsidRDefault="008F5A1C" w:rsidP="005C1D70">
      <w:pPr>
        <w:spacing w:after="0" w:line="240" w:lineRule="auto"/>
      </w:pPr>
      <w:r>
        <w:separator/>
      </w:r>
    </w:p>
  </w:endnote>
  <w:endnote w:type="continuationSeparator" w:id="0">
    <w:p w14:paraId="775D8311" w14:textId="77777777" w:rsidR="008F5A1C" w:rsidRDefault="008F5A1C" w:rsidP="005C1D70">
      <w:pPr>
        <w:spacing w:after="0" w:line="240" w:lineRule="auto"/>
      </w:pPr>
      <w:r>
        <w:continuationSeparator/>
      </w:r>
    </w:p>
  </w:endnote>
  <w:endnote w:id="1">
    <w:p w14:paraId="69547655" w14:textId="06C72171" w:rsidR="0086319B" w:rsidRPr="0086319B" w:rsidRDefault="0086319B">
      <w:pPr>
        <w:pStyle w:val="EndnoteText"/>
        <w:rPr>
          <w:rFonts w:ascii="Arial" w:hAnsi="Arial" w:cs="Arial"/>
        </w:rPr>
      </w:pPr>
      <w:r w:rsidRPr="0086319B">
        <w:rPr>
          <w:rStyle w:val="EndnoteReference"/>
          <w:rFonts w:ascii="Arial" w:hAnsi="Arial" w:cs="Arial"/>
        </w:rPr>
        <w:endnoteRef/>
      </w:r>
      <w:r w:rsidRPr="0086319B">
        <w:rPr>
          <w:rFonts w:ascii="Arial" w:hAnsi="Arial" w:cs="Arial"/>
        </w:rPr>
        <w:t xml:space="preserve"> Source: FactSet</w:t>
      </w:r>
    </w:p>
  </w:endnote>
  <w:endnote w:id="2">
    <w:p w14:paraId="4CFF0471" w14:textId="4E37B40A" w:rsidR="0086319B" w:rsidRPr="0086319B" w:rsidRDefault="0086319B">
      <w:pPr>
        <w:pStyle w:val="EndnoteText"/>
        <w:rPr>
          <w:rFonts w:ascii="Arial" w:hAnsi="Arial" w:cs="Arial"/>
        </w:rPr>
      </w:pPr>
      <w:r w:rsidRPr="0086319B">
        <w:rPr>
          <w:rStyle w:val="EndnoteReference"/>
          <w:rFonts w:ascii="Arial" w:hAnsi="Arial" w:cs="Arial"/>
        </w:rPr>
        <w:endnoteRef/>
      </w:r>
      <w:r w:rsidRPr="0086319B">
        <w:rPr>
          <w:rFonts w:ascii="Arial" w:hAnsi="Arial" w:cs="Arial"/>
        </w:rPr>
        <w:t xml:space="preserve"> Ibid</w:t>
      </w:r>
    </w:p>
  </w:endnote>
  <w:endnote w:id="3">
    <w:p w14:paraId="75B599D1" w14:textId="28C0F8F9" w:rsidR="0086319B" w:rsidRPr="0086319B" w:rsidRDefault="0086319B">
      <w:pPr>
        <w:pStyle w:val="EndnoteText"/>
        <w:rPr>
          <w:rFonts w:ascii="Arial" w:hAnsi="Arial" w:cs="Arial"/>
        </w:rPr>
      </w:pPr>
      <w:r w:rsidRPr="0086319B">
        <w:rPr>
          <w:rStyle w:val="EndnoteReference"/>
          <w:rFonts w:ascii="Arial" w:hAnsi="Arial" w:cs="Arial"/>
        </w:rPr>
        <w:endnoteRef/>
      </w:r>
      <w:r w:rsidRPr="0086319B">
        <w:rPr>
          <w:rFonts w:ascii="Arial" w:hAnsi="Arial" w:cs="Arial"/>
        </w:rPr>
        <w:t xml:space="preserve"> Ibid</w:t>
      </w:r>
    </w:p>
  </w:endnote>
  <w:endnote w:id="4">
    <w:p w14:paraId="3FFAF446" w14:textId="2DB435FC" w:rsidR="0086319B" w:rsidRPr="0086319B" w:rsidRDefault="0086319B">
      <w:pPr>
        <w:pStyle w:val="EndnoteText"/>
        <w:rPr>
          <w:rFonts w:ascii="Arial" w:hAnsi="Arial" w:cs="Arial"/>
        </w:rPr>
      </w:pPr>
      <w:r w:rsidRPr="0086319B">
        <w:rPr>
          <w:rStyle w:val="EndnoteReference"/>
          <w:rFonts w:ascii="Arial" w:hAnsi="Arial" w:cs="Arial"/>
        </w:rPr>
        <w:endnoteRef/>
      </w:r>
      <w:r w:rsidRPr="0086319B">
        <w:rPr>
          <w:rFonts w:ascii="Arial" w:hAnsi="Arial" w:cs="Arial"/>
        </w:rPr>
        <w:t xml:space="preserve"> Ibid</w:t>
      </w:r>
    </w:p>
  </w:endnote>
  <w:endnote w:id="5">
    <w:p w14:paraId="7665E4EA" w14:textId="489DBF8D" w:rsidR="0086319B" w:rsidRPr="0086319B" w:rsidRDefault="0086319B">
      <w:pPr>
        <w:pStyle w:val="EndnoteText"/>
        <w:rPr>
          <w:rFonts w:ascii="Arial" w:hAnsi="Arial" w:cs="Arial"/>
        </w:rPr>
      </w:pPr>
      <w:r w:rsidRPr="0086319B">
        <w:rPr>
          <w:rStyle w:val="EndnoteReference"/>
          <w:rFonts w:ascii="Arial" w:hAnsi="Arial" w:cs="Arial"/>
        </w:rPr>
        <w:endnoteRef/>
      </w:r>
      <w:r w:rsidRPr="0086319B">
        <w:rPr>
          <w:rFonts w:ascii="Arial" w:hAnsi="Arial" w:cs="Arial"/>
        </w:rPr>
        <w:t xml:space="preserve"> Ibid</w:t>
      </w:r>
    </w:p>
  </w:endnote>
  <w:endnote w:id="6">
    <w:p w14:paraId="7BACE74F" w14:textId="118A55EF" w:rsidR="0086319B" w:rsidRDefault="0086319B">
      <w:pPr>
        <w:pStyle w:val="EndnoteText"/>
      </w:pPr>
      <w:r w:rsidRPr="0086319B">
        <w:rPr>
          <w:rStyle w:val="EndnoteReference"/>
          <w:rFonts w:ascii="Arial" w:hAnsi="Arial" w:cs="Arial"/>
        </w:rPr>
        <w:endnoteRef/>
      </w:r>
      <w:r w:rsidRPr="0086319B">
        <w:rPr>
          <w:rFonts w:ascii="Arial" w:hAnsi="Arial" w:cs="Arial"/>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884803"/>
      <w:docPartObj>
        <w:docPartGallery w:val="Page Numbers (Bottom of Page)"/>
        <w:docPartUnique/>
      </w:docPartObj>
    </w:sdtPr>
    <w:sdtEndPr>
      <w:rPr>
        <w:rStyle w:val="PageNumber"/>
      </w:rPr>
    </w:sdtEndPr>
    <w:sdtContent>
      <w:p w14:paraId="6A74A47C" w14:textId="77777777"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1998"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67BBCF9" w14:textId="77777777"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C146FF">
          <w:rPr>
            <w:rStyle w:val="PageNumber"/>
            <w:rFonts w:ascii="Arial" w:hAnsi="Arial" w:cs="Arial"/>
            <w:noProof/>
            <w:color w:val="767171" w:themeColor="background2" w:themeShade="80"/>
            <w:sz w:val="20"/>
          </w:rPr>
          <w:t>4</w:t>
        </w:r>
        <w:r w:rsidRPr="007C4C9B">
          <w:rPr>
            <w:rStyle w:val="PageNumber"/>
            <w:rFonts w:ascii="Arial" w:hAnsi="Arial" w:cs="Arial"/>
            <w:color w:val="767171" w:themeColor="background2" w:themeShade="80"/>
            <w:sz w:val="20"/>
          </w:rPr>
          <w:fldChar w:fldCharType="end"/>
        </w:r>
      </w:p>
    </w:sdtContent>
  </w:sdt>
  <w:p w14:paraId="340D8F79" w14:textId="77777777"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154F3E05">
              <wp:simplePos x="0" y="0"/>
              <wp:positionH relativeFrom="column">
                <wp:posOffset>-457200</wp:posOffset>
              </wp:positionH>
              <wp:positionV relativeFrom="paragraph">
                <wp:posOffset>78740</wp:posOffset>
              </wp:positionV>
              <wp:extent cx="2743200"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3in;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" filled="f" stroked="f" strokeweight=".5pt">
              <v:textbox inset="0">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4C6CA"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C8522BA"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992B9C">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2A9219EE" w14:textId="77777777"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1E349912">
              <wp:simplePos x="0" y="0"/>
              <wp:positionH relativeFrom="column">
                <wp:posOffset>-447040</wp:posOffset>
              </wp:positionH>
              <wp:positionV relativeFrom="paragraph">
                <wp:posOffset>78740</wp:posOffset>
              </wp:positionV>
              <wp:extent cx="2743200"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4" type="#_x0000_t202" style="position:absolute;margin-left:-35.2pt;margin-top:6.2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" filled="f" stroked="f" strokeweight=".5pt">
              <v:textbox inset="0">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CD5E9"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5"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8A37" w14:textId="77777777" w:rsidR="008F5A1C" w:rsidRDefault="008F5A1C" w:rsidP="005C1D70">
      <w:pPr>
        <w:spacing w:after="0" w:line="240" w:lineRule="auto"/>
      </w:pPr>
      <w:r>
        <w:separator/>
      </w:r>
    </w:p>
  </w:footnote>
  <w:footnote w:type="continuationSeparator" w:id="0">
    <w:p w14:paraId="1214E402" w14:textId="77777777" w:rsidR="008F5A1C" w:rsidRDefault="008F5A1C"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1D54" w14:textId="77777777"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07D81"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85D0" w14:textId="77777777" w:rsidR="00996FBD" w:rsidRDefault="009C020D">
    <w:pPr>
      <w:pStyle w:val="Header"/>
    </w:pPr>
    <w:r w:rsidRPr="00996FBD">
      <w:rPr>
        <w:noProof/>
      </w:rPr>
      <mc:AlternateContent>
        <mc:Choice Requires="wps">
          <w:drawing>
            <wp:anchor distT="0" distB="0" distL="114300" distR="114300" simplePos="0" relativeHeight="251673600" behindDoc="0" locked="0" layoutInCell="1" allowOverlap="1" wp14:anchorId="315F954A" wp14:editId="74D19A43">
              <wp:simplePos x="0" y="0"/>
              <wp:positionH relativeFrom="column">
                <wp:posOffset>-457201</wp:posOffset>
              </wp:positionH>
              <wp:positionV relativeFrom="paragraph">
                <wp:posOffset>152400</wp:posOffset>
              </wp:positionV>
              <wp:extent cx="1299633"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9633" cy="251460"/>
                      </a:xfrm>
                      <a:prstGeom prst="rect">
                        <a:avLst/>
                      </a:prstGeom>
                      <a:noFill/>
                      <a:ln w="6350">
                        <a:noFill/>
                      </a:ln>
                    </wps:spPr>
                    <wps:txbx>
                      <w:txbxContent>
                        <w:p w14:paraId="118167A3" w14:textId="24813010" w:rsidR="00996FBD" w:rsidRPr="00331075" w:rsidRDefault="006C4671"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 2021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margin-left:-36pt;margin-top:12pt;width:102.3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" filled="f" stroked="f" strokeweight=".5pt">
              <v:textbox inset="0">
                <w:txbxContent>
                  <w:p w14:paraId="118167A3" w14:textId="24813010" w:rsidR="00996FBD" w:rsidRPr="00331075" w:rsidRDefault="006C4671"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 2021</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3"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2F0F13E">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939C"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B8FAF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078A2"/>
    <w:multiLevelType w:val="hybridMultilevel"/>
    <w:tmpl w:val="60F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A22"/>
    <w:multiLevelType w:val="hybridMultilevel"/>
    <w:tmpl w:val="C5C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70"/>
    <w:rsid w:val="00007A7E"/>
    <w:rsid w:val="00016B9E"/>
    <w:rsid w:val="00016C1C"/>
    <w:rsid w:val="0002108F"/>
    <w:rsid w:val="00023357"/>
    <w:rsid w:val="00027F34"/>
    <w:rsid w:val="0003123B"/>
    <w:rsid w:val="00032AC6"/>
    <w:rsid w:val="00042261"/>
    <w:rsid w:val="00051972"/>
    <w:rsid w:val="0007231D"/>
    <w:rsid w:val="00075C34"/>
    <w:rsid w:val="00080D15"/>
    <w:rsid w:val="00082B70"/>
    <w:rsid w:val="00086CF0"/>
    <w:rsid w:val="000A7E8D"/>
    <w:rsid w:val="000C0521"/>
    <w:rsid w:val="000D435A"/>
    <w:rsid w:val="000D4FD7"/>
    <w:rsid w:val="000E4CDF"/>
    <w:rsid w:val="000E6BC0"/>
    <w:rsid w:val="000F263F"/>
    <w:rsid w:val="000F6A69"/>
    <w:rsid w:val="000F6F26"/>
    <w:rsid w:val="001235D7"/>
    <w:rsid w:val="00140F12"/>
    <w:rsid w:val="00152CB7"/>
    <w:rsid w:val="00156E9F"/>
    <w:rsid w:val="00165DF6"/>
    <w:rsid w:val="00173730"/>
    <w:rsid w:val="00182D23"/>
    <w:rsid w:val="00191601"/>
    <w:rsid w:val="00191B06"/>
    <w:rsid w:val="0019254E"/>
    <w:rsid w:val="001A3F7E"/>
    <w:rsid w:val="001A6B17"/>
    <w:rsid w:val="001B6F30"/>
    <w:rsid w:val="001C1491"/>
    <w:rsid w:val="001C2475"/>
    <w:rsid w:val="001D39CF"/>
    <w:rsid w:val="001D6282"/>
    <w:rsid w:val="001E2992"/>
    <w:rsid w:val="002226E5"/>
    <w:rsid w:val="0023363B"/>
    <w:rsid w:val="002367F8"/>
    <w:rsid w:val="00243327"/>
    <w:rsid w:val="00255EB5"/>
    <w:rsid w:val="00257CA6"/>
    <w:rsid w:val="002A13F1"/>
    <w:rsid w:val="002A5768"/>
    <w:rsid w:val="002B3AF0"/>
    <w:rsid w:val="002C3172"/>
    <w:rsid w:val="002C384C"/>
    <w:rsid w:val="002D3936"/>
    <w:rsid w:val="002D3AD1"/>
    <w:rsid w:val="002D47CD"/>
    <w:rsid w:val="002D792A"/>
    <w:rsid w:val="002E1DE1"/>
    <w:rsid w:val="0030590B"/>
    <w:rsid w:val="003110DE"/>
    <w:rsid w:val="003111A1"/>
    <w:rsid w:val="0031343F"/>
    <w:rsid w:val="0031483A"/>
    <w:rsid w:val="003271BF"/>
    <w:rsid w:val="0033033B"/>
    <w:rsid w:val="00331075"/>
    <w:rsid w:val="003321F1"/>
    <w:rsid w:val="00363339"/>
    <w:rsid w:val="00363C9F"/>
    <w:rsid w:val="00367858"/>
    <w:rsid w:val="00373226"/>
    <w:rsid w:val="0038286B"/>
    <w:rsid w:val="00382DA1"/>
    <w:rsid w:val="00383327"/>
    <w:rsid w:val="00390879"/>
    <w:rsid w:val="00397AF7"/>
    <w:rsid w:val="003A6020"/>
    <w:rsid w:val="003B12C1"/>
    <w:rsid w:val="003D2327"/>
    <w:rsid w:val="003F2CFB"/>
    <w:rsid w:val="003F7A98"/>
    <w:rsid w:val="004169FC"/>
    <w:rsid w:val="00416E91"/>
    <w:rsid w:val="00417473"/>
    <w:rsid w:val="00420FAA"/>
    <w:rsid w:val="00422ED2"/>
    <w:rsid w:val="00445A4C"/>
    <w:rsid w:val="004464DA"/>
    <w:rsid w:val="00451267"/>
    <w:rsid w:val="00460169"/>
    <w:rsid w:val="004702F1"/>
    <w:rsid w:val="00482C76"/>
    <w:rsid w:val="004839D8"/>
    <w:rsid w:val="00483E53"/>
    <w:rsid w:val="00497314"/>
    <w:rsid w:val="00497819"/>
    <w:rsid w:val="004B1C5E"/>
    <w:rsid w:val="004C0D0C"/>
    <w:rsid w:val="004C16D2"/>
    <w:rsid w:val="004C52F8"/>
    <w:rsid w:val="004E0975"/>
    <w:rsid w:val="004E2AC7"/>
    <w:rsid w:val="004E31E5"/>
    <w:rsid w:val="004F532A"/>
    <w:rsid w:val="004F6ABF"/>
    <w:rsid w:val="0050199E"/>
    <w:rsid w:val="00521AD6"/>
    <w:rsid w:val="0052558D"/>
    <w:rsid w:val="00525FA1"/>
    <w:rsid w:val="005314A5"/>
    <w:rsid w:val="005333FB"/>
    <w:rsid w:val="005371DC"/>
    <w:rsid w:val="00550B80"/>
    <w:rsid w:val="00552D96"/>
    <w:rsid w:val="00564DCE"/>
    <w:rsid w:val="0057379A"/>
    <w:rsid w:val="0057733A"/>
    <w:rsid w:val="00584389"/>
    <w:rsid w:val="005851A4"/>
    <w:rsid w:val="0059459B"/>
    <w:rsid w:val="00597B1A"/>
    <w:rsid w:val="005A1ECC"/>
    <w:rsid w:val="005A26B5"/>
    <w:rsid w:val="005B192D"/>
    <w:rsid w:val="005B43A6"/>
    <w:rsid w:val="005C0619"/>
    <w:rsid w:val="005C0FFC"/>
    <w:rsid w:val="005C1D70"/>
    <w:rsid w:val="005C3098"/>
    <w:rsid w:val="005C53B9"/>
    <w:rsid w:val="005D65A6"/>
    <w:rsid w:val="005E7352"/>
    <w:rsid w:val="005F1E92"/>
    <w:rsid w:val="006017F2"/>
    <w:rsid w:val="00611139"/>
    <w:rsid w:val="00612902"/>
    <w:rsid w:val="00632FC2"/>
    <w:rsid w:val="0063435D"/>
    <w:rsid w:val="0067047A"/>
    <w:rsid w:val="00671395"/>
    <w:rsid w:val="006714C7"/>
    <w:rsid w:val="00693B66"/>
    <w:rsid w:val="0069473F"/>
    <w:rsid w:val="0069692B"/>
    <w:rsid w:val="006A6909"/>
    <w:rsid w:val="006A6FEF"/>
    <w:rsid w:val="006A7692"/>
    <w:rsid w:val="006C4671"/>
    <w:rsid w:val="006D25C2"/>
    <w:rsid w:val="006E1B58"/>
    <w:rsid w:val="006E4153"/>
    <w:rsid w:val="006E7715"/>
    <w:rsid w:val="006F17A7"/>
    <w:rsid w:val="006F2EB0"/>
    <w:rsid w:val="0073256E"/>
    <w:rsid w:val="00741A0D"/>
    <w:rsid w:val="00751874"/>
    <w:rsid w:val="00753722"/>
    <w:rsid w:val="00755B2E"/>
    <w:rsid w:val="00765291"/>
    <w:rsid w:val="00767F19"/>
    <w:rsid w:val="00777E17"/>
    <w:rsid w:val="007A1E85"/>
    <w:rsid w:val="007A3C54"/>
    <w:rsid w:val="007A4A74"/>
    <w:rsid w:val="007C0A81"/>
    <w:rsid w:val="007C3288"/>
    <w:rsid w:val="007C4C9B"/>
    <w:rsid w:val="007D272C"/>
    <w:rsid w:val="007D3263"/>
    <w:rsid w:val="007D74EA"/>
    <w:rsid w:val="007E6121"/>
    <w:rsid w:val="007F020C"/>
    <w:rsid w:val="0082064B"/>
    <w:rsid w:val="00824465"/>
    <w:rsid w:val="00843DEF"/>
    <w:rsid w:val="008611A4"/>
    <w:rsid w:val="0086319B"/>
    <w:rsid w:val="00876998"/>
    <w:rsid w:val="00877654"/>
    <w:rsid w:val="0088148B"/>
    <w:rsid w:val="0088496E"/>
    <w:rsid w:val="00890AD2"/>
    <w:rsid w:val="008971DD"/>
    <w:rsid w:val="008B6A1B"/>
    <w:rsid w:val="008E24AD"/>
    <w:rsid w:val="008E55AC"/>
    <w:rsid w:val="008F1C4A"/>
    <w:rsid w:val="008F5A1C"/>
    <w:rsid w:val="008F63B8"/>
    <w:rsid w:val="008F6E96"/>
    <w:rsid w:val="00906205"/>
    <w:rsid w:val="00907CE8"/>
    <w:rsid w:val="00934AC9"/>
    <w:rsid w:val="00934B0C"/>
    <w:rsid w:val="00940C5A"/>
    <w:rsid w:val="0094553F"/>
    <w:rsid w:val="00972C34"/>
    <w:rsid w:val="0097540F"/>
    <w:rsid w:val="009759E1"/>
    <w:rsid w:val="00977850"/>
    <w:rsid w:val="00982ED3"/>
    <w:rsid w:val="009867A6"/>
    <w:rsid w:val="00992B9C"/>
    <w:rsid w:val="00992E7E"/>
    <w:rsid w:val="00996FBD"/>
    <w:rsid w:val="009B73D0"/>
    <w:rsid w:val="009C020D"/>
    <w:rsid w:val="009D580D"/>
    <w:rsid w:val="009D7C0F"/>
    <w:rsid w:val="009E120F"/>
    <w:rsid w:val="009E4E50"/>
    <w:rsid w:val="009F2B80"/>
    <w:rsid w:val="009F65E5"/>
    <w:rsid w:val="00A02EE9"/>
    <w:rsid w:val="00A0758A"/>
    <w:rsid w:val="00A07E2D"/>
    <w:rsid w:val="00A10AFA"/>
    <w:rsid w:val="00A21D04"/>
    <w:rsid w:val="00A26FC7"/>
    <w:rsid w:val="00A30E04"/>
    <w:rsid w:val="00A31101"/>
    <w:rsid w:val="00A35F97"/>
    <w:rsid w:val="00A57DA9"/>
    <w:rsid w:val="00A63433"/>
    <w:rsid w:val="00A70518"/>
    <w:rsid w:val="00A71C0F"/>
    <w:rsid w:val="00A81664"/>
    <w:rsid w:val="00A930E4"/>
    <w:rsid w:val="00A933B5"/>
    <w:rsid w:val="00AA2BDE"/>
    <w:rsid w:val="00AB49F3"/>
    <w:rsid w:val="00AC6A69"/>
    <w:rsid w:val="00AD2DFD"/>
    <w:rsid w:val="00AD5F1A"/>
    <w:rsid w:val="00AE3FA2"/>
    <w:rsid w:val="00B07DBA"/>
    <w:rsid w:val="00B16564"/>
    <w:rsid w:val="00B2619E"/>
    <w:rsid w:val="00B42E2A"/>
    <w:rsid w:val="00B5385F"/>
    <w:rsid w:val="00B5675C"/>
    <w:rsid w:val="00B56C04"/>
    <w:rsid w:val="00B63131"/>
    <w:rsid w:val="00B81FB1"/>
    <w:rsid w:val="00B9438E"/>
    <w:rsid w:val="00BC0660"/>
    <w:rsid w:val="00BD5E4A"/>
    <w:rsid w:val="00BE5212"/>
    <w:rsid w:val="00C0293D"/>
    <w:rsid w:val="00C03C9F"/>
    <w:rsid w:val="00C12D1C"/>
    <w:rsid w:val="00C146FF"/>
    <w:rsid w:val="00C14AC3"/>
    <w:rsid w:val="00C1725B"/>
    <w:rsid w:val="00C17C8D"/>
    <w:rsid w:val="00C17D03"/>
    <w:rsid w:val="00C21ED4"/>
    <w:rsid w:val="00C27425"/>
    <w:rsid w:val="00C324AD"/>
    <w:rsid w:val="00C33864"/>
    <w:rsid w:val="00C533BE"/>
    <w:rsid w:val="00C60EE6"/>
    <w:rsid w:val="00C62E1A"/>
    <w:rsid w:val="00C665E2"/>
    <w:rsid w:val="00C66930"/>
    <w:rsid w:val="00C67F5F"/>
    <w:rsid w:val="00C71D62"/>
    <w:rsid w:val="00C876D4"/>
    <w:rsid w:val="00C91248"/>
    <w:rsid w:val="00C9777E"/>
    <w:rsid w:val="00CA0E31"/>
    <w:rsid w:val="00CA1D4E"/>
    <w:rsid w:val="00CA347D"/>
    <w:rsid w:val="00CC3FB2"/>
    <w:rsid w:val="00CD5413"/>
    <w:rsid w:val="00CF7C1E"/>
    <w:rsid w:val="00D027B1"/>
    <w:rsid w:val="00D17BCA"/>
    <w:rsid w:val="00D46035"/>
    <w:rsid w:val="00D61DB9"/>
    <w:rsid w:val="00D61E40"/>
    <w:rsid w:val="00DA443A"/>
    <w:rsid w:val="00DD1D99"/>
    <w:rsid w:val="00DD6A5B"/>
    <w:rsid w:val="00DE10C6"/>
    <w:rsid w:val="00DF0BFE"/>
    <w:rsid w:val="00DF67BB"/>
    <w:rsid w:val="00E0678B"/>
    <w:rsid w:val="00E06DEC"/>
    <w:rsid w:val="00E22F8C"/>
    <w:rsid w:val="00E23CC8"/>
    <w:rsid w:val="00E35620"/>
    <w:rsid w:val="00E37122"/>
    <w:rsid w:val="00E44BEC"/>
    <w:rsid w:val="00E45713"/>
    <w:rsid w:val="00E6017C"/>
    <w:rsid w:val="00E71242"/>
    <w:rsid w:val="00E74D75"/>
    <w:rsid w:val="00E80AAA"/>
    <w:rsid w:val="00E844C6"/>
    <w:rsid w:val="00E93AD4"/>
    <w:rsid w:val="00EA117B"/>
    <w:rsid w:val="00EA336A"/>
    <w:rsid w:val="00EA4649"/>
    <w:rsid w:val="00EA5C29"/>
    <w:rsid w:val="00EA69BC"/>
    <w:rsid w:val="00EA7AEB"/>
    <w:rsid w:val="00EC47E9"/>
    <w:rsid w:val="00ED0EB3"/>
    <w:rsid w:val="00EE303D"/>
    <w:rsid w:val="00EE7C3F"/>
    <w:rsid w:val="00EF0EA5"/>
    <w:rsid w:val="00F03AE6"/>
    <w:rsid w:val="00F077B9"/>
    <w:rsid w:val="00F12383"/>
    <w:rsid w:val="00F13E1C"/>
    <w:rsid w:val="00F16212"/>
    <w:rsid w:val="00F21B59"/>
    <w:rsid w:val="00F30B7F"/>
    <w:rsid w:val="00F344D2"/>
    <w:rsid w:val="00F3503A"/>
    <w:rsid w:val="00F4423A"/>
    <w:rsid w:val="00F62D08"/>
    <w:rsid w:val="00F635B2"/>
    <w:rsid w:val="00F661CD"/>
    <w:rsid w:val="00F7794F"/>
    <w:rsid w:val="00F9055C"/>
    <w:rsid w:val="00F93B24"/>
    <w:rsid w:val="00F961B8"/>
    <w:rsid w:val="00F97115"/>
    <w:rsid w:val="00FA3F6B"/>
    <w:rsid w:val="00FA52A1"/>
    <w:rsid w:val="00FA6429"/>
    <w:rsid w:val="00FA7B4D"/>
    <w:rsid w:val="00FB2425"/>
    <w:rsid w:val="00FB3AA2"/>
    <w:rsid w:val="00FD22B2"/>
    <w:rsid w:val="00FE164E"/>
    <w:rsid w:val="00FE3132"/>
    <w:rsid w:val="00FE3FBC"/>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1648"/>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table" w:styleId="TableGrid">
    <w:name w:val="Table Grid"/>
    <w:basedOn w:val="TableNormal"/>
    <w:uiPriority w:val="39"/>
    <w:rsid w:val="00C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D"/>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AC6A6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6A69"/>
    <w:rPr>
      <w:sz w:val="20"/>
      <w:szCs w:val="20"/>
    </w:rPr>
  </w:style>
  <w:style w:type="character" w:styleId="EndnoteReference">
    <w:name w:val="endnote reference"/>
    <w:basedOn w:val="DefaultParagraphFont"/>
    <w:uiPriority w:val="99"/>
    <w:semiHidden/>
    <w:unhideWhenUsed/>
    <w:rsid w:val="00AC6A69"/>
    <w:rPr>
      <w:vertAlign w:val="superscript"/>
    </w:rPr>
  </w:style>
  <w:style w:type="character" w:styleId="Emphasis">
    <w:name w:val="Emphasis"/>
    <w:basedOn w:val="DefaultParagraphFont"/>
    <w:uiPriority w:val="20"/>
    <w:qFormat/>
    <w:rsid w:val="00940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52723">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62970860">
      <w:bodyDiv w:val="1"/>
      <w:marLeft w:val="0"/>
      <w:marRight w:val="0"/>
      <w:marTop w:val="0"/>
      <w:marBottom w:val="0"/>
      <w:divBdr>
        <w:top w:val="none" w:sz="0" w:space="0" w:color="auto"/>
        <w:left w:val="none" w:sz="0" w:space="0" w:color="auto"/>
        <w:bottom w:val="none" w:sz="0" w:space="0" w:color="auto"/>
        <w:right w:val="none" w:sz="0" w:space="0" w:color="auto"/>
      </w:divBdr>
    </w:div>
    <w:div w:id="783235595">
      <w:bodyDiv w:val="1"/>
      <w:marLeft w:val="0"/>
      <w:marRight w:val="0"/>
      <w:marTop w:val="0"/>
      <w:marBottom w:val="0"/>
      <w:divBdr>
        <w:top w:val="none" w:sz="0" w:space="0" w:color="auto"/>
        <w:left w:val="none" w:sz="0" w:space="0" w:color="auto"/>
        <w:bottom w:val="none" w:sz="0" w:space="0" w:color="auto"/>
        <w:right w:val="none" w:sz="0" w:space="0" w:color="auto"/>
      </w:divBdr>
    </w:div>
    <w:div w:id="968583458">
      <w:bodyDiv w:val="1"/>
      <w:marLeft w:val="0"/>
      <w:marRight w:val="0"/>
      <w:marTop w:val="0"/>
      <w:marBottom w:val="0"/>
      <w:divBdr>
        <w:top w:val="none" w:sz="0" w:space="0" w:color="auto"/>
        <w:left w:val="none" w:sz="0" w:space="0" w:color="auto"/>
        <w:bottom w:val="none" w:sz="0" w:space="0" w:color="auto"/>
        <w:right w:val="none" w:sz="0" w:space="0" w:color="auto"/>
      </w:divBdr>
    </w:div>
    <w:div w:id="1013072291">
      <w:bodyDiv w:val="1"/>
      <w:marLeft w:val="0"/>
      <w:marRight w:val="0"/>
      <w:marTop w:val="0"/>
      <w:marBottom w:val="0"/>
      <w:divBdr>
        <w:top w:val="none" w:sz="0" w:space="0" w:color="auto"/>
        <w:left w:val="none" w:sz="0" w:space="0" w:color="auto"/>
        <w:bottom w:val="none" w:sz="0" w:space="0" w:color="auto"/>
        <w:right w:val="none" w:sz="0" w:space="0" w:color="auto"/>
      </w:divBdr>
    </w:div>
    <w:div w:id="1030187785">
      <w:bodyDiv w:val="1"/>
      <w:marLeft w:val="0"/>
      <w:marRight w:val="0"/>
      <w:marTop w:val="0"/>
      <w:marBottom w:val="0"/>
      <w:divBdr>
        <w:top w:val="none" w:sz="0" w:space="0" w:color="auto"/>
        <w:left w:val="none" w:sz="0" w:space="0" w:color="auto"/>
        <w:bottom w:val="none" w:sz="0" w:space="0" w:color="auto"/>
        <w:right w:val="none" w:sz="0" w:space="0" w:color="auto"/>
      </w:divBdr>
    </w:div>
    <w:div w:id="1403021539">
      <w:bodyDiv w:val="1"/>
      <w:marLeft w:val="0"/>
      <w:marRight w:val="0"/>
      <w:marTop w:val="0"/>
      <w:marBottom w:val="0"/>
      <w:divBdr>
        <w:top w:val="none" w:sz="0" w:space="0" w:color="auto"/>
        <w:left w:val="none" w:sz="0" w:space="0" w:color="auto"/>
        <w:bottom w:val="none" w:sz="0" w:space="0" w:color="auto"/>
        <w:right w:val="none" w:sz="0" w:space="0" w:color="auto"/>
      </w:divBdr>
    </w:div>
    <w:div w:id="14418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p0004aplh\WM0_shared_01\Departments\InvestmentStrategies\Quarter_End_Material\Quarterly_Investment_Review\Historical\2021%20Q1\Market%20charts_Q1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'Market Performance'!$B$4</c:f>
              <c:strCache>
                <c:ptCount val="1"/>
                <c:pt idx="0">
                  <c:v>US Equities</c:v>
                </c:pt>
              </c:strCache>
            </c:strRef>
          </c:tx>
          <c:spPr>
            <a:solidFill>
              <a:schemeClr val="accent6">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Performance'!$C$4,'Market Performance'!$H$4)</c:f>
              <c:numCache>
                <c:formatCode>General</c:formatCode>
                <c:ptCount val="2"/>
                <c:pt idx="0">
                  <c:v>6.1749700000000001</c:v>
                </c:pt>
                <c:pt idx="1">
                  <c:v>18.398779999999999</c:v>
                </c:pt>
              </c:numCache>
            </c:numRef>
          </c:val>
          <c:extLst>
            <c:ext xmlns:c16="http://schemas.microsoft.com/office/drawing/2014/chart" uri="{C3380CC4-5D6E-409C-BE32-E72D297353CC}">
              <c16:uniqueId val="{00000000-D622-4D75-973D-E7ECA18F1488}"/>
            </c:ext>
          </c:extLst>
        </c:ser>
        <c:ser>
          <c:idx val="1"/>
          <c:order val="1"/>
          <c:tx>
            <c:strRef>
              <c:f>'Market Performance'!$B$5</c:f>
              <c:strCache>
                <c:ptCount val="1"/>
                <c:pt idx="0">
                  <c:v>Int'l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Performance'!$C$5,'Market Performance'!$H$5)</c:f>
              <c:numCache>
                <c:formatCode>General</c:formatCode>
                <c:ptCount val="2"/>
                <c:pt idx="0">
                  <c:v>3.5994199999999998</c:v>
                </c:pt>
                <c:pt idx="1">
                  <c:v>8.2791499999999996</c:v>
                </c:pt>
              </c:numCache>
            </c:numRef>
          </c:val>
          <c:extLst>
            <c:ext xmlns:c16="http://schemas.microsoft.com/office/drawing/2014/chart" uri="{C3380CC4-5D6E-409C-BE32-E72D297353CC}">
              <c16:uniqueId val="{00000001-D622-4D75-973D-E7ECA18F1488}"/>
            </c:ext>
          </c:extLst>
        </c:ser>
        <c:ser>
          <c:idx val="2"/>
          <c:order val="2"/>
          <c:tx>
            <c:strRef>
              <c:f>'Market Performance'!$B$6</c:f>
              <c:strCache>
                <c:ptCount val="1"/>
                <c:pt idx="0">
                  <c:v>EM Equities</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Performance'!$C$6,'Market Performance'!$H$6)</c:f>
              <c:numCache>
                <c:formatCode>General</c:formatCode>
                <c:ptCount val="2"/>
                <c:pt idx="0">
                  <c:v>2.3427899999999999</c:v>
                </c:pt>
                <c:pt idx="1">
                  <c:v>18.68722</c:v>
                </c:pt>
              </c:numCache>
            </c:numRef>
          </c:val>
          <c:extLst>
            <c:ext xmlns:c16="http://schemas.microsoft.com/office/drawing/2014/chart" uri="{C3380CC4-5D6E-409C-BE32-E72D297353CC}">
              <c16:uniqueId val="{00000002-D622-4D75-973D-E7ECA18F1488}"/>
            </c:ext>
          </c:extLst>
        </c:ser>
        <c:ser>
          <c:idx val="3"/>
          <c:order val="3"/>
          <c:tx>
            <c:strRef>
              <c:f>'Market Performance'!$B$7</c:f>
              <c:strCache>
                <c:ptCount val="1"/>
                <c:pt idx="0">
                  <c:v>US Bonds</c:v>
                </c:pt>
              </c:strCache>
            </c:strRef>
          </c:tx>
          <c:spPr>
            <a:solidFill>
              <a:schemeClr val="accent1">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Performance'!$C$7,'Market Performance'!$H$7)</c:f>
              <c:numCache>
                <c:formatCode>General</c:formatCode>
                <c:ptCount val="2"/>
                <c:pt idx="0">
                  <c:v>-3.37249</c:v>
                </c:pt>
                <c:pt idx="1">
                  <c:v>7.50664</c:v>
                </c:pt>
              </c:numCache>
            </c:numRef>
          </c:val>
          <c:extLst>
            <c:ext xmlns:c16="http://schemas.microsoft.com/office/drawing/2014/chart" uri="{C3380CC4-5D6E-409C-BE32-E72D297353CC}">
              <c16:uniqueId val="{00000003-D622-4D75-973D-E7ECA18F1488}"/>
            </c:ext>
          </c:extLst>
        </c:ser>
        <c:ser>
          <c:idx val="4"/>
          <c:order val="4"/>
          <c:tx>
            <c:strRef>
              <c:f>'Market Performance'!$B$8</c:f>
              <c:strCache>
                <c:ptCount val="1"/>
                <c:pt idx="0">
                  <c:v>Int'l Bonds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Performance'!$C$8,'Market Performance'!$H$8)</c:f>
              <c:numCache>
                <c:formatCode>General</c:formatCode>
                <c:ptCount val="2"/>
                <c:pt idx="0">
                  <c:v>-5.2906599999999999</c:v>
                </c:pt>
                <c:pt idx="1">
                  <c:v>10.106479999999999</c:v>
                </c:pt>
              </c:numCache>
            </c:numRef>
          </c:val>
          <c:extLst>
            <c:ext xmlns:c16="http://schemas.microsoft.com/office/drawing/2014/chart" uri="{C3380CC4-5D6E-409C-BE32-E72D297353CC}">
              <c16:uniqueId val="{00000004-D622-4D75-973D-E7ECA18F1488}"/>
            </c:ext>
          </c:extLst>
        </c:ser>
        <c:ser>
          <c:idx val="5"/>
          <c:order val="5"/>
          <c:tx>
            <c:strRef>
              <c:f>'Market Performance'!$B$9</c:f>
              <c:strCache>
                <c:ptCount val="1"/>
                <c:pt idx="0">
                  <c:v>EM Bonds</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Performance'!$C$9,'Market Performance'!$H$9)</c:f>
              <c:numCache>
                <c:formatCode>General</c:formatCode>
                <c:ptCount val="2"/>
                <c:pt idx="0">
                  <c:v>-3.4810099999999999</c:v>
                </c:pt>
                <c:pt idx="1">
                  <c:v>6.5205299999999999</c:v>
                </c:pt>
              </c:numCache>
            </c:numRef>
          </c:val>
          <c:extLst>
            <c:ext xmlns:c16="http://schemas.microsoft.com/office/drawing/2014/chart" uri="{C3380CC4-5D6E-409C-BE32-E72D297353CC}">
              <c16:uniqueId val="{00000005-D622-4D75-973D-E7ECA18F1488}"/>
            </c:ext>
          </c:extLst>
        </c:ser>
        <c:dLbls>
          <c:showLegendKey val="0"/>
          <c:showVal val="0"/>
          <c:showCatName val="0"/>
          <c:showSerName val="0"/>
          <c:showPercent val="0"/>
          <c:showBubbleSize val="0"/>
        </c:dLbls>
        <c:gapWidth val="219"/>
        <c:overlap val="-27"/>
        <c:axId val="1898385567"/>
        <c:axId val="1858452879"/>
      </c:barChart>
      <c:catAx>
        <c:axId val="1898385567"/>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8452879"/>
        <c:crosses val="autoZero"/>
        <c:auto val="1"/>
        <c:lblAlgn val="ctr"/>
        <c:lblOffset val="100"/>
        <c:noMultiLvlLbl val="0"/>
      </c:catAx>
      <c:valAx>
        <c:axId val="1858452879"/>
        <c:scaling>
          <c:orientation val="minMax"/>
        </c:scaling>
        <c:delete val="1"/>
        <c:axPos val="l"/>
        <c:numFmt formatCode="General" sourceLinked="1"/>
        <c:majorTickMark val="none"/>
        <c:minorTickMark val="none"/>
        <c:tickLblPos val="nextTo"/>
        <c:crossAx val="1898385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10" ma:contentTypeDescription="Create a new document." ma:contentTypeScope="" ma:versionID="2658d150be98af99731427ea3270a5bd">
  <xsd:schema xmlns:xsd="http://www.w3.org/2001/XMLSchema" xmlns:xs="http://www.w3.org/2001/XMLSchema" xmlns:p="http://schemas.microsoft.com/office/2006/metadata/properties" xmlns:ns3="544282d0-16b8-4a3b-b3e7-bd67f99b7e0f" xmlns:ns4="c316bbf3-ecf4-4ea6-8bd0-9b7acfad4581" targetNamespace="http://schemas.microsoft.com/office/2006/metadata/properties" ma:root="true" ma:fieldsID="803485e28f1a8174196fb6807ab1dabf" ns3:_="" ns4:_="">
    <xsd:import namespace="544282d0-16b8-4a3b-b3e7-bd67f99b7e0f"/>
    <xsd:import namespace="c316bbf3-ecf4-4ea6-8bd0-9b7acfad4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6bbf3-ecf4-4ea6-8bd0-9b7acfad4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645D-791C-4EE7-9E5F-AA3791FB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c316bbf3-ecf4-4ea6-8bd0-9b7acfad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731A9-96E0-466D-B58E-02877A239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D0698-4A8D-451C-B145-A083729996EF}">
  <ds:schemaRefs>
    <ds:schemaRef ds:uri="http://schemas.microsoft.com/sharepoint/v3/contenttype/forms"/>
  </ds:schemaRefs>
</ds:datastoreItem>
</file>

<file path=customXml/itemProps4.xml><?xml version="1.0" encoding="utf-8"?>
<ds:datastoreItem xmlns:ds="http://schemas.openxmlformats.org/officeDocument/2006/customXml" ds:itemID="{4D01018F-2655-4A0A-9704-EA5E690D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Johnson, Meg (AssetMark)</cp:lastModifiedBy>
  <cp:revision>2</cp:revision>
  <cp:lastPrinted>2020-01-07T17:46:00Z</cp:lastPrinted>
  <dcterms:created xsi:type="dcterms:W3CDTF">2021-04-05T23:19:00Z</dcterms:created>
  <dcterms:modified xsi:type="dcterms:W3CDTF">2021-04-05T23:19:00Z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