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rPr>
              <w:rFonts w:ascii="Arial" w:hAnsi="Arial" w:cs="Arial"/>
              <w:color w:val="004B87"/>
              <w:sz w:val="24"/>
              <w:szCs w:val="24"/>
            </w:rPr>
            <w:id w:val="-1100404251"/>
            <w:showingPlcHdr/>
            <w:picture/>
          </w:sdtPr>
          <w:sdtEndPr/>
          <w:sdtContent>
            <w:tc>
              <w:tcPr>
                <w:tcW w:w="2896" w:type="dxa"/>
              </w:tcPr>
              <w:p w14:paraId="4939F90B" w14:textId="77777777" w:rsidR="00331D05" w:rsidRPr="008B4A8A" w:rsidRDefault="00331D05" w:rsidP="003C650F">
                <w:pPr>
                  <w:spacing w:before="120" w:after="240"/>
                  <w:ind w:right="-720"/>
                  <w:rPr>
                    <w:rFonts w:ascii="Arial" w:hAnsi="Arial" w:cs="Arial"/>
                    <w:color w:val="004B87"/>
                    <w:sz w:val="24"/>
                    <w:szCs w:val="24"/>
                  </w:rPr>
                </w:pPr>
                <w:r w:rsidRPr="008B4A8A">
                  <w:rPr>
                    <w:rFonts w:ascii="Arial" w:hAnsi="Arial" w:cs="Arial"/>
                    <w:noProof/>
                    <w:color w:val="004B87"/>
                    <w:sz w:val="24"/>
                    <w:szCs w:val="24"/>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0F4ACCFF" w:rsidR="0017224E" w:rsidRPr="00586AAD" w:rsidRDefault="002E71A1"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 xml:space="preserve">The </w:t>
      </w:r>
      <w:r w:rsidR="00947588">
        <w:rPr>
          <w:rFonts w:ascii="Arial" w:hAnsi="Arial" w:cs="Arial"/>
          <w:color w:val="175E95" w:themeColor="accent1"/>
          <w:sz w:val="48"/>
          <w:szCs w:val="20"/>
        </w:rPr>
        <w:t>H</w:t>
      </w:r>
      <w:r>
        <w:rPr>
          <w:rFonts w:ascii="Arial" w:hAnsi="Arial" w:cs="Arial"/>
          <w:color w:val="175E95" w:themeColor="accent1"/>
          <w:sz w:val="48"/>
          <w:szCs w:val="20"/>
        </w:rPr>
        <w:t xml:space="preserve">idden </w:t>
      </w:r>
      <w:r w:rsidR="00947588">
        <w:rPr>
          <w:rFonts w:ascii="Arial" w:hAnsi="Arial" w:cs="Arial"/>
          <w:color w:val="175E95" w:themeColor="accent1"/>
          <w:sz w:val="48"/>
          <w:szCs w:val="20"/>
        </w:rPr>
        <w:t>R</w:t>
      </w:r>
      <w:r>
        <w:rPr>
          <w:rFonts w:ascii="Arial" w:hAnsi="Arial" w:cs="Arial"/>
          <w:color w:val="175E95" w:themeColor="accent1"/>
          <w:sz w:val="48"/>
          <w:szCs w:val="20"/>
        </w:rPr>
        <w:t xml:space="preserve">isk in </w:t>
      </w:r>
      <w:r w:rsidR="00F6243D">
        <w:rPr>
          <w:rFonts w:ascii="Arial" w:hAnsi="Arial" w:cs="Arial"/>
          <w:color w:val="175E95" w:themeColor="accent1"/>
          <w:sz w:val="48"/>
          <w:szCs w:val="20"/>
        </w:rPr>
        <w:t xml:space="preserve">the </w:t>
      </w:r>
      <w:r w:rsidR="00947588">
        <w:rPr>
          <w:rFonts w:ascii="Arial" w:hAnsi="Arial" w:cs="Arial"/>
          <w:color w:val="175E95" w:themeColor="accent1"/>
          <w:sz w:val="48"/>
          <w:szCs w:val="20"/>
        </w:rPr>
        <w:t>S</w:t>
      </w:r>
      <w:r w:rsidR="00F6243D">
        <w:rPr>
          <w:rFonts w:ascii="Arial" w:hAnsi="Arial" w:cs="Arial"/>
          <w:color w:val="175E95" w:themeColor="accent1"/>
          <w:sz w:val="48"/>
          <w:szCs w:val="20"/>
        </w:rPr>
        <w:t xml:space="preserve">tock </w:t>
      </w:r>
      <w:r w:rsidR="00947588">
        <w:rPr>
          <w:rFonts w:ascii="Arial" w:hAnsi="Arial" w:cs="Arial"/>
          <w:color w:val="175E95" w:themeColor="accent1"/>
          <w:sz w:val="48"/>
          <w:szCs w:val="20"/>
        </w:rPr>
        <w:t>M</w:t>
      </w:r>
      <w:r w:rsidR="00F6243D">
        <w:rPr>
          <w:rFonts w:ascii="Arial" w:hAnsi="Arial" w:cs="Arial"/>
          <w:color w:val="175E95" w:themeColor="accent1"/>
          <w:sz w:val="48"/>
          <w:szCs w:val="20"/>
        </w:rPr>
        <w:t>ark</w:t>
      </w:r>
      <w:r w:rsidR="00096A6C">
        <w:rPr>
          <w:rFonts w:ascii="Arial" w:hAnsi="Arial" w:cs="Arial"/>
          <w:color w:val="175E95" w:themeColor="accent1"/>
          <w:sz w:val="48"/>
          <w:szCs w:val="20"/>
        </w:rPr>
        <w:t>et</w:t>
      </w:r>
    </w:p>
    <w:p w14:paraId="0DB90045" w14:textId="4A544255" w:rsidR="007A371C" w:rsidRDefault="006A20D7" w:rsidP="000A760B">
      <w:pPr>
        <w:spacing w:after="120"/>
        <w:ind w:left="-720" w:right="-720"/>
        <w:rPr>
          <w:rFonts w:ascii="Arial" w:hAnsi="Arial" w:cs="Arial"/>
          <w:sz w:val="20"/>
          <w:szCs w:val="20"/>
        </w:rPr>
      </w:pPr>
      <w:r>
        <w:rPr>
          <w:rFonts w:ascii="Arial" w:hAnsi="Arial" w:cs="Arial"/>
          <w:sz w:val="20"/>
          <w:szCs w:val="20"/>
        </w:rPr>
        <w:t>2021 delivered another stellar year in US stock markets.  The S&amp;P 500 index</w:t>
      </w:r>
      <w:r w:rsidR="00F56A0B">
        <w:rPr>
          <w:rFonts w:ascii="Arial" w:hAnsi="Arial" w:cs="Arial"/>
          <w:sz w:val="20"/>
          <w:szCs w:val="20"/>
        </w:rPr>
        <w:t xml:space="preserve">, a commonly used benchmark to measure </w:t>
      </w:r>
      <w:r w:rsidR="004D6FD9">
        <w:rPr>
          <w:rFonts w:ascii="Arial" w:hAnsi="Arial" w:cs="Arial"/>
          <w:sz w:val="20"/>
          <w:szCs w:val="20"/>
        </w:rPr>
        <w:t xml:space="preserve">the US </w:t>
      </w:r>
      <w:r w:rsidR="004D6FD9" w:rsidRPr="00FA2601">
        <w:rPr>
          <w:rFonts w:ascii="Arial" w:hAnsi="Arial" w:cs="Arial"/>
          <w:sz w:val="20"/>
          <w:szCs w:val="20"/>
        </w:rPr>
        <w:t>stock market</w:t>
      </w:r>
      <w:r w:rsidR="00C45786" w:rsidRPr="00FA2601">
        <w:rPr>
          <w:rFonts w:ascii="Arial" w:hAnsi="Arial" w:cs="Arial"/>
          <w:sz w:val="20"/>
          <w:szCs w:val="20"/>
        </w:rPr>
        <w:t>,</w:t>
      </w:r>
      <w:r w:rsidRPr="00FA2601">
        <w:rPr>
          <w:rFonts w:ascii="Arial" w:hAnsi="Arial" w:cs="Arial"/>
          <w:sz w:val="20"/>
          <w:szCs w:val="20"/>
        </w:rPr>
        <w:t xml:space="preserve"> generated </w:t>
      </w:r>
      <w:r w:rsidR="00297580" w:rsidRPr="00FA2601">
        <w:rPr>
          <w:rFonts w:ascii="Arial" w:hAnsi="Arial" w:cs="Arial"/>
          <w:sz w:val="20"/>
          <w:szCs w:val="20"/>
        </w:rPr>
        <w:t>26.9</w:t>
      </w:r>
      <w:r w:rsidRPr="00FA2601">
        <w:rPr>
          <w:rFonts w:ascii="Arial" w:hAnsi="Arial" w:cs="Arial"/>
          <w:sz w:val="20"/>
          <w:szCs w:val="20"/>
        </w:rPr>
        <w:t>%</w:t>
      </w:r>
      <w:r>
        <w:rPr>
          <w:rFonts w:ascii="Arial" w:hAnsi="Arial" w:cs="Arial"/>
          <w:sz w:val="20"/>
          <w:szCs w:val="20"/>
        </w:rPr>
        <w:t xml:space="preserve"> </w:t>
      </w:r>
      <w:r w:rsidR="00297580">
        <w:rPr>
          <w:rFonts w:ascii="Arial" w:hAnsi="Arial" w:cs="Arial"/>
          <w:sz w:val="20"/>
          <w:szCs w:val="20"/>
        </w:rPr>
        <w:t>excluding</w:t>
      </w:r>
      <w:r>
        <w:rPr>
          <w:rFonts w:ascii="Arial" w:hAnsi="Arial" w:cs="Arial"/>
          <w:sz w:val="20"/>
          <w:szCs w:val="20"/>
        </w:rPr>
        <w:t xml:space="preserve"> dividends</w:t>
      </w:r>
      <w:r w:rsidR="000C7B36">
        <w:rPr>
          <w:rStyle w:val="EndnoteReference"/>
          <w:rFonts w:ascii="Arial" w:hAnsi="Arial" w:cs="Arial"/>
          <w:sz w:val="20"/>
          <w:szCs w:val="20"/>
        </w:rPr>
        <w:endnoteReference w:id="1"/>
      </w:r>
      <w:r>
        <w:rPr>
          <w:rFonts w:ascii="Arial" w:hAnsi="Arial" w:cs="Arial"/>
          <w:sz w:val="20"/>
          <w:szCs w:val="20"/>
        </w:rPr>
        <w:t xml:space="preserve">. The index </w:t>
      </w:r>
      <w:r w:rsidR="000C674B">
        <w:rPr>
          <w:rFonts w:ascii="Arial" w:hAnsi="Arial" w:cs="Arial"/>
          <w:sz w:val="20"/>
          <w:szCs w:val="20"/>
        </w:rPr>
        <w:t>hit</w:t>
      </w:r>
      <w:r>
        <w:rPr>
          <w:rFonts w:ascii="Arial" w:hAnsi="Arial" w:cs="Arial"/>
          <w:sz w:val="20"/>
          <w:szCs w:val="20"/>
        </w:rPr>
        <w:t xml:space="preserve"> 70 new all-time high</w:t>
      </w:r>
      <w:r w:rsidR="000C674B">
        <w:rPr>
          <w:rFonts w:ascii="Arial" w:hAnsi="Arial" w:cs="Arial"/>
          <w:sz w:val="20"/>
          <w:szCs w:val="20"/>
        </w:rPr>
        <w:t>s</w:t>
      </w:r>
      <w:r w:rsidR="00707886">
        <w:rPr>
          <w:rFonts w:ascii="Arial" w:hAnsi="Arial" w:cs="Arial"/>
          <w:sz w:val="20"/>
          <w:szCs w:val="20"/>
        </w:rPr>
        <w:t>,</w:t>
      </w:r>
      <w:r>
        <w:rPr>
          <w:rFonts w:ascii="Arial" w:hAnsi="Arial" w:cs="Arial"/>
          <w:sz w:val="20"/>
          <w:szCs w:val="20"/>
        </w:rPr>
        <w:t xml:space="preserve"> the second highest on record since 1995 when the market hit 77 </w:t>
      </w:r>
      <w:r w:rsidR="000C674B">
        <w:rPr>
          <w:rFonts w:ascii="Arial" w:hAnsi="Arial" w:cs="Arial"/>
          <w:sz w:val="20"/>
          <w:szCs w:val="20"/>
        </w:rPr>
        <w:t xml:space="preserve">all-time </w:t>
      </w:r>
      <w:r>
        <w:rPr>
          <w:rFonts w:ascii="Arial" w:hAnsi="Arial" w:cs="Arial"/>
          <w:sz w:val="20"/>
          <w:szCs w:val="20"/>
        </w:rPr>
        <w:t>highs</w:t>
      </w:r>
      <w:r w:rsidR="000C7B36">
        <w:rPr>
          <w:rStyle w:val="EndnoteReference"/>
          <w:rFonts w:ascii="Arial" w:hAnsi="Arial" w:cs="Arial"/>
          <w:sz w:val="20"/>
          <w:szCs w:val="20"/>
        </w:rPr>
        <w:endnoteReference w:id="2"/>
      </w:r>
      <w:r>
        <w:rPr>
          <w:rFonts w:ascii="Arial" w:hAnsi="Arial" w:cs="Arial"/>
          <w:sz w:val="20"/>
          <w:szCs w:val="20"/>
        </w:rPr>
        <w:t>.</w:t>
      </w:r>
      <w:r w:rsidR="00AA5D81">
        <w:rPr>
          <w:rFonts w:ascii="Arial" w:hAnsi="Arial" w:cs="Arial"/>
          <w:sz w:val="20"/>
          <w:szCs w:val="20"/>
        </w:rPr>
        <w:t xml:space="preserve"> This is also the third consecutive year with double digit gains.</w:t>
      </w:r>
      <w:r>
        <w:rPr>
          <w:rFonts w:ascii="Arial" w:hAnsi="Arial" w:cs="Arial"/>
          <w:sz w:val="20"/>
          <w:szCs w:val="20"/>
        </w:rPr>
        <w:t xml:space="preserve"> Surely all of this sounds ideal for investors. However, a look under the hood reveals some of the nuances of how the returns were generated and likely reveals a hidden risk </w:t>
      </w:r>
      <w:r w:rsidR="00707886">
        <w:rPr>
          <w:rFonts w:ascii="Arial" w:hAnsi="Arial" w:cs="Arial"/>
          <w:sz w:val="20"/>
          <w:szCs w:val="20"/>
        </w:rPr>
        <w:t>for which</w:t>
      </w:r>
      <w:r>
        <w:rPr>
          <w:rFonts w:ascii="Arial" w:hAnsi="Arial" w:cs="Arial"/>
          <w:sz w:val="20"/>
          <w:szCs w:val="20"/>
        </w:rPr>
        <w:t xml:space="preserve"> investors should be aware.</w:t>
      </w:r>
      <w:r w:rsidR="002960FC">
        <w:rPr>
          <w:rFonts w:ascii="Arial" w:hAnsi="Arial" w:cs="Arial"/>
          <w:sz w:val="20"/>
          <w:szCs w:val="20"/>
        </w:rPr>
        <w:t xml:space="preserve"> </w:t>
      </w:r>
      <w:r w:rsidR="008014E7">
        <w:rPr>
          <w:rFonts w:ascii="Arial" w:hAnsi="Arial" w:cs="Arial"/>
          <w:sz w:val="20"/>
          <w:szCs w:val="20"/>
        </w:rPr>
        <w:t xml:space="preserve"> </w:t>
      </w:r>
    </w:p>
    <w:p w14:paraId="23352474" w14:textId="314A4DE9" w:rsidR="007A371C" w:rsidRPr="00FA2601" w:rsidRDefault="006F6129" w:rsidP="007A371C">
      <w:pPr>
        <w:spacing w:after="120"/>
        <w:ind w:left="-720" w:right="-720"/>
        <w:rPr>
          <w:rStyle w:val="IntenseEmphasis"/>
          <w:rFonts w:ascii="Arial" w:hAnsi="Arial" w:cs="Arial"/>
        </w:rPr>
      </w:pPr>
      <w:r w:rsidRPr="00FA2601">
        <w:rPr>
          <w:rStyle w:val="IntenseEmphasis"/>
          <w:rFonts w:ascii="Arial" w:hAnsi="Arial" w:cs="Arial"/>
        </w:rPr>
        <w:t>Understanding the S&amp;P 500 index</w:t>
      </w:r>
    </w:p>
    <w:p w14:paraId="3C953423" w14:textId="54FC5FC2" w:rsidR="00AB012A" w:rsidRDefault="00F56A0B" w:rsidP="000A760B">
      <w:pPr>
        <w:spacing w:after="120"/>
        <w:ind w:left="-720" w:right="-720"/>
        <w:rPr>
          <w:rFonts w:ascii="Arial" w:hAnsi="Arial" w:cs="Arial"/>
          <w:sz w:val="20"/>
          <w:szCs w:val="20"/>
        </w:rPr>
      </w:pPr>
      <w:r>
        <w:rPr>
          <w:rFonts w:ascii="Arial" w:hAnsi="Arial" w:cs="Arial"/>
          <w:sz w:val="20"/>
          <w:szCs w:val="20"/>
        </w:rPr>
        <w:t>To understand the details, let</w:t>
      </w:r>
      <w:r w:rsidR="00707886">
        <w:rPr>
          <w:rFonts w:ascii="Arial" w:hAnsi="Arial" w:cs="Arial"/>
          <w:sz w:val="20"/>
          <w:szCs w:val="20"/>
        </w:rPr>
        <w:t>’</w:t>
      </w:r>
      <w:r>
        <w:rPr>
          <w:rFonts w:ascii="Arial" w:hAnsi="Arial" w:cs="Arial"/>
          <w:sz w:val="20"/>
          <w:szCs w:val="20"/>
        </w:rPr>
        <w:t>s take a brief look at how this commonly used benchmark is constructed. The S&amp;P 500 tracks the market capitalization of the roughly 500 companies included in the index. Market cap</w:t>
      </w:r>
      <w:r w:rsidR="00707886">
        <w:rPr>
          <w:rFonts w:ascii="Arial" w:hAnsi="Arial" w:cs="Arial"/>
          <w:sz w:val="20"/>
          <w:szCs w:val="20"/>
        </w:rPr>
        <w:t>italization</w:t>
      </w:r>
      <w:r>
        <w:rPr>
          <w:rFonts w:ascii="Arial" w:hAnsi="Arial" w:cs="Arial"/>
          <w:sz w:val="20"/>
          <w:szCs w:val="20"/>
        </w:rPr>
        <w:t xml:space="preserve"> is calculated by multiplying the number of </w:t>
      </w:r>
      <w:r w:rsidR="00E94C4B">
        <w:rPr>
          <w:rFonts w:ascii="Arial" w:hAnsi="Arial" w:cs="Arial"/>
          <w:sz w:val="20"/>
          <w:szCs w:val="20"/>
        </w:rPr>
        <w:t>shares</w:t>
      </w:r>
      <w:r>
        <w:rPr>
          <w:rFonts w:ascii="Arial" w:hAnsi="Arial" w:cs="Arial"/>
          <w:sz w:val="20"/>
          <w:szCs w:val="20"/>
        </w:rPr>
        <w:t xml:space="preserve"> a company ha</w:t>
      </w:r>
      <w:r w:rsidR="00E94C4B">
        <w:rPr>
          <w:rFonts w:ascii="Arial" w:hAnsi="Arial" w:cs="Arial"/>
          <w:sz w:val="20"/>
          <w:szCs w:val="20"/>
        </w:rPr>
        <w:t xml:space="preserve">s by its current stock price. As an example, if a company has </w:t>
      </w:r>
      <w:r w:rsidR="00155B0B">
        <w:rPr>
          <w:rFonts w:ascii="Arial" w:hAnsi="Arial" w:cs="Arial"/>
          <w:sz w:val="20"/>
          <w:szCs w:val="20"/>
        </w:rPr>
        <w:t>one</w:t>
      </w:r>
      <w:r w:rsidR="00E94C4B">
        <w:rPr>
          <w:rFonts w:ascii="Arial" w:hAnsi="Arial" w:cs="Arial"/>
          <w:sz w:val="20"/>
          <w:szCs w:val="20"/>
        </w:rPr>
        <w:t xml:space="preserve"> million shares</w:t>
      </w:r>
      <w:r w:rsidR="00155B0B">
        <w:rPr>
          <w:rFonts w:ascii="Arial" w:hAnsi="Arial" w:cs="Arial"/>
          <w:sz w:val="20"/>
          <w:szCs w:val="20"/>
        </w:rPr>
        <w:t xml:space="preserve"> </w:t>
      </w:r>
      <w:r w:rsidR="00E94C4B">
        <w:rPr>
          <w:rFonts w:ascii="Arial" w:hAnsi="Arial" w:cs="Arial"/>
          <w:sz w:val="20"/>
          <w:szCs w:val="20"/>
        </w:rPr>
        <w:t xml:space="preserve">and its stock price is $10, then the company’s market cap is $10 million. </w:t>
      </w:r>
      <w:r w:rsidR="00AA5D81">
        <w:rPr>
          <w:rFonts w:ascii="Arial" w:hAnsi="Arial" w:cs="Arial"/>
          <w:sz w:val="20"/>
          <w:szCs w:val="20"/>
        </w:rPr>
        <w:t xml:space="preserve">As of December 31, 2021, the S&amp;P 500 total value or </w:t>
      </w:r>
      <w:r w:rsidR="00707886">
        <w:rPr>
          <w:rFonts w:ascii="Arial" w:hAnsi="Arial" w:cs="Arial"/>
          <w:sz w:val="20"/>
          <w:szCs w:val="20"/>
        </w:rPr>
        <w:t xml:space="preserve">aggregate </w:t>
      </w:r>
      <w:r w:rsidR="00AA5D81">
        <w:rPr>
          <w:rFonts w:ascii="Arial" w:hAnsi="Arial" w:cs="Arial"/>
          <w:sz w:val="20"/>
          <w:szCs w:val="20"/>
        </w:rPr>
        <w:t xml:space="preserve">market cap </w:t>
      </w:r>
      <w:r w:rsidR="00707886">
        <w:rPr>
          <w:rFonts w:ascii="Arial" w:hAnsi="Arial" w:cs="Arial"/>
          <w:sz w:val="20"/>
          <w:szCs w:val="20"/>
        </w:rPr>
        <w:t xml:space="preserve">of all companies in the S&amp;P </w:t>
      </w:r>
      <w:r w:rsidR="00AA5D81">
        <w:rPr>
          <w:rFonts w:ascii="Arial" w:hAnsi="Arial" w:cs="Arial"/>
          <w:sz w:val="20"/>
          <w:szCs w:val="20"/>
        </w:rPr>
        <w:t>is approximately $42.3 trillion</w:t>
      </w:r>
      <w:r w:rsidR="000C7B36">
        <w:rPr>
          <w:rStyle w:val="EndnoteReference"/>
          <w:rFonts w:ascii="Arial" w:hAnsi="Arial" w:cs="Arial"/>
          <w:sz w:val="20"/>
          <w:szCs w:val="20"/>
        </w:rPr>
        <w:endnoteReference w:id="3"/>
      </w:r>
      <w:r w:rsidR="00AA5D81">
        <w:rPr>
          <w:rFonts w:ascii="Arial" w:hAnsi="Arial" w:cs="Arial"/>
          <w:sz w:val="20"/>
          <w:szCs w:val="20"/>
        </w:rPr>
        <w:t xml:space="preserve">. </w:t>
      </w:r>
      <w:r w:rsidR="00E94C4B">
        <w:rPr>
          <w:rFonts w:ascii="Arial" w:hAnsi="Arial" w:cs="Arial"/>
          <w:sz w:val="20"/>
          <w:szCs w:val="20"/>
        </w:rPr>
        <w:t xml:space="preserve">However, not all 500 stocks </w:t>
      </w:r>
      <w:r w:rsidR="004D6FD9">
        <w:rPr>
          <w:rFonts w:ascii="Arial" w:hAnsi="Arial" w:cs="Arial"/>
          <w:sz w:val="20"/>
          <w:szCs w:val="20"/>
        </w:rPr>
        <w:t>represent 1/500</w:t>
      </w:r>
      <w:r w:rsidR="004D6FD9" w:rsidRPr="004D6FD9">
        <w:rPr>
          <w:rFonts w:ascii="Arial" w:hAnsi="Arial" w:cs="Arial"/>
          <w:sz w:val="20"/>
          <w:szCs w:val="20"/>
          <w:vertAlign w:val="superscript"/>
        </w:rPr>
        <w:t>th</w:t>
      </w:r>
      <w:r w:rsidR="004D6FD9">
        <w:rPr>
          <w:rFonts w:ascii="Arial" w:hAnsi="Arial" w:cs="Arial"/>
          <w:sz w:val="20"/>
          <w:szCs w:val="20"/>
        </w:rPr>
        <w:t xml:space="preserve"> of the index. The index gives larger companies a higher weighting and thus the larger companies can skew the performance of the index.  </w:t>
      </w:r>
    </w:p>
    <w:p w14:paraId="04B39F01" w14:textId="619EB07B" w:rsidR="00C74D6C" w:rsidRDefault="00E1321A" w:rsidP="000A760B">
      <w:pPr>
        <w:spacing w:after="120"/>
        <w:ind w:left="-720" w:right="-720"/>
        <w:rPr>
          <w:rFonts w:ascii="Arial" w:hAnsi="Arial" w:cs="Arial"/>
          <w:sz w:val="20"/>
          <w:szCs w:val="20"/>
        </w:rPr>
      </w:pPr>
      <w:r>
        <w:rPr>
          <w:noProof/>
        </w:rPr>
        <w:drawing>
          <wp:anchor distT="0" distB="0" distL="114300" distR="114300" simplePos="0" relativeHeight="251670528" behindDoc="0" locked="0" layoutInCell="1" allowOverlap="1" wp14:anchorId="54BD05B8" wp14:editId="21537D95">
            <wp:simplePos x="0" y="0"/>
            <wp:positionH relativeFrom="margin">
              <wp:posOffset>3067050</wp:posOffset>
            </wp:positionH>
            <wp:positionV relativeFrom="paragraph">
              <wp:posOffset>2540</wp:posOffset>
            </wp:positionV>
            <wp:extent cx="3117850" cy="1684655"/>
            <wp:effectExtent l="0" t="0" r="6350" b="0"/>
            <wp:wrapTopAndBottom/>
            <wp:docPr id="18" name="Picture 18" descr="A chart displaying the top 10 S&amp;P 500 names accounted for nearly 2/3 of the 2021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hart displaying the top 10 S&amp;P 500 names accounted for nearly 2/3 of the 2021 retur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85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18D">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06EFE4CC" wp14:editId="33334902">
                <wp:simplePos x="0" y="0"/>
                <wp:positionH relativeFrom="column">
                  <wp:posOffset>2990850</wp:posOffset>
                </wp:positionH>
                <wp:positionV relativeFrom="paragraph">
                  <wp:posOffset>1831340</wp:posOffset>
                </wp:positionV>
                <wp:extent cx="3575050" cy="3619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361950"/>
                        </a:xfrm>
                        <a:prstGeom prst="rect">
                          <a:avLst/>
                        </a:prstGeom>
                        <a:solidFill>
                          <a:srgbClr val="FFFFFF"/>
                        </a:solidFill>
                        <a:ln w="9525">
                          <a:noFill/>
                          <a:miter lim="800000"/>
                          <a:headEnd/>
                          <a:tailEnd/>
                        </a:ln>
                      </wps:spPr>
                      <wps:txbx>
                        <w:txbxContent>
                          <w:p w14:paraId="15134B89" w14:textId="099E2B62" w:rsidR="0083518D" w:rsidRPr="00BA149E" w:rsidRDefault="0083518D" w:rsidP="00FA2601">
                            <w:pPr>
                              <w:spacing w:after="120"/>
                              <w:ind w:left="-90" w:right="290"/>
                              <w:rPr>
                                <w:rFonts w:ascii="Arial" w:hAnsi="Arial" w:cs="Arial"/>
                                <w:color w:val="666666" w:themeColor="background2" w:themeShade="80"/>
                                <w:sz w:val="16"/>
                                <w:szCs w:val="16"/>
                              </w:rPr>
                            </w:pPr>
                            <w:r>
                              <w:rPr>
                                <w:rFonts w:ascii="Arial" w:hAnsi="Arial" w:cs="Arial"/>
                                <w:color w:val="666666" w:themeColor="background2" w:themeShade="80"/>
                                <w:sz w:val="16"/>
                                <w:szCs w:val="16"/>
                              </w:rPr>
                              <w:t>Source</w:t>
                            </w:r>
                            <w:r w:rsidRPr="00BA149E">
                              <w:rPr>
                                <w:rFonts w:ascii="Arial" w:hAnsi="Arial" w:cs="Arial"/>
                                <w:color w:val="666666" w:themeColor="background2" w:themeShade="80"/>
                                <w:sz w:val="16"/>
                                <w:szCs w:val="16"/>
                              </w:rPr>
                              <w:t xml:space="preserve">: </w:t>
                            </w:r>
                            <w:r>
                              <w:rPr>
                                <w:rFonts w:ascii="Arial" w:hAnsi="Arial" w:cs="Arial"/>
                                <w:color w:val="666666" w:themeColor="background2" w:themeShade="80"/>
                                <w:sz w:val="16"/>
                                <w:szCs w:val="16"/>
                              </w:rPr>
                              <w:t>JPMorgan Asset Management. What will happen to the top 10 S&amp;P 500 companies in 2022?</w:t>
                            </w:r>
                          </w:p>
                          <w:p w14:paraId="4FED6561" w14:textId="4033FC09" w:rsidR="0083518D" w:rsidRDefault="0083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E4CC" id="_x0000_t202" coordsize="21600,21600" o:spt="202" path="m,l,21600r21600,l21600,xe">
                <v:stroke joinstyle="miter"/>
                <v:path gradientshapeok="t" o:connecttype="rect"/>
              </v:shapetype>
              <v:shape id="Text Box 2" o:spid="_x0000_s1026" type="#_x0000_t202" style="position:absolute;left:0;text-align:left;margin-left:235.5pt;margin-top:144.2pt;width:281.5pt;height:2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" stroked="f">
                <v:textbox>
                  <w:txbxContent>
                    <w:p w14:paraId="15134B89" w14:textId="099E2B62" w:rsidR="0083518D" w:rsidRPr="00BA149E" w:rsidRDefault="0083518D" w:rsidP="00FA2601">
                      <w:pPr>
                        <w:spacing w:after="120"/>
                        <w:ind w:left="-90" w:right="290"/>
                        <w:rPr>
                          <w:rFonts w:ascii="Arial" w:hAnsi="Arial" w:cs="Arial"/>
                          <w:color w:val="666666" w:themeColor="background2" w:themeShade="80"/>
                          <w:sz w:val="16"/>
                          <w:szCs w:val="16"/>
                        </w:rPr>
                      </w:pPr>
                      <w:r>
                        <w:rPr>
                          <w:rFonts w:ascii="Arial" w:hAnsi="Arial" w:cs="Arial"/>
                          <w:color w:val="666666" w:themeColor="background2" w:themeShade="80"/>
                          <w:sz w:val="16"/>
                          <w:szCs w:val="16"/>
                        </w:rPr>
                        <w:t>Source</w:t>
                      </w:r>
                      <w:r w:rsidRPr="00BA149E">
                        <w:rPr>
                          <w:rFonts w:ascii="Arial" w:hAnsi="Arial" w:cs="Arial"/>
                          <w:color w:val="666666" w:themeColor="background2" w:themeShade="80"/>
                          <w:sz w:val="16"/>
                          <w:szCs w:val="16"/>
                        </w:rPr>
                        <w:t xml:space="preserve">: </w:t>
                      </w:r>
                      <w:r>
                        <w:rPr>
                          <w:rFonts w:ascii="Arial" w:hAnsi="Arial" w:cs="Arial"/>
                          <w:color w:val="666666" w:themeColor="background2" w:themeShade="80"/>
                          <w:sz w:val="16"/>
                          <w:szCs w:val="16"/>
                        </w:rPr>
                        <w:t>JPMorgan Asset Management. What will happen to the top 10 S&amp;P 500 companies in 2022?</w:t>
                      </w:r>
                    </w:p>
                    <w:p w14:paraId="4FED6561" w14:textId="4033FC09" w:rsidR="0083518D" w:rsidRDefault="0083518D"/>
                  </w:txbxContent>
                </v:textbox>
                <w10:wrap type="square"/>
              </v:shape>
            </w:pict>
          </mc:Fallback>
        </mc:AlternateContent>
      </w:r>
      <w:r w:rsidR="00297580">
        <w:rPr>
          <w:rFonts w:ascii="Arial" w:hAnsi="Arial" w:cs="Arial"/>
          <w:sz w:val="20"/>
          <w:szCs w:val="20"/>
        </w:rPr>
        <w:t xml:space="preserve">As of December </w:t>
      </w:r>
      <w:r w:rsidR="00707886">
        <w:rPr>
          <w:rFonts w:ascii="Arial" w:hAnsi="Arial" w:cs="Arial"/>
          <w:sz w:val="20"/>
          <w:szCs w:val="20"/>
        </w:rPr>
        <w:t xml:space="preserve">31, </w:t>
      </w:r>
      <w:r w:rsidR="00297580">
        <w:rPr>
          <w:rFonts w:ascii="Arial" w:hAnsi="Arial" w:cs="Arial"/>
          <w:sz w:val="20"/>
          <w:szCs w:val="20"/>
        </w:rPr>
        <w:t>2021</w:t>
      </w:r>
      <w:r w:rsidR="00D82D3D">
        <w:rPr>
          <w:rFonts w:ascii="Arial" w:hAnsi="Arial" w:cs="Arial"/>
          <w:sz w:val="20"/>
          <w:szCs w:val="20"/>
        </w:rPr>
        <w:t>, the 10 largest companies in the S&amp;P 500 represent roughly 3</w:t>
      </w:r>
      <w:r w:rsidR="00EB05BF">
        <w:rPr>
          <w:rFonts w:ascii="Arial" w:hAnsi="Arial" w:cs="Arial"/>
          <w:sz w:val="20"/>
          <w:szCs w:val="20"/>
        </w:rPr>
        <w:t>1</w:t>
      </w:r>
      <w:r w:rsidR="00D82D3D">
        <w:rPr>
          <w:rFonts w:ascii="Arial" w:hAnsi="Arial" w:cs="Arial"/>
          <w:sz w:val="20"/>
          <w:szCs w:val="20"/>
        </w:rPr>
        <w:t>% of the entire index</w:t>
      </w:r>
      <w:r w:rsidR="00A57D3D">
        <w:rPr>
          <w:rFonts w:ascii="Arial" w:hAnsi="Arial" w:cs="Arial"/>
          <w:sz w:val="20"/>
          <w:szCs w:val="20"/>
        </w:rPr>
        <w:t>.</w:t>
      </w:r>
      <w:r w:rsidR="00D82D3D">
        <w:rPr>
          <w:rFonts w:ascii="Arial" w:hAnsi="Arial" w:cs="Arial"/>
          <w:sz w:val="20"/>
          <w:szCs w:val="20"/>
        </w:rPr>
        <w:t xml:space="preserve"> This is the highest percentage ever recorded, moving past the highs of </w:t>
      </w:r>
      <w:r w:rsidR="00707886">
        <w:rPr>
          <w:rFonts w:ascii="Arial" w:hAnsi="Arial" w:cs="Arial"/>
          <w:sz w:val="20"/>
          <w:szCs w:val="20"/>
        </w:rPr>
        <w:t xml:space="preserve">the </w:t>
      </w:r>
      <w:r w:rsidR="00D82D3D">
        <w:rPr>
          <w:rFonts w:ascii="Arial" w:hAnsi="Arial" w:cs="Arial"/>
          <w:sz w:val="20"/>
          <w:szCs w:val="20"/>
        </w:rPr>
        <w:t xml:space="preserve">tech </w:t>
      </w:r>
      <w:r w:rsidR="00D82D3D" w:rsidRPr="00631170">
        <w:rPr>
          <w:rFonts w:ascii="Arial" w:hAnsi="Arial" w:cs="Arial"/>
          <w:sz w:val="20"/>
          <w:szCs w:val="20"/>
        </w:rPr>
        <w:t xml:space="preserve">bubble in 2000. In addition, the current figure is noteworthy because the top </w:t>
      </w:r>
      <w:r w:rsidR="00E73A0C" w:rsidRPr="00631170">
        <w:rPr>
          <w:rFonts w:ascii="Arial" w:hAnsi="Arial" w:cs="Arial"/>
          <w:sz w:val="20"/>
          <w:szCs w:val="20"/>
        </w:rPr>
        <w:t>10 market</w:t>
      </w:r>
      <w:r w:rsidR="00D82D3D" w:rsidRPr="00631170">
        <w:rPr>
          <w:rFonts w:ascii="Arial" w:hAnsi="Arial" w:cs="Arial"/>
          <w:sz w:val="20"/>
          <w:szCs w:val="20"/>
        </w:rPr>
        <w:t xml:space="preserve"> cap </w:t>
      </w:r>
      <w:r w:rsidR="00EB05BF" w:rsidRPr="00631170">
        <w:rPr>
          <w:rFonts w:ascii="Arial" w:hAnsi="Arial" w:cs="Arial"/>
          <w:sz w:val="20"/>
          <w:szCs w:val="20"/>
        </w:rPr>
        <w:t>nearly</w:t>
      </w:r>
      <w:r w:rsidR="00D82D3D" w:rsidRPr="00631170">
        <w:rPr>
          <w:rFonts w:ascii="Arial" w:hAnsi="Arial" w:cs="Arial"/>
          <w:sz w:val="20"/>
          <w:szCs w:val="20"/>
        </w:rPr>
        <w:t xml:space="preserve"> doubled </w:t>
      </w:r>
      <w:r w:rsidR="00AC3CA0" w:rsidRPr="00631170">
        <w:rPr>
          <w:rFonts w:ascii="Arial" w:hAnsi="Arial" w:cs="Arial"/>
          <w:sz w:val="20"/>
          <w:szCs w:val="20"/>
        </w:rPr>
        <w:t xml:space="preserve">from 16% representation </w:t>
      </w:r>
      <w:r w:rsidR="00D82D3D" w:rsidRPr="00631170">
        <w:rPr>
          <w:rFonts w:ascii="Arial" w:hAnsi="Arial" w:cs="Arial"/>
          <w:sz w:val="20"/>
          <w:szCs w:val="20"/>
        </w:rPr>
        <w:t xml:space="preserve">since 2015. </w:t>
      </w:r>
      <w:r w:rsidR="00E73A0C" w:rsidRPr="00631170">
        <w:rPr>
          <w:rFonts w:ascii="Arial" w:hAnsi="Arial" w:cs="Arial"/>
          <w:sz w:val="20"/>
          <w:szCs w:val="20"/>
        </w:rPr>
        <w:t>This rapid increase has come as companies like Apple</w:t>
      </w:r>
      <w:r w:rsidR="00A36AEF" w:rsidRPr="00631170">
        <w:rPr>
          <w:rFonts w:ascii="Arial" w:hAnsi="Arial" w:cs="Arial"/>
          <w:sz w:val="20"/>
          <w:szCs w:val="20"/>
        </w:rPr>
        <w:t>, Amazon</w:t>
      </w:r>
      <w:r w:rsidR="001F0944" w:rsidRPr="00631170">
        <w:rPr>
          <w:rFonts w:ascii="Arial" w:hAnsi="Arial" w:cs="Arial"/>
          <w:sz w:val="20"/>
          <w:szCs w:val="20"/>
        </w:rPr>
        <w:t>,</w:t>
      </w:r>
      <w:r w:rsidR="00A36AEF" w:rsidRPr="00631170">
        <w:rPr>
          <w:rFonts w:ascii="Arial" w:hAnsi="Arial" w:cs="Arial"/>
          <w:sz w:val="20"/>
          <w:szCs w:val="20"/>
        </w:rPr>
        <w:t xml:space="preserve"> and Tesla</w:t>
      </w:r>
      <w:r w:rsidR="00E73A0C" w:rsidRPr="00631170">
        <w:rPr>
          <w:rFonts w:ascii="Arial" w:hAnsi="Arial" w:cs="Arial"/>
          <w:sz w:val="20"/>
          <w:szCs w:val="20"/>
        </w:rPr>
        <w:t xml:space="preserve"> have grown </w:t>
      </w:r>
      <w:r w:rsidR="00707886" w:rsidRPr="00631170">
        <w:rPr>
          <w:rFonts w:ascii="Arial" w:hAnsi="Arial" w:cs="Arial"/>
          <w:sz w:val="20"/>
          <w:szCs w:val="20"/>
        </w:rPr>
        <w:t>significantly</w:t>
      </w:r>
      <w:r w:rsidR="00297580" w:rsidRPr="00631170">
        <w:rPr>
          <w:rFonts w:ascii="Arial" w:hAnsi="Arial" w:cs="Arial"/>
          <w:sz w:val="20"/>
          <w:szCs w:val="20"/>
        </w:rPr>
        <w:t>. Apple</w:t>
      </w:r>
      <w:r w:rsidR="00E73A0C" w:rsidRPr="00631170">
        <w:rPr>
          <w:rFonts w:ascii="Arial" w:hAnsi="Arial" w:cs="Arial"/>
          <w:sz w:val="20"/>
          <w:szCs w:val="20"/>
        </w:rPr>
        <w:t xml:space="preserve"> recently crossed</w:t>
      </w:r>
      <w:r w:rsidR="00E73A0C">
        <w:rPr>
          <w:rFonts w:ascii="Arial" w:hAnsi="Arial" w:cs="Arial"/>
          <w:sz w:val="20"/>
          <w:szCs w:val="20"/>
        </w:rPr>
        <w:t xml:space="preserve"> $3 </w:t>
      </w:r>
      <w:r w:rsidR="00707886">
        <w:rPr>
          <w:rFonts w:ascii="Arial" w:hAnsi="Arial" w:cs="Arial"/>
          <w:sz w:val="20"/>
          <w:szCs w:val="20"/>
        </w:rPr>
        <w:t>t</w:t>
      </w:r>
      <w:r w:rsidR="00E73A0C">
        <w:rPr>
          <w:rFonts w:ascii="Arial" w:hAnsi="Arial" w:cs="Arial"/>
          <w:sz w:val="20"/>
          <w:szCs w:val="20"/>
        </w:rPr>
        <w:t xml:space="preserve">rillion </w:t>
      </w:r>
      <w:r w:rsidR="00297580">
        <w:rPr>
          <w:rFonts w:ascii="Arial" w:hAnsi="Arial" w:cs="Arial"/>
          <w:sz w:val="20"/>
          <w:szCs w:val="20"/>
        </w:rPr>
        <w:t xml:space="preserve">in </w:t>
      </w:r>
      <w:r w:rsidR="00E73A0C">
        <w:rPr>
          <w:rFonts w:ascii="Arial" w:hAnsi="Arial" w:cs="Arial"/>
          <w:sz w:val="20"/>
          <w:szCs w:val="20"/>
        </w:rPr>
        <w:t>market cap</w:t>
      </w:r>
      <w:r w:rsidR="00CF1BDB">
        <w:rPr>
          <w:rStyle w:val="EndnoteReference"/>
          <w:rFonts w:ascii="Arial" w:hAnsi="Arial" w:cs="Arial"/>
          <w:sz w:val="20"/>
          <w:szCs w:val="20"/>
        </w:rPr>
        <w:endnoteReference w:id="4"/>
      </w:r>
      <w:r w:rsidR="00E73A0C">
        <w:rPr>
          <w:rFonts w:ascii="Arial" w:hAnsi="Arial" w:cs="Arial"/>
          <w:sz w:val="20"/>
          <w:szCs w:val="20"/>
        </w:rPr>
        <w:t xml:space="preserve">. Not only is it the largest company in the world, </w:t>
      </w:r>
      <w:r w:rsidR="00F97F3B">
        <w:rPr>
          <w:rFonts w:ascii="Arial" w:hAnsi="Arial" w:cs="Arial"/>
          <w:sz w:val="20"/>
          <w:szCs w:val="20"/>
        </w:rPr>
        <w:t xml:space="preserve">but </w:t>
      </w:r>
      <w:r w:rsidR="00707886">
        <w:rPr>
          <w:rFonts w:ascii="Arial" w:hAnsi="Arial" w:cs="Arial"/>
          <w:sz w:val="20"/>
          <w:szCs w:val="20"/>
        </w:rPr>
        <w:t xml:space="preserve">when compared to the economies of countries, </w:t>
      </w:r>
      <w:r w:rsidR="00E73A0C">
        <w:rPr>
          <w:rFonts w:ascii="Arial" w:hAnsi="Arial" w:cs="Arial"/>
          <w:sz w:val="20"/>
          <w:szCs w:val="20"/>
        </w:rPr>
        <w:t>its market cap ranks as the fifth largest economy behind</w:t>
      </w:r>
      <w:r w:rsidR="00707886">
        <w:rPr>
          <w:rFonts w:ascii="Arial" w:hAnsi="Arial" w:cs="Arial"/>
          <w:sz w:val="20"/>
          <w:szCs w:val="20"/>
        </w:rPr>
        <w:t xml:space="preserve"> the </w:t>
      </w:r>
      <w:r w:rsidR="00E73A0C">
        <w:rPr>
          <w:rFonts w:ascii="Arial" w:hAnsi="Arial" w:cs="Arial"/>
          <w:sz w:val="20"/>
          <w:szCs w:val="20"/>
        </w:rPr>
        <w:t xml:space="preserve">US, China, Japan, </w:t>
      </w:r>
      <w:r w:rsidR="00707886">
        <w:rPr>
          <w:rFonts w:ascii="Arial" w:hAnsi="Arial" w:cs="Arial"/>
          <w:sz w:val="20"/>
          <w:szCs w:val="20"/>
        </w:rPr>
        <w:t xml:space="preserve">and </w:t>
      </w:r>
      <w:r w:rsidR="00E73A0C">
        <w:rPr>
          <w:rFonts w:ascii="Arial" w:hAnsi="Arial" w:cs="Arial"/>
          <w:sz w:val="20"/>
          <w:szCs w:val="20"/>
        </w:rPr>
        <w:t xml:space="preserve">Germany.  </w:t>
      </w:r>
    </w:p>
    <w:p w14:paraId="33CD82F9" w14:textId="54F420F3" w:rsidR="002708C4" w:rsidRDefault="002708C4" w:rsidP="000A760B">
      <w:pPr>
        <w:spacing w:after="120"/>
        <w:ind w:left="-720" w:right="-720"/>
        <w:rPr>
          <w:rFonts w:ascii="Arial" w:hAnsi="Arial" w:cs="Arial"/>
          <w:sz w:val="20"/>
          <w:szCs w:val="20"/>
        </w:rPr>
      </w:pPr>
      <w:r>
        <w:rPr>
          <w:rFonts w:ascii="Arial" w:hAnsi="Arial" w:cs="Arial"/>
          <w:noProof/>
          <w:sz w:val="20"/>
          <w:szCs w:val="20"/>
        </w:rPr>
        <w:drawing>
          <wp:inline distT="0" distB="0" distL="0" distR="0" wp14:anchorId="26BA7B3F" wp14:editId="74000835">
            <wp:extent cx="3191597" cy="1663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3480" cy="1685533"/>
                    </a:xfrm>
                    <a:prstGeom prst="rect">
                      <a:avLst/>
                    </a:prstGeom>
                    <a:noFill/>
                  </pic:spPr>
                </pic:pic>
              </a:graphicData>
            </a:graphic>
          </wp:inline>
        </w:drawing>
      </w:r>
    </w:p>
    <w:p w14:paraId="34A0F87F" w14:textId="6D8D0FBD" w:rsidR="002708C4" w:rsidRDefault="002708C4" w:rsidP="000A760B">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sidRPr="002708C4">
        <w:rPr>
          <w:rFonts w:ascii="Arial" w:hAnsi="Arial" w:cs="Arial"/>
          <w:color w:val="666666" w:themeColor="background2" w:themeShade="80"/>
          <w:sz w:val="16"/>
          <w:szCs w:val="16"/>
        </w:rPr>
        <w:t>FactSet. Top 10 stocks include: AAPL, MSFT, AMZN, FB, GOOGL, GOOG, TSLA, BRK.B, JPM, </w:t>
      </w:r>
      <w:r>
        <w:rPr>
          <w:rFonts w:ascii="Arial" w:hAnsi="Arial" w:cs="Arial"/>
          <w:color w:val="666666" w:themeColor="background2" w:themeShade="80"/>
          <w:sz w:val="16"/>
          <w:szCs w:val="16"/>
        </w:rPr>
        <w:t>NVDA, UNH</w:t>
      </w:r>
      <w:r w:rsidR="00C141D9">
        <w:rPr>
          <w:rFonts w:ascii="Arial" w:hAnsi="Arial" w:cs="Arial"/>
          <w:color w:val="666666" w:themeColor="background2" w:themeShade="80"/>
          <w:sz w:val="16"/>
          <w:szCs w:val="16"/>
        </w:rPr>
        <w:t xml:space="preserve">.  </w:t>
      </w:r>
    </w:p>
    <w:p w14:paraId="39F5247D" w14:textId="77777777" w:rsidR="00E1321A" w:rsidRDefault="00297580" w:rsidP="000A760B">
      <w:pPr>
        <w:spacing w:after="120"/>
        <w:ind w:left="-720" w:right="-720"/>
        <w:rPr>
          <w:rFonts w:ascii="Arial" w:hAnsi="Arial" w:cs="Arial"/>
          <w:noProof/>
          <w:sz w:val="20"/>
          <w:szCs w:val="20"/>
        </w:rPr>
      </w:pPr>
      <w:r>
        <w:rPr>
          <w:rFonts w:ascii="Arial" w:hAnsi="Arial" w:cs="Arial"/>
          <w:sz w:val="20"/>
          <w:szCs w:val="20"/>
        </w:rPr>
        <w:t xml:space="preserve">As </w:t>
      </w:r>
      <w:r w:rsidR="00EF11B1">
        <w:rPr>
          <w:rFonts w:ascii="Arial" w:hAnsi="Arial" w:cs="Arial"/>
          <w:sz w:val="20"/>
          <w:szCs w:val="20"/>
        </w:rPr>
        <w:t>select</w:t>
      </w:r>
      <w:r>
        <w:rPr>
          <w:rFonts w:ascii="Arial" w:hAnsi="Arial" w:cs="Arial"/>
          <w:sz w:val="20"/>
          <w:szCs w:val="20"/>
        </w:rPr>
        <w:t xml:space="preserve"> companies have </w:t>
      </w:r>
      <w:proofErr w:type="gramStart"/>
      <w:r>
        <w:rPr>
          <w:rFonts w:ascii="Arial" w:hAnsi="Arial" w:cs="Arial"/>
          <w:sz w:val="20"/>
          <w:szCs w:val="20"/>
        </w:rPr>
        <w:t>grown in size</w:t>
      </w:r>
      <w:proofErr w:type="gramEnd"/>
      <w:r w:rsidR="00707886">
        <w:rPr>
          <w:rFonts w:ascii="Arial" w:hAnsi="Arial" w:cs="Arial"/>
          <w:sz w:val="20"/>
          <w:szCs w:val="20"/>
        </w:rPr>
        <w:t>,</w:t>
      </w:r>
      <w:r>
        <w:rPr>
          <w:rFonts w:ascii="Arial" w:hAnsi="Arial" w:cs="Arial"/>
          <w:sz w:val="20"/>
          <w:szCs w:val="20"/>
        </w:rPr>
        <w:t xml:space="preserve"> </w:t>
      </w:r>
      <w:r w:rsidR="00707886">
        <w:rPr>
          <w:rFonts w:ascii="Arial" w:hAnsi="Arial" w:cs="Arial"/>
          <w:sz w:val="20"/>
          <w:szCs w:val="20"/>
        </w:rPr>
        <w:t>their</w:t>
      </w:r>
      <w:r>
        <w:rPr>
          <w:rFonts w:ascii="Arial" w:hAnsi="Arial" w:cs="Arial"/>
          <w:sz w:val="20"/>
          <w:szCs w:val="20"/>
        </w:rPr>
        <w:t xml:space="preserve"> impact on the index returns ha</w:t>
      </w:r>
      <w:r w:rsidR="00707886">
        <w:rPr>
          <w:rFonts w:ascii="Arial" w:hAnsi="Arial" w:cs="Arial"/>
          <w:sz w:val="20"/>
          <w:szCs w:val="20"/>
        </w:rPr>
        <w:t>s</w:t>
      </w:r>
      <w:r>
        <w:rPr>
          <w:rFonts w:ascii="Arial" w:hAnsi="Arial" w:cs="Arial"/>
          <w:sz w:val="20"/>
          <w:szCs w:val="20"/>
        </w:rPr>
        <w:t xml:space="preserve"> also been outsized</w:t>
      </w:r>
      <w:r w:rsidR="00C74D6C">
        <w:rPr>
          <w:rFonts w:ascii="Arial" w:hAnsi="Arial" w:cs="Arial"/>
          <w:sz w:val="20"/>
          <w:szCs w:val="20"/>
        </w:rPr>
        <w:t>.</w:t>
      </w:r>
      <w:r>
        <w:rPr>
          <w:rFonts w:ascii="Arial" w:hAnsi="Arial" w:cs="Arial"/>
          <w:sz w:val="20"/>
          <w:szCs w:val="20"/>
        </w:rPr>
        <w:t xml:space="preserve"> In 2021, the top 10 names drove nearly</w:t>
      </w:r>
      <w:r w:rsidR="00707886">
        <w:rPr>
          <w:rFonts w:ascii="Arial" w:hAnsi="Arial" w:cs="Arial"/>
          <w:sz w:val="20"/>
          <w:szCs w:val="20"/>
        </w:rPr>
        <w:t xml:space="preserve"> two-thirds </w:t>
      </w:r>
      <w:r>
        <w:rPr>
          <w:rFonts w:ascii="Arial" w:hAnsi="Arial" w:cs="Arial"/>
          <w:sz w:val="20"/>
          <w:szCs w:val="20"/>
        </w:rPr>
        <w:t xml:space="preserve">of the </w:t>
      </w:r>
      <w:r w:rsidR="00707886">
        <w:rPr>
          <w:rFonts w:ascii="Arial" w:hAnsi="Arial" w:cs="Arial"/>
          <w:sz w:val="20"/>
          <w:szCs w:val="20"/>
        </w:rPr>
        <w:t xml:space="preserve">approximately </w:t>
      </w:r>
      <w:r>
        <w:rPr>
          <w:rFonts w:ascii="Arial" w:hAnsi="Arial" w:cs="Arial"/>
          <w:sz w:val="20"/>
          <w:szCs w:val="20"/>
        </w:rPr>
        <w:t>27% returns</w:t>
      </w:r>
      <w:r w:rsidR="00CF1BDB">
        <w:rPr>
          <w:rStyle w:val="EndnoteReference"/>
          <w:rFonts w:ascii="Arial" w:hAnsi="Arial" w:cs="Arial"/>
          <w:sz w:val="20"/>
          <w:szCs w:val="20"/>
        </w:rPr>
        <w:endnoteReference w:id="5"/>
      </w:r>
      <w:r w:rsidR="00D528CD">
        <w:rPr>
          <w:rFonts w:ascii="Arial" w:hAnsi="Arial" w:cs="Arial"/>
          <w:sz w:val="20"/>
          <w:szCs w:val="20"/>
        </w:rPr>
        <w:t xml:space="preserve">. In other words, the top 10 stocks </w:t>
      </w:r>
      <w:r w:rsidRPr="00297580">
        <w:rPr>
          <w:rFonts w:ascii="Arial" w:hAnsi="Arial" w:cs="Arial"/>
          <w:sz w:val="20"/>
          <w:szCs w:val="20"/>
        </w:rPr>
        <w:t>contribut</w:t>
      </w:r>
      <w:r w:rsidR="00D528CD">
        <w:rPr>
          <w:rFonts w:ascii="Arial" w:hAnsi="Arial" w:cs="Arial"/>
          <w:sz w:val="20"/>
          <w:szCs w:val="20"/>
        </w:rPr>
        <w:t>ed</w:t>
      </w:r>
      <w:r w:rsidRPr="00297580">
        <w:rPr>
          <w:rFonts w:ascii="Arial" w:hAnsi="Arial" w:cs="Arial"/>
          <w:sz w:val="20"/>
          <w:szCs w:val="20"/>
        </w:rPr>
        <w:t xml:space="preserve"> 19 </w:t>
      </w:r>
      <w:r w:rsidR="00D528CD">
        <w:rPr>
          <w:rFonts w:ascii="Arial" w:hAnsi="Arial" w:cs="Arial"/>
          <w:sz w:val="20"/>
          <w:szCs w:val="20"/>
        </w:rPr>
        <w:t>percent</w:t>
      </w:r>
      <w:r w:rsidR="00D64214">
        <w:rPr>
          <w:rFonts w:ascii="Arial" w:hAnsi="Arial" w:cs="Arial"/>
          <w:sz w:val="20"/>
          <w:szCs w:val="20"/>
        </w:rPr>
        <w:t>age</w:t>
      </w:r>
      <w:r w:rsidR="00D528CD">
        <w:rPr>
          <w:rFonts w:ascii="Arial" w:hAnsi="Arial" w:cs="Arial"/>
          <w:sz w:val="20"/>
          <w:szCs w:val="20"/>
        </w:rPr>
        <w:t xml:space="preserve"> points, while the bottom 490 stocks</w:t>
      </w:r>
      <w:r w:rsidRPr="00297580">
        <w:rPr>
          <w:rFonts w:ascii="Arial" w:hAnsi="Arial" w:cs="Arial"/>
          <w:sz w:val="20"/>
          <w:szCs w:val="20"/>
        </w:rPr>
        <w:t xml:space="preserve"> contribut</w:t>
      </w:r>
      <w:r w:rsidR="00D528CD">
        <w:rPr>
          <w:rFonts w:ascii="Arial" w:hAnsi="Arial" w:cs="Arial"/>
          <w:sz w:val="20"/>
          <w:szCs w:val="20"/>
        </w:rPr>
        <w:t>ed</w:t>
      </w:r>
      <w:r w:rsidRPr="00297580">
        <w:rPr>
          <w:rFonts w:ascii="Arial" w:hAnsi="Arial" w:cs="Arial"/>
          <w:sz w:val="20"/>
          <w:szCs w:val="20"/>
        </w:rPr>
        <w:t xml:space="preserve"> 8 </w:t>
      </w:r>
      <w:r w:rsidR="00D528CD">
        <w:rPr>
          <w:rFonts w:ascii="Arial" w:hAnsi="Arial" w:cs="Arial"/>
          <w:sz w:val="20"/>
          <w:szCs w:val="20"/>
        </w:rPr>
        <w:t>percentage points</w:t>
      </w:r>
      <w:r w:rsidRPr="00297580">
        <w:rPr>
          <w:rFonts w:ascii="Arial" w:hAnsi="Arial" w:cs="Arial"/>
          <w:sz w:val="20"/>
          <w:szCs w:val="20"/>
        </w:rPr>
        <w:t xml:space="preserve">. This </w:t>
      </w:r>
      <w:r w:rsidR="00D528CD">
        <w:rPr>
          <w:rFonts w:ascii="Arial" w:hAnsi="Arial" w:cs="Arial"/>
          <w:sz w:val="20"/>
          <w:szCs w:val="20"/>
        </w:rPr>
        <w:t xml:space="preserve">outsized </w:t>
      </w:r>
      <w:r w:rsidRPr="00297580">
        <w:rPr>
          <w:rFonts w:ascii="Arial" w:hAnsi="Arial" w:cs="Arial"/>
          <w:sz w:val="20"/>
          <w:szCs w:val="20"/>
        </w:rPr>
        <w:t xml:space="preserve">performance </w:t>
      </w:r>
      <w:r w:rsidR="00D528CD">
        <w:rPr>
          <w:rFonts w:ascii="Arial" w:hAnsi="Arial" w:cs="Arial"/>
          <w:sz w:val="20"/>
          <w:szCs w:val="20"/>
        </w:rPr>
        <w:t xml:space="preserve">by a select few stocks </w:t>
      </w:r>
      <w:r w:rsidRPr="00297580">
        <w:rPr>
          <w:rFonts w:ascii="Arial" w:hAnsi="Arial" w:cs="Arial"/>
          <w:sz w:val="20"/>
          <w:szCs w:val="20"/>
        </w:rPr>
        <w:t>has been a characteristic of the US equity market since the pandemic began</w:t>
      </w:r>
      <w:r>
        <w:rPr>
          <w:rFonts w:ascii="Arial" w:hAnsi="Arial" w:cs="Arial"/>
          <w:sz w:val="20"/>
          <w:szCs w:val="20"/>
        </w:rPr>
        <w:t>.</w:t>
      </w:r>
      <w:r w:rsidR="00742910" w:rsidRPr="00742910">
        <w:rPr>
          <w:noProof/>
        </w:rPr>
        <w:t xml:space="preserve"> </w:t>
      </w:r>
      <w:r w:rsidR="00742910" w:rsidRPr="00FA2601">
        <w:rPr>
          <w:rFonts w:ascii="Arial" w:hAnsi="Arial" w:cs="Arial"/>
          <w:noProof/>
          <w:sz w:val="20"/>
          <w:szCs w:val="20"/>
        </w:rPr>
        <w:t>In 2020</w:t>
      </w:r>
      <w:r w:rsidR="00D528CD" w:rsidRPr="00FA2601">
        <w:rPr>
          <w:rFonts w:ascii="Arial" w:hAnsi="Arial" w:cs="Arial"/>
          <w:noProof/>
          <w:sz w:val="20"/>
          <w:szCs w:val="20"/>
        </w:rPr>
        <w:t>,</w:t>
      </w:r>
      <w:r w:rsidR="00742910" w:rsidRPr="00FA2601">
        <w:rPr>
          <w:rFonts w:ascii="Arial" w:hAnsi="Arial" w:cs="Arial"/>
          <w:noProof/>
          <w:sz w:val="20"/>
          <w:szCs w:val="20"/>
        </w:rPr>
        <w:t xml:space="preserve"> we highlighted that </w:t>
      </w:r>
      <w:r w:rsidR="00B90173" w:rsidRPr="00FA2601">
        <w:rPr>
          <w:rFonts w:ascii="Arial" w:hAnsi="Arial" w:cs="Arial"/>
          <w:noProof/>
          <w:sz w:val="20"/>
          <w:szCs w:val="20"/>
        </w:rPr>
        <w:t xml:space="preserve">just 6 technology stocks nicknamed FANAMA (Facebook, Apple, Netflix, Amazon, Microsoft, Alphabet) </w:t>
      </w:r>
      <w:r w:rsidR="00096A6C" w:rsidRPr="00FA2601">
        <w:rPr>
          <w:rFonts w:ascii="Arial" w:hAnsi="Arial" w:cs="Arial"/>
          <w:noProof/>
          <w:sz w:val="20"/>
          <w:szCs w:val="20"/>
        </w:rPr>
        <w:t xml:space="preserve">similarly </w:t>
      </w:r>
      <w:r w:rsidR="00B90173" w:rsidRPr="00FA2601">
        <w:rPr>
          <w:rFonts w:ascii="Arial" w:hAnsi="Arial" w:cs="Arial"/>
          <w:noProof/>
          <w:sz w:val="20"/>
          <w:szCs w:val="20"/>
        </w:rPr>
        <w:t>drove roughly</w:t>
      </w:r>
      <w:r w:rsidR="00D528CD" w:rsidRPr="00FA2601">
        <w:rPr>
          <w:rFonts w:ascii="Arial" w:hAnsi="Arial" w:cs="Arial"/>
          <w:noProof/>
          <w:sz w:val="20"/>
          <w:szCs w:val="20"/>
        </w:rPr>
        <w:t xml:space="preserve"> two-thirds</w:t>
      </w:r>
      <w:r w:rsidR="00B90173" w:rsidRPr="00FA2601">
        <w:rPr>
          <w:rFonts w:ascii="Arial" w:hAnsi="Arial" w:cs="Arial"/>
          <w:noProof/>
          <w:sz w:val="20"/>
          <w:szCs w:val="20"/>
        </w:rPr>
        <w:t xml:space="preserve"> of 2020 returns</w:t>
      </w:r>
      <w:r w:rsidR="00CF1BDB" w:rsidRPr="00FA2601">
        <w:rPr>
          <w:rStyle w:val="EndnoteReference"/>
          <w:rFonts w:ascii="Arial" w:hAnsi="Arial" w:cs="Arial"/>
          <w:noProof/>
          <w:sz w:val="20"/>
          <w:szCs w:val="20"/>
        </w:rPr>
        <w:endnoteReference w:id="6"/>
      </w:r>
      <w:r w:rsidR="00B90173" w:rsidRPr="00FA2601">
        <w:rPr>
          <w:rFonts w:ascii="Arial" w:hAnsi="Arial" w:cs="Arial"/>
          <w:noProof/>
          <w:sz w:val="20"/>
          <w:szCs w:val="20"/>
        </w:rPr>
        <w:t xml:space="preserve">.  </w:t>
      </w:r>
    </w:p>
    <w:p w14:paraId="0DE01DAA" w14:textId="1FE54783" w:rsidR="007A2FFC" w:rsidRPr="00FA2601" w:rsidRDefault="0054674E" w:rsidP="000A760B">
      <w:pPr>
        <w:spacing w:after="120"/>
        <w:ind w:left="-720" w:right="-720"/>
        <w:rPr>
          <w:rStyle w:val="IntenseEmphasis"/>
          <w:rFonts w:ascii="Arial" w:hAnsi="Arial" w:cs="Arial"/>
        </w:rPr>
      </w:pPr>
      <w:r>
        <w:rPr>
          <w:noProof/>
        </w:rPr>
        <w:lastRenderedPageBreak/>
        <w:drawing>
          <wp:anchor distT="0" distB="0" distL="114300" distR="114300" simplePos="0" relativeHeight="251671552" behindDoc="0" locked="0" layoutInCell="1" allowOverlap="1" wp14:anchorId="32B6EFCB" wp14:editId="64C7CBC2">
            <wp:simplePos x="0" y="0"/>
            <wp:positionH relativeFrom="column">
              <wp:posOffset>3072130</wp:posOffset>
            </wp:positionH>
            <wp:positionV relativeFrom="paragraph">
              <wp:posOffset>9525</wp:posOffset>
            </wp:positionV>
            <wp:extent cx="3100705" cy="240093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00705" cy="2400935"/>
                    </a:xfrm>
                    <a:prstGeom prst="rect">
                      <a:avLst/>
                    </a:prstGeom>
                  </pic:spPr>
                </pic:pic>
              </a:graphicData>
            </a:graphic>
          </wp:anchor>
        </w:drawing>
      </w:r>
      <w:r w:rsidR="000C7B36" w:rsidRPr="00FA2601">
        <w:rPr>
          <w:rStyle w:val="IntenseEmphasis"/>
          <w:rFonts w:ascii="Arial" w:hAnsi="Arial" w:cs="Arial"/>
        </w:rPr>
        <w:t>W</w:t>
      </w:r>
      <w:r w:rsidR="00742910" w:rsidRPr="00FA2601">
        <w:rPr>
          <w:rStyle w:val="IntenseEmphasis"/>
          <w:rFonts w:ascii="Arial" w:hAnsi="Arial" w:cs="Arial"/>
        </w:rPr>
        <w:t>hat does this mean for investor</w:t>
      </w:r>
      <w:r w:rsidR="00096A6C" w:rsidRPr="00FA2601">
        <w:rPr>
          <w:rStyle w:val="IntenseEmphasis"/>
          <w:rFonts w:ascii="Arial" w:hAnsi="Arial" w:cs="Arial"/>
        </w:rPr>
        <w:t>s</w:t>
      </w:r>
      <w:r w:rsidR="00742910" w:rsidRPr="00FA2601">
        <w:rPr>
          <w:rStyle w:val="IntenseEmphasis"/>
          <w:rFonts w:ascii="Arial" w:hAnsi="Arial" w:cs="Arial"/>
        </w:rPr>
        <w:t>?</w:t>
      </w:r>
    </w:p>
    <w:p w14:paraId="36B67AAE" w14:textId="29755E57" w:rsidR="00651728" w:rsidRDefault="00C141D9" w:rsidP="00705C3D">
      <w:pPr>
        <w:spacing w:after="120"/>
        <w:ind w:left="-720" w:right="-720"/>
        <w:rPr>
          <w:rFonts w:ascii="Arial" w:hAnsi="Arial" w:cs="Arial"/>
          <w:sz w:val="20"/>
          <w:szCs w:val="20"/>
        </w:rPr>
      </w:pPr>
      <w:r>
        <w:rPr>
          <w:rFonts w:ascii="Arial" w:hAnsi="Arial" w:cs="Arial"/>
          <w:sz w:val="20"/>
          <w:szCs w:val="20"/>
        </w:rPr>
        <w:t>W</w:t>
      </w:r>
      <w:r w:rsidR="002E2045">
        <w:rPr>
          <w:rFonts w:ascii="Arial" w:hAnsi="Arial" w:cs="Arial"/>
          <w:sz w:val="20"/>
          <w:szCs w:val="20"/>
        </w:rPr>
        <w:t>ithout a look under the hood</w:t>
      </w:r>
      <w:r w:rsidR="00D528CD">
        <w:rPr>
          <w:rFonts w:ascii="Arial" w:hAnsi="Arial" w:cs="Arial"/>
          <w:sz w:val="20"/>
          <w:szCs w:val="20"/>
        </w:rPr>
        <w:t>,</w:t>
      </w:r>
      <w:r w:rsidR="002E2045">
        <w:rPr>
          <w:rFonts w:ascii="Arial" w:hAnsi="Arial" w:cs="Arial"/>
          <w:sz w:val="20"/>
          <w:szCs w:val="20"/>
        </w:rPr>
        <w:t xml:space="preserve"> it</w:t>
      </w:r>
      <w:r w:rsidR="00D528CD">
        <w:rPr>
          <w:rFonts w:ascii="Arial" w:hAnsi="Arial" w:cs="Arial"/>
          <w:sz w:val="20"/>
          <w:szCs w:val="20"/>
        </w:rPr>
        <w:t>’</w:t>
      </w:r>
      <w:r w:rsidR="002E2045">
        <w:rPr>
          <w:rFonts w:ascii="Arial" w:hAnsi="Arial" w:cs="Arial"/>
          <w:sz w:val="20"/>
          <w:szCs w:val="20"/>
        </w:rPr>
        <w:t xml:space="preserve">s not always easy to tell when your stock portfolio is exposed to concentration risk.  </w:t>
      </w:r>
      <w:r w:rsidR="00651728">
        <w:rPr>
          <w:rFonts w:ascii="Arial" w:hAnsi="Arial" w:cs="Arial"/>
          <w:sz w:val="20"/>
          <w:szCs w:val="20"/>
        </w:rPr>
        <w:t>A deeper look shows that the</w:t>
      </w:r>
      <w:r w:rsidR="00705C3D">
        <w:rPr>
          <w:rFonts w:ascii="Arial" w:hAnsi="Arial" w:cs="Arial"/>
          <w:sz w:val="20"/>
          <w:szCs w:val="20"/>
        </w:rPr>
        <w:t xml:space="preserve"> uneven nature of stock returns </w:t>
      </w:r>
      <w:r w:rsidR="00651728">
        <w:rPr>
          <w:rFonts w:ascii="Arial" w:hAnsi="Arial" w:cs="Arial"/>
          <w:sz w:val="20"/>
          <w:szCs w:val="20"/>
        </w:rPr>
        <w:t>has</w:t>
      </w:r>
      <w:r w:rsidR="00705C3D">
        <w:rPr>
          <w:rFonts w:ascii="Arial" w:hAnsi="Arial" w:cs="Arial"/>
          <w:sz w:val="20"/>
          <w:szCs w:val="20"/>
        </w:rPr>
        <w:t xml:space="preserve"> created a </w:t>
      </w:r>
      <w:r w:rsidR="00967858">
        <w:rPr>
          <w:rFonts w:ascii="Arial" w:hAnsi="Arial" w:cs="Arial"/>
          <w:sz w:val="20"/>
          <w:szCs w:val="20"/>
        </w:rPr>
        <w:t>wide gap</w:t>
      </w:r>
      <w:r w:rsidR="00651728">
        <w:rPr>
          <w:rFonts w:ascii="Arial" w:hAnsi="Arial" w:cs="Arial"/>
          <w:sz w:val="20"/>
          <w:szCs w:val="20"/>
        </w:rPr>
        <w:t xml:space="preserve"> in </w:t>
      </w:r>
      <w:r w:rsidR="00EB05BF">
        <w:rPr>
          <w:rFonts w:ascii="Arial" w:hAnsi="Arial" w:cs="Arial"/>
          <w:sz w:val="20"/>
          <w:szCs w:val="20"/>
        </w:rPr>
        <w:t>how expensive these top 10 stocks have become relative to the rest of the market</w:t>
      </w:r>
      <w:r w:rsidR="00967858">
        <w:rPr>
          <w:rFonts w:ascii="Arial" w:hAnsi="Arial" w:cs="Arial"/>
          <w:sz w:val="20"/>
          <w:szCs w:val="20"/>
        </w:rPr>
        <w:t>, as measured by the price to earnings ratio</w:t>
      </w:r>
      <w:r w:rsidR="00EB05BF">
        <w:rPr>
          <w:rFonts w:ascii="Arial" w:hAnsi="Arial" w:cs="Arial"/>
          <w:sz w:val="20"/>
          <w:szCs w:val="20"/>
        </w:rPr>
        <w:t>.</w:t>
      </w:r>
      <w:r w:rsidR="00BE29BB">
        <w:rPr>
          <w:rFonts w:ascii="Arial" w:hAnsi="Arial" w:cs="Arial"/>
          <w:sz w:val="20"/>
          <w:szCs w:val="20"/>
        </w:rPr>
        <w:t xml:space="preserve"> </w:t>
      </w:r>
      <w:r w:rsidR="002C1935">
        <w:rPr>
          <w:rFonts w:ascii="Arial" w:hAnsi="Arial" w:cs="Arial"/>
          <w:sz w:val="20"/>
          <w:szCs w:val="20"/>
        </w:rPr>
        <w:t>The price</w:t>
      </w:r>
      <w:r w:rsidR="00D528CD">
        <w:rPr>
          <w:rFonts w:ascii="Arial" w:hAnsi="Arial" w:cs="Arial"/>
          <w:sz w:val="20"/>
          <w:szCs w:val="20"/>
        </w:rPr>
        <w:t xml:space="preserve"> to </w:t>
      </w:r>
      <w:r w:rsidR="002C1935">
        <w:rPr>
          <w:rFonts w:ascii="Arial" w:hAnsi="Arial" w:cs="Arial"/>
          <w:sz w:val="20"/>
          <w:szCs w:val="20"/>
        </w:rPr>
        <w:t xml:space="preserve">earnings ratio or P/E ratio is a common measure to assess the fairness of stock price. In general, a lower P/E ratio would mean the price is undervalued relative to future earnings and higher P/E means that that prices are overvalued.  While this is an overly simplistic way of evaluating things, it does provide a reasonable gauge to assessing stock market valuations. </w:t>
      </w:r>
      <w:r w:rsidR="009818B7">
        <w:rPr>
          <w:rFonts w:ascii="Arial" w:hAnsi="Arial" w:cs="Arial"/>
          <w:sz w:val="20"/>
          <w:szCs w:val="20"/>
        </w:rPr>
        <w:t>While r</w:t>
      </w:r>
      <w:r w:rsidR="00BE29BB">
        <w:rPr>
          <w:rFonts w:ascii="Arial" w:hAnsi="Arial" w:cs="Arial"/>
          <w:sz w:val="20"/>
          <w:szCs w:val="20"/>
        </w:rPr>
        <w:t xml:space="preserve">ising stock prices have made US stocks expensive relative to </w:t>
      </w:r>
      <w:r w:rsidR="002C1935">
        <w:rPr>
          <w:rFonts w:ascii="Arial" w:hAnsi="Arial" w:cs="Arial"/>
          <w:sz w:val="20"/>
          <w:szCs w:val="20"/>
        </w:rPr>
        <w:t xml:space="preserve">its own </w:t>
      </w:r>
      <w:r w:rsidR="00BE29BB">
        <w:rPr>
          <w:rFonts w:ascii="Arial" w:hAnsi="Arial" w:cs="Arial"/>
          <w:sz w:val="20"/>
          <w:szCs w:val="20"/>
        </w:rPr>
        <w:t xml:space="preserve">historical measure, the P/E of the top 10 stocks </w:t>
      </w:r>
      <w:r w:rsidR="002C1935">
        <w:rPr>
          <w:rFonts w:ascii="Arial" w:hAnsi="Arial" w:cs="Arial"/>
          <w:sz w:val="20"/>
          <w:szCs w:val="20"/>
        </w:rPr>
        <w:t xml:space="preserve">have increased </w:t>
      </w:r>
      <w:r w:rsidR="00D528CD">
        <w:rPr>
          <w:rFonts w:ascii="Arial" w:hAnsi="Arial" w:cs="Arial"/>
          <w:sz w:val="20"/>
          <w:szCs w:val="20"/>
        </w:rPr>
        <w:t xml:space="preserve">at </w:t>
      </w:r>
      <w:r w:rsidR="002C1935">
        <w:rPr>
          <w:rFonts w:ascii="Arial" w:hAnsi="Arial" w:cs="Arial"/>
          <w:sz w:val="20"/>
          <w:szCs w:val="20"/>
        </w:rPr>
        <w:t>a much faster rate than the remaining stocks in the S&amp;P 500</w:t>
      </w:r>
      <w:r w:rsidR="00CF1BDB">
        <w:rPr>
          <w:rStyle w:val="EndnoteReference"/>
          <w:rFonts w:ascii="Arial" w:hAnsi="Arial" w:cs="Arial"/>
          <w:sz w:val="20"/>
          <w:szCs w:val="20"/>
        </w:rPr>
        <w:endnoteReference w:id="7"/>
      </w:r>
      <w:r w:rsidR="002C1935">
        <w:rPr>
          <w:rFonts w:ascii="Arial" w:hAnsi="Arial" w:cs="Arial"/>
          <w:sz w:val="20"/>
          <w:szCs w:val="20"/>
        </w:rPr>
        <w:t xml:space="preserve">. </w:t>
      </w:r>
      <w:r w:rsidR="00EB05BF">
        <w:rPr>
          <w:rFonts w:ascii="Arial" w:hAnsi="Arial" w:cs="Arial"/>
          <w:sz w:val="20"/>
          <w:szCs w:val="20"/>
        </w:rPr>
        <w:t xml:space="preserve">This dispersion in valuation </w:t>
      </w:r>
      <w:r w:rsidR="002C1935">
        <w:rPr>
          <w:rFonts w:ascii="Arial" w:hAnsi="Arial" w:cs="Arial"/>
          <w:sz w:val="20"/>
          <w:szCs w:val="20"/>
        </w:rPr>
        <w:t>may</w:t>
      </w:r>
      <w:r w:rsidR="00EB05BF">
        <w:rPr>
          <w:rFonts w:ascii="Arial" w:hAnsi="Arial" w:cs="Arial"/>
          <w:sz w:val="20"/>
          <w:szCs w:val="20"/>
        </w:rPr>
        <w:t xml:space="preserve"> provide </w:t>
      </w:r>
      <w:r w:rsidR="00967858">
        <w:rPr>
          <w:rFonts w:ascii="Arial" w:hAnsi="Arial" w:cs="Arial"/>
          <w:sz w:val="20"/>
          <w:szCs w:val="20"/>
        </w:rPr>
        <w:t>greater opportunity for active portfolio managers to be more selective in finding stocks that are reasonably valued with potential for better</w:t>
      </w:r>
      <w:r w:rsidR="00F166D3">
        <w:rPr>
          <w:rFonts w:ascii="Arial" w:hAnsi="Arial" w:cs="Arial"/>
          <w:sz w:val="20"/>
          <w:szCs w:val="20"/>
        </w:rPr>
        <w:t xml:space="preserve"> </w:t>
      </w:r>
      <w:r w:rsidR="00967858">
        <w:rPr>
          <w:rFonts w:ascii="Arial" w:hAnsi="Arial" w:cs="Arial"/>
          <w:sz w:val="20"/>
          <w:szCs w:val="20"/>
        </w:rPr>
        <w:t xml:space="preserve">return prospects.  </w:t>
      </w:r>
    </w:p>
    <w:p w14:paraId="4ED4809B" w14:textId="534BB6FA" w:rsidR="00C141D9" w:rsidRPr="00BA149E" w:rsidRDefault="00C141D9" w:rsidP="00C141D9">
      <w:pPr>
        <w:spacing w:after="120"/>
        <w:ind w:left="-720" w:right="-720"/>
        <w:rPr>
          <w:rFonts w:ascii="Arial" w:hAnsi="Arial" w:cs="Arial"/>
          <w:color w:val="666666" w:themeColor="background2" w:themeShade="80"/>
          <w:sz w:val="16"/>
          <w:szCs w:val="16"/>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JPMorgan Asset Management. Q1’22 Guide to the Markets.</w:t>
      </w:r>
    </w:p>
    <w:p w14:paraId="6F3015AB" w14:textId="34970CE5" w:rsidR="00E03FBA" w:rsidRDefault="00705C3D" w:rsidP="00377387">
      <w:pPr>
        <w:spacing w:after="120"/>
        <w:ind w:left="-720" w:right="-720"/>
        <w:rPr>
          <w:rFonts w:ascii="Arial" w:hAnsi="Arial" w:cs="Arial"/>
          <w:sz w:val="20"/>
          <w:szCs w:val="20"/>
        </w:rPr>
      </w:pPr>
      <w:r>
        <w:rPr>
          <w:rFonts w:ascii="Arial" w:hAnsi="Arial" w:cs="Arial"/>
          <w:sz w:val="20"/>
          <w:szCs w:val="20"/>
        </w:rPr>
        <w:t xml:space="preserve">In conclusion, while concentration within US equity markets remains a headwind for investors, the good news is that investors have options to address this hidden risk by choosing </w:t>
      </w:r>
      <w:r w:rsidR="00C141D9">
        <w:rPr>
          <w:rFonts w:ascii="Arial" w:hAnsi="Arial" w:cs="Arial"/>
          <w:sz w:val="20"/>
          <w:szCs w:val="20"/>
        </w:rPr>
        <w:t>s</w:t>
      </w:r>
      <w:r>
        <w:rPr>
          <w:rFonts w:ascii="Arial" w:hAnsi="Arial" w:cs="Arial"/>
          <w:sz w:val="20"/>
          <w:szCs w:val="20"/>
        </w:rPr>
        <w:t xml:space="preserve">killed active managers </w:t>
      </w:r>
      <w:r w:rsidR="00C141D9">
        <w:rPr>
          <w:rFonts w:ascii="Arial" w:hAnsi="Arial" w:cs="Arial"/>
          <w:sz w:val="20"/>
          <w:szCs w:val="20"/>
        </w:rPr>
        <w:t>to find the less expensive parts of the equity market.</w:t>
      </w:r>
    </w:p>
    <w:p w14:paraId="7D38CFC6" w14:textId="52DAF287" w:rsidR="00E74773" w:rsidRPr="00E03FBA" w:rsidRDefault="009D5606"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r>
        <w:rPr>
          <w:rFonts w:ascii="Arial" w:hAnsi="Arial" w:cs="Arial"/>
          <w:noProof/>
          <w:sz w:val="20"/>
          <w:szCs w:val="20"/>
        </w:rPr>
        <w:t xml:space="preserve"> </w:t>
      </w:r>
    </w:p>
    <w:p w14:paraId="6D37E143" w14:textId="77777777" w:rsidR="00F630D8" w:rsidRDefault="00F630D8" w:rsidP="003873A0">
      <w:pPr>
        <w:spacing w:after="160"/>
        <w:ind w:right="-720"/>
        <w:rPr>
          <w:rFonts w:ascii="Arial" w:hAnsi="Arial" w:cs="Arial"/>
          <w:color w:val="343433"/>
          <w:sz w:val="16"/>
          <w:szCs w:val="16"/>
        </w:rPr>
      </w:pPr>
    </w:p>
    <w:p w14:paraId="4593E988" w14:textId="0BB9AD3E" w:rsidR="00D8372D" w:rsidRDefault="00D8372D" w:rsidP="003873A0">
      <w:pPr>
        <w:spacing w:after="160"/>
        <w:ind w:right="-720"/>
        <w:rPr>
          <w:rFonts w:ascii="Arial" w:hAnsi="Arial" w:cs="Arial"/>
          <w:color w:val="343433"/>
          <w:sz w:val="16"/>
          <w:szCs w:val="16"/>
        </w:rPr>
      </w:pPr>
      <w:r w:rsidRPr="0040163B">
        <w:rPr>
          <w:rFonts w:ascii="Arial" w:hAnsi="Arial" w:cs="Arial"/>
          <w:noProof/>
          <w:color w:val="343433"/>
          <w:sz w:val="21"/>
        </w:rPr>
        <mc:AlternateContent>
          <mc:Choice Requires="wpg">
            <w:drawing>
              <wp:anchor distT="0" distB="0" distL="114300" distR="114300" simplePos="0" relativeHeight="251669504" behindDoc="0" locked="0" layoutInCell="1" allowOverlap="1" wp14:anchorId="66F1F175" wp14:editId="5F64D3DD">
                <wp:simplePos x="0" y="0"/>
                <wp:positionH relativeFrom="margin">
                  <wp:posOffset>-384175</wp:posOffset>
                </wp:positionH>
                <wp:positionV relativeFrom="page">
                  <wp:posOffset>5439410</wp:posOffset>
                </wp:positionV>
                <wp:extent cx="7105650" cy="366014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660140"/>
                          <a:chOff x="0" y="299834"/>
                          <a:chExt cx="6858000" cy="1968741"/>
                        </a:xfrm>
                      </wpg:grpSpPr>
                      <wps:wsp>
                        <wps:cNvPr id="17" name="Rectangle 17"/>
                        <wps:cNvSpPr/>
                        <wps:spPr>
                          <a:xfrm>
                            <a:off x="0"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352791" y="340171"/>
                            <a:ext cx="5485507" cy="1904184"/>
                          </a:xfrm>
                          <a:prstGeom prst="rect">
                            <a:avLst/>
                          </a:prstGeom>
                          <a:noFill/>
                          <a:ln w="6350">
                            <a:noFill/>
                          </a:ln>
                        </wps:spPr>
                        <wps:txbx>
                          <w:txbxContent>
                            <w:p w14:paraId="6FDF8ABE" w14:textId="77777777" w:rsidR="006F6129" w:rsidRPr="00E93D58" w:rsidRDefault="006F6129"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w:t>
                              </w:r>
                            </w:p>
                            <w:p w14:paraId="08581732"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8A50AEC"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w:t>
                              </w:r>
                              <w:r w:rsidR="008E24F0" w:rsidRPr="001608CF">
                                <w:rPr>
                                  <w:rFonts w:ascii="Arial" w:hAnsi="Arial" w:cs="Arial"/>
                                  <w:sz w:val="16"/>
                                  <w:szCs w:val="16"/>
                                </w:rPr>
                                <w:t>202</w:t>
                              </w:r>
                              <w:r w:rsidR="008E24F0">
                                <w:rPr>
                                  <w:rFonts w:ascii="Arial" w:hAnsi="Arial" w:cs="Arial"/>
                                  <w:sz w:val="16"/>
                                  <w:szCs w:val="16"/>
                                </w:rPr>
                                <w:t>2</w:t>
                              </w:r>
                              <w:r w:rsidR="008E24F0" w:rsidRPr="001608CF">
                                <w:rPr>
                                  <w:rFonts w:ascii="Arial" w:hAnsi="Arial" w:cs="Arial"/>
                                  <w:sz w:val="16"/>
                                  <w:szCs w:val="16"/>
                                </w:rPr>
                                <w:t xml:space="preserve"> </w:t>
                              </w:r>
                              <w:r w:rsidRPr="001608CF">
                                <w:rPr>
                                  <w:rFonts w:ascii="Arial" w:hAnsi="Arial" w:cs="Arial"/>
                                  <w:sz w:val="16"/>
                                  <w:szCs w:val="16"/>
                                </w:rPr>
                                <w:t xml:space="preserve">AssetMark, Inc. All rights reserved. </w:t>
                              </w:r>
                              <w:r w:rsidR="005E0660">
                                <w:rPr>
                                  <w:rFonts w:ascii="Arial" w:hAnsi="Arial" w:cs="Arial"/>
                                  <w:sz w:val="16"/>
                                  <w:szCs w:val="16"/>
                                </w:rPr>
                                <w:br/>
                              </w:r>
                              <w:r w:rsidRPr="00F04DFA">
                                <w:rPr>
                                  <w:rFonts w:ascii="Arial" w:hAnsi="Arial" w:cs="Arial"/>
                                  <w:sz w:val="16"/>
                                  <w:szCs w:val="16"/>
                                </w:rPr>
                                <w:t>10</w:t>
                              </w:r>
                              <w:r w:rsidR="00F04DFA" w:rsidRPr="00F04DFA">
                                <w:rPr>
                                  <w:rFonts w:ascii="Arial" w:hAnsi="Arial" w:cs="Arial"/>
                                  <w:sz w:val="16"/>
                                  <w:szCs w:val="16"/>
                                </w:rPr>
                                <w:t>3466</w:t>
                              </w:r>
                              <w:r w:rsidRPr="00F04DFA">
                                <w:rPr>
                                  <w:rFonts w:ascii="Arial" w:hAnsi="Arial" w:cs="Arial"/>
                                  <w:sz w:val="16"/>
                                  <w:szCs w:val="16"/>
                                </w:rPr>
                                <w:t xml:space="preserve"> | </w:t>
                              </w:r>
                              <w:r w:rsidR="00F04DFA" w:rsidRPr="00F04DFA">
                                <w:rPr>
                                  <w:rFonts w:ascii="Arial" w:hAnsi="Arial" w:cs="Arial"/>
                                  <w:sz w:val="16"/>
                                  <w:szCs w:val="16"/>
                                </w:rPr>
                                <w:t xml:space="preserve">C22-18375 </w:t>
                              </w:r>
                              <w:r w:rsidRPr="00F04DFA">
                                <w:rPr>
                                  <w:rFonts w:ascii="Arial" w:hAnsi="Arial" w:cs="Arial"/>
                                  <w:sz w:val="16"/>
                                  <w:szCs w:val="16"/>
                                </w:rPr>
                                <w:t xml:space="preserve">| </w:t>
                              </w:r>
                              <w:r w:rsidR="008759DD" w:rsidRPr="00F04DFA">
                                <w:rPr>
                                  <w:rFonts w:ascii="Arial" w:hAnsi="Arial" w:cs="Arial"/>
                                  <w:sz w:val="16"/>
                                  <w:szCs w:val="16"/>
                                </w:rPr>
                                <w:t>01</w:t>
                              </w:r>
                              <w:r w:rsidRPr="00F04DFA">
                                <w:rPr>
                                  <w:rFonts w:ascii="Arial" w:hAnsi="Arial" w:cs="Arial"/>
                                  <w:sz w:val="16"/>
                                  <w:szCs w:val="16"/>
                                </w:rPr>
                                <w:t>/</w:t>
                              </w:r>
                              <w:r w:rsidRPr="001608CF">
                                <w:rPr>
                                  <w:rFonts w:ascii="Arial" w:hAnsi="Arial" w:cs="Arial"/>
                                  <w:sz w:val="16"/>
                                  <w:szCs w:val="16"/>
                                </w:rPr>
                                <w:t>202</w:t>
                              </w:r>
                              <w:r w:rsidR="008759DD">
                                <w:rPr>
                                  <w:rFonts w:ascii="Arial" w:hAnsi="Arial" w:cs="Arial"/>
                                  <w:sz w:val="16"/>
                                  <w:szCs w:val="16"/>
                                </w:rPr>
                                <w:t>2</w:t>
                              </w:r>
                              <w:r w:rsidRPr="001608CF">
                                <w:rPr>
                                  <w:rFonts w:ascii="Arial" w:hAnsi="Arial" w:cs="Arial"/>
                                  <w:sz w:val="16"/>
                                  <w:szCs w:val="16"/>
                                </w:rPr>
                                <w:t xml:space="preserve"> | EXP </w:t>
                              </w:r>
                              <w:r>
                                <w:rPr>
                                  <w:rFonts w:ascii="Arial" w:hAnsi="Arial" w:cs="Arial"/>
                                  <w:sz w:val="16"/>
                                  <w:szCs w:val="16"/>
                                </w:rPr>
                                <w:t>0</w:t>
                              </w:r>
                              <w:r w:rsidR="008759DD">
                                <w:rPr>
                                  <w:rFonts w:ascii="Arial" w:hAnsi="Arial" w:cs="Arial"/>
                                  <w:sz w:val="16"/>
                                  <w:szCs w:val="16"/>
                                </w:rPr>
                                <w:t>1</w:t>
                              </w:r>
                              <w:r w:rsidRPr="001608CF">
                                <w:rPr>
                                  <w:rFonts w:ascii="Arial" w:hAnsi="Arial" w:cs="Arial"/>
                                  <w:sz w:val="16"/>
                                  <w:szCs w:val="16"/>
                                </w:rPr>
                                <w:t>/</w:t>
                              </w:r>
                              <w:r>
                                <w:rPr>
                                  <w:rFonts w:ascii="Arial" w:hAnsi="Arial" w:cs="Arial"/>
                                  <w:sz w:val="16"/>
                                  <w:szCs w:val="16"/>
                                </w:rPr>
                                <w:t>31</w:t>
                              </w:r>
                              <w:r w:rsidRPr="001608CF">
                                <w:rPr>
                                  <w:rFonts w:ascii="Arial" w:hAnsi="Arial" w:cs="Arial"/>
                                  <w:sz w:val="16"/>
                                  <w:szCs w:val="16"/>
                                </w:rPr>
                                <w:t>/202</w:t>
                              </w:r>
                              <w:r w:rsidR="008759DD">
                                <w:rPr>
                                  <w:rFonts w:ascii="Arial" w:hAnsi="Arial" w:cs="Arial"/>
                                  <w:sz w:val="16"/>
                                  <w:szCs w:val="16"/>
                                </w:rPr>
                                <w:t>4</w:t>
                              </w:r>
                            </w:p>
                            <w:p w14:paraId="6F643B3E" w14:textId="77777777" w:rsidR="006F6129" w:rsidRPr="00BF0CB7" w:rsidRDefault="006F6129" w:rsidP="003754C3">
                              <w:pPr>
                                <w:spacing w:before="100" w:beforeAutospacing="1" w:after="100" w:afterAutospacing="1"/>
                                <w:rPr>
                                  <w:rFonts w:ascii="Arial" w:hAnsi="Arial" w:cs="Arial"/>
                                  <w:sz w:val="16"/>
                                  <w:szCs w:val="16"/>
                                </w:rPr>
                              </w:pPr>
                            </w:p>
                            <w:p w14:paraId="7341B7A0" w14:textId="77777777" w:rsidR="006F6129" w:rsidRPr="00BF0CB7" w:rsidRDefault="006F6129"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80388" y="323093"/>
                            <a:ext cx="1380112" cy="1945482"/>
                          </a:xfrm>
                          <a:prstGeom prst="rect">
                            <a:avLst/>
                          </a:prstGeom>
                          <a:noFill/>
                          <a:ln w="6350">
                            <a:noFill/>
                          </a:ln>
                        </wps:spPr>
                        <wps:txbx>
                          <w:txbxContent>
                            <w:p w14:paraId="3B2E69F0" w14:textId="77777777" w:rsidR="006F6129" w:rsidRPr="00BF0CB7" w:rsidRDefault="006F6129"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6F6129" w:rsidRPr="00BF0CB7" w:rsidRDefault="006F6129"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7" style="position:absolute;margin-left:-30.25pt;margin-top:428.3pt;width:559.5pt;height:288.2pt;z-index:251669504;mso-position-horizontal-relative:margin;mso-position-vertical-relative:page;mso-width-relative:margin;mso-height-relative:margin" coordorigin=",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">
                <v:rect id="Rectangle 17" o:spid="_x0000_s1028"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19" o:spid="_x0000_s1029" type="#_x0000_t202" style="position:absolute;left:13527;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6F6129" w:rsidRPr="00E93D58" w:rsidRDefault="006F6129"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w:t>
                        </w:r>
                      </w:p>
                      <w:p w14:paraId="08581732"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8A50AEC"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w:t>
                        </w:r>
                        <w:r w:rsidR="008E24F0" w:rsidRPr="001608CF">
                          <w:rPr>
                            <w:rFonts w:ascii="Arial" w:hAnsi="Arial" w:cs="Arial"/>
                            <w:sz w:val="16"/>
                            <w:szCs w:val="16"/>
                          </w:rPr>
                          <w:t>202</w:t>
                        </w:r>
                        <w:r w:rsidR="008E24F0">
                          <w:rPr>
                            <w:rFonts w:ascii="Arial" w:hAnsi="Arial" w:cs="Arial"/>
                            <w:sz w:val="16"/>
                            <w:szCs w:val="16"/>
                          </w:rPr>
                          <w:t>2</w:t>
                        </w:r>
                        <w:r w:rsidR="008E24F0" w:rsidRPr="001608CF">
                          <w:rPr>
                            <w:rFonts w:ascii="Arial" w:hAnsi="Arial" w:cs="Arial"/>
                            <w:sz w:val="16"/>
                            <w:szCs w:val="16"/>
                          </w:rPr>
                          <w:t xml:space="preserve"> </w:t>
                        </w:r>
                        <w:r w:rsidRPr="001608CF">
                          <w:rPr>
                            <w:rFonts w:ascii="Arial" w:hAnsi="Arial" w:cs="Arial"/>
                            <w:sz w:val="16"/>
                            <w:szCs w:val="16"/>
                          </w:rPr>
                          <w:t xml:space="preserve">AssetMark, Inc. All rights reserved. </w:t>
                        </w:r>
                        <w:r w:rsidR="005E0660">
                          <w:rPr>
                            <w:rFonts w:ascii="Arial" w:hAnsi="Arial" w:cs="Arial"/>
                            <w:sz w:val="16"/>
                            <w:szCs w:val="16"/>
                          </w:rPr>
                          <w:br/>
                        </w:r>
                        <w:r w:rsidRPr="00F04DFA">
                          <w:rPr>
                            <w:rFonts w:ascii="Arial" w:hAnsi="Arial" w:cs="Arial"/>
                            <w:sz w:val="16"/>
                            <w:szCs w:val="16"/>
                          </w:rPr>
                          <w:t>10</w:t>
                        </w:r>
                        <w:r w:rsidR="00F04DFA" w:rsidRPr="00F04DFA">
                          <w:rPr>
                            <w:rFonts w:ascii="Arial" w:hAnsi="Arial" w:cs="Arial"/>
                            <w:sz w:val="16"/>
                            <w:szCs w:val="16"/>
                          </w:rPr>
                          <w:t>3466</w:t>
                        </w:r>
                        <w:r w:rsidRPr="00F04DFA">
                          <w:rPr>
                            <w:rFonts w:ascii="Arial" w:hAnsi="Arial" w:cs="Arial"/>
                            <w:sz w:val="16"/>
                            <w:szCs w:val="16"/>
                          </w:rPr>
                          <w:t xml:space="preserve"> | </w:t>
                        </w:r>
                        <w:r w:rsidR="00F04DFA" w:rsidRPr="00F04DFA">
                          <w:rPr>
                            <w:rFonts w:ascii="Arial" w:hAnsi="Arial" w:cs="Arial"/>
                            <w:sz w:val="16"/>
                            <w:szCs w:val="16"/>
                          </w:rPr>
                          <w:t>C22-18375</w:t>
                        </w:r>
                        <w:r w:rsidR="00F04DFA" w:rsidRPr="00F04DFA">
                          <w:rPr>
                            <w:rFonts w:ascii="Arial" w:hAnsi="Arial" w:cs="Arial"/>
                            <w:sz w:val="16"/>
                            <w:szCs w:val="16"/>
                          </w:rPr>
                          <w:t xml:space="preserve"> </w:t>
                        </w:r>
                        <w:r w:rsidRPr="00F04DFA">
                          <w:rPr>
                            <w:rFonts w:ascii="Arial" w:hAnsi="Arial" w:cs="Arial"/>
                            <w:sz w:val="16"/>
                            <w:szCs w:val="16"/>
                          </w:rPr>
                          <w:t xml:space="preserve">| </w:t>
                        </w:r>
                        <w:r w:rsidR="008759DD" w:rsidRPr="00F04DFA">
                          <w:rPr>
                            <w:rFonts w:ascii="Arial" w:hAnsi="Arial" w:cs="Arial"/>
                            <w:sz w:val="16"/>
                            <w:szCs w:val="16"/>
                          </w:rPr>
                          <w:t>01</w:t>
                        </w:r>
                        <w:r w:rsidRPr="00F04DFA">
                          <w:rPr>
                            <w:rFonts w:ascii="Arial" w:hAnsi="Arial" w:cs="Arial"/>
                            <w:sz w:val="16"/>
                            <w:szCs w:val="16"/>
                          </w:rPr>
                          <w:t>/</w:t>
                        </w:r>
                        <w:r w:rsidRPr="001608CF">
                          <w:rPr>
                            <w:rFonts w:ascii="Arial" w:hAnsi="Arial" w:cs="Arial"/>
                            <w:sz w:val="16"/>
                            <w:szCs w:val="16"/>
                          </w:rPr>
                          <w:t>202</w:t>
                        </w:r>
                        <w:r w:rsidR="008759DD">
                          <w:rPr>
                            <w:rFonts w:ascii="Arial" w:hAnsi="Arial" w:cs="Arial"/>
                            <w:sz w:val="16"/>
                            <w:szCs w:val="16"/>
                          </w:rPr>
                          <w:t>2</w:t>
                        </w:r>
                        <w:r w:rsidRPr="001608CF">
                          <w:rPr>
                            <w:rFonts w:ascii="Arial" w:hAnsi="Arial" w:cs="Arial"/>
                            <w:sz w:val="16"/>
                            <w:szCs w:val="16"/>
                          </w:rPr>
                          <w:t xml:space="preserve"> | EXP </w:t>
                        </w:r>
                        <w:r>
                          <w:rPr>
                            <w:rFonts w:ascii="Arial" w:hAnsi="Arial" w:cs="Arial"/>
                            <w:sz w:val="16"/>
                            <w:szCs w:val="16"/>
                          </w:rPr>
                          <w:t>0</w:t>
                        </w:r>
                        <w:r w:rsidR="008759DD">
                          <w:rPr>
                            <w:rFonts w:ascii="Arial" w:hAnsi="Arial" w:cs="Arial"/>
                            <w:sz w:val="16"/>
                            <w:szCs w:val="16"/>
                          </w:rPr>
                          <w:t>1</w:t>
                        </w:r>
                        <w:r w:rsidRPr="001608CF">
                          <w:rPr>
                            <w:rFonts w:ascii="Arial" w:hAnsi="Arial" w:cs="Arial"/>
                            <w:sz w:val="16"/>
                            <w:szCs w:val="16"/>
                          </w:rPr>
                          <w:t>/</w:t>
                        </w:r>
                        <w:r>
                          <w:rPr>
                            <w:rFonts w:ascii="Arial" w:hAnsi="Arial" w:cs="Arial"/>
                            <w:sz w:val="16"/>
                            <w:szCs w:val="16"/>
                          </w:rPr>
                          <w:t>31</w:t>
                        </w:r>
                        <w:r w:rsidRPr="001608CF">
                          <w:rPr>
                            <w:rFonts w:ascii="Arial" w:hAnsi="Arial" w:cs="Arial"/>
                            <w:sz w:val="16"/>
                            <w:szCs w:val="16"/>
                          </w:rPr>
                          <w:t>/202</w:t>
                        </w:r>
                        <w:r w:rsidR="008759DD">
                          <w:rPr>
                            <w:rFonts w:ascii="Arial" w:hAnsi="Arial" w:cs="Arial"/>
                            <w:sz w:val="16"/>
                            <w:szCs w:val="16"/>
                          </w:rPr>
                          <w:t>4</w:t>
                        </w:r>
                      </w:p>
                      <w:p w14:paraId="6F643B3E" w14:textId="77777777" w:rsidR="006F6129" w:rsidRPr="00BF0CB7" w:rsidRDefault="006F6129" w:rsidP="003754C3">
                        <w:pPr>
                          <w:spacing w:before="100" w:beforeAutospacing="1" w:after="100" w:afterAutospacing="1"/>
                          <w:rPr>
                            <w:rFonts w:ascii="Arial" w:hAnsi="Arial" w:cs="Arial"/>
                            <w:sz w:val="16"/>
                            <w:szCs w:val="16"/>
                          </w:rPr>
                        </w:pPr>
                      </w:p>
                      <w:p w14:paraId="7341B7A0" w14:textId="77777777" w:rsidR="006F6129" w:rsidRPr="00BF0CB7" w:rsidRDefault="006F6129" w:rsidP="003754C3">
                        <w:pPr>
                          <w:spacing w:after="0" w:line="240" w:lineRule="auto"/>
                          <w:rPr>
                            <w:rFonts w:ascii="Arial" w:hAnsi="Arial" w:cs="Arial"/>
                            <w:sz w:val="16"/>
                            <w:szCs w:val="16"/>
                          </w:rPr>
                        </w:pPr>
                      </w:p>
                    </w:txbxContent>
                  </v:textbox>
                </v:shape>
                <v:shape id="Text Box 20" o:spid="_x0000_s1030" type="#_x0000_t202" style="position:absolute;left:803;top:3230;width:13802;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6F6129" w:rsidRPr="00BF0CB7" w:rsidRDefault="006F6129"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6F6129" w:rsidRPr="00BF0CB7" w:rsidRDefault="006F6129"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AB71" w14:textId="77777777" w:rsidR="00756248" w:rsidRDefault="00756248" w:rsidP="005C1D70">
      <w:pPr>
        <w:spacing w:after="0" w:line="240" w:lineRule="auto"/>
      </w:pPr>
      <w:r>
        <w:separator/>
      </w:r>
    </w:p>
  </w:endnote>
  <w:endnote w:type="continuationSeparator" w:id="0">
    <w:p w14:paraId="4B0CB7E8" w14:textId="77777777" w:rsidR="00756248" w:rsidRDefault="00756248" w:rsidP="005C1D70">
      <w:pPr>
        <w:spacing w:after="0" w:line="240" w:lineRule="auto"/>
      </w:pPr>
      <w:r>
        <w:continuationSeparator/>
      </w:r>
    </w:p>
  </w:endnote>
  <w:endnote w:id="1">
    <w:p w14:paraId="7A871F55" w14:textId="1CF9BBCA" w:rsidR="000C7B36" w:rsidRPr="000929CD" w:rsidRDefault="000C7B36">
      <w:pPr>
        <w:pStyle w:val="EndnoteText"/>
        <w:rPr>
          <w:rFonts w:ascii="Arial" w:hAnsi="Arial" w:cs="Arial"/>
          <w:sz w:val="16"/>
          <w:szCs w:val="16"/>
        </w:rPr>
      </w:pPr>
      <w:r w:rsidRPr="000929CD">
        <w:rPr>
          <w:rStyle w:val="EndnoteReference"/>
          <w:rFonts w:ascii="Arial" w:hAnsi="Arial" w:cs="Arial"/>
        </w:rPr>
        <w:endnoteRef/>
      </w:r>
      <w:r w:rsidRPr="000929CD">
        <w:rPr>
          <w:rFonts w:ascii="Arial" w:hAnsi="Arial" w:cs="Arial"/>
        </w:rPr>
        <w:t xml:space="preserve"> </w:t>
      </w:r>
      <w:r w:rsidRPr="000929CD">
        <w:rPr>
          <w:rFonts w:ascii="Arial" w:hAnsi="Arial" w:cs="Arial"/>
          <w:sz w:val="16"/>
          <w:szCs w:val="16"/>
        </w:rPr>
        <w:t>FactSet</w:t>
      </w:r>
    </w:p>
  </w:endnote>
  <w:endnote w:id="2">
    <w:p w14:paraId="1730638B" w14:textId="2C200506" w:rsidR="000C7B36" w:rsidRPr="000929CD" w:rsidRDefault="000C7B36">
      <w:pPr>
        <w:pStyle w:val="EndnoteText"/>
        <w:rPr>
          <w:rFonts w:ascii="Arial" w:hAnsi="Arial" w:cs="Arial"/>
          <w:sz w:val="16"/>
          <w:szCs w:val="16"/>
        </w:rPr>
      </w:pPr>
      <w:r w:rsidRPr="000929CD">
        <w:rPr>
          <w:rStyle w:val="EndnoteReference"/>
          <w:rFonts w:ascii="Arial" w:hAnsi="Arial" w:cs="Arial"/>
          <w:sz w:val="16"/>
          <w:szCs w:val="16"/>
        </w:rPr>
        <w:endnoteRef/>
      </w:r>
      <w:r w:rsidRPr="000929CD">
        <w:rPr>
          <w:rFonts w:ascii="Arial" w:hAnsi="Arial" w:cs="Arial"/>
          <w:sz w:val="16"/>
          <w:szCs w:val="16"/>
        </w:rPr>
        <w:t xml:space="preserve"> Ned Davis Research Benchmark Review January 2022: Stocks climb ultimate wall of worry</w:t>
      </w:r>
    </w:p>
  </w:endnote>
  <w:endnote w:id="3">
    <w:p w14:paraId="7E9A3624" w14:textId="6F0B43E8" w:rsidR="000C7B36" w:rsidRPr="000929CD" w:rsidRDefault="000C7B36">
      <w:pPr>
        <w:pStyle w:val="EndnoteText"/>
        <w:rPr>
          <w:rFonts w:ascii="Arial" w:hAnsi="Arial" w:cs="Arial"/>
          <w:sz w:val="16"/>
          <w:szCs w:val="16"/>
        </w:rPr>
      </w:pPr>
      <w:r w:rsidRPr="000929CD">
        <w:rPr>
          <w:rStyle w:val="EndnoteReference"/>
          <w:rFonts w:ascii="Arial" w:hAnsi="Arial" w:cs="Arial"/>
          <w:sz w:val="16"/>
          <w:szCs w:val="16"/>
        </w:rPr>
        <w:endnoteRef/>
      </w:r>
      <w:r w:rsidRPr="000929CD">
        <w:rPr>
          <w:rFonts w:ascii="Arial" w:hAnsi="Arial" w:cs="Arial"/>
          <w:sz w:val="16"/>
          <w:szCs w:val="16"/>
        </w:rPr>
        <w:t xml:space="preserve"> S&amp;P Dow Jones: https://www.spglobal.com/spdji/en/indices/equity/sp-500/#overview</w:t>
      </w:r>
    </w:p>
  </w:endnote>
  <w:endnote w:id="4">
    <w:p w14:paraId="4E4AF7A3" w14:textId="2DFE9AA2" w:rsidR="00CF1BDB" w:rsidRPr="000929CD" w:rsidRDefault="00CF1BDB">
      <w:pPr>
        <w:pStyle w:val="EndnoteText"/>
        <w:rPr>
          <w:rFonts w:ascii="Arial" w:hAnsi="Arial" w:cs="Arial"/>
          <w:sz w:val="16"/>
          <w:szCs w:val="16"/>
        </w:rPr>
      </w:pPr>
      <w:r w:rsidRPr="000929CD">
        <w:rPr>
          <w:rStyle w:val="EndnoteReference"/>
          <w:rFonts w:ascii="Arial" w:hAnsi="Arial" w:cs="Arial"/>
          <w:sz w:val="16"/>
          <w:szCs w:val="16"/>
        </w:rPr>
        <w:endnoteRef/>
      </w:r>
      <w:r w:rsidRPr="000929CD">
        <w:rPr>
          <w:rFonts w:ascii="Arial" w:hAnsi="Arial" w:cs="Arial"/>
          <w:sz w:val="16"/>
          <w:szCs w:val="16"/>
        </w:rPr>
        <w:t xml:space="preserve"> https://www.morningstar.com/articles/1071605/4-charts-on-apples-3-trillion-market-cap</w:t>
      </w:r>
    </w:p>
  </w:endnote>
  <w:endnote w:id="5">
    <w:p w14:paraId="73987202" w14:textId="419FE895" w:rsidR="00CF1BDB" w:rsidRPr="000929CD" w:rsidRDefault="00CF1BDB">
      <w:pPr>
        <w:pStyle w:val="EndnoteText"/>
        <w:rPr>
          <w:rFonts w:ascii="Arial" w:hAnsi="Arial" w:cs="Arial"/>
          <w:sz w:val="16"/>
          <w:szCs w:val="16"/>
        </w:rPr>
      </w:pPr>
      <w:r w:rsidRPr="000929CD">
        <w:rPr>
          <w:rStyle w:val="EndnoteReference"/>
          <w:rFonts w:ascii="Arial" w:hAnsi="Arial" w:cs="Arial"/>
          <w:sz w:val="16"/>
          <w:szCs w:val="16"/>
        </w:rPr>
        <w:endnoteRef/>
      </w:r>
      <w:r w:rsidRPr="000929CD">
        <w:rPr>
          <w:rFonts w:ascii="Arial" w:hAnsi="Arial" w:cs="Arial"/>
          <w:sz w:val="16"/>
          <w:szCs w:val="16"/>
        </w:rPr>
        <w:t xml:space="preserve"> https://am.jpmorgan.com/us/en/asset-management/adv/insights/market-insights/market-updates/on-the-minds-of-investors/what-will-happen-to-the-top-10-sp-500-companies-in-2022/</w:t>
      </w:r>
    </w:p>
  </w:endnote>
  <w:endnote w:id="6">
    <w:p w14:paraId="5AAAD1B7" w14:textId="43F031EF" w:rsidR="00CF1BDB" w:rsidRPr="000929CD" w:rsidRDefault="00CF1BDB">
      <w:pPr>
        <w:pStyle w:val="EndnoteText"/>
        <w:rPr>
          <w:rFonts w:ascii="Arial" w:hAnsi="Arial" w:cs="Arial"/>
          <w:sz w:val="16"/>
          <w:szCs w:val="16"/>
        </w:rPr>
      </w:pPr>
      <w:r w:rsidRPr="000929CD">
        <w:rPr>
          <w:rStyle w:val="EndnoteReference"/>
          <w:rFonts w:ascii="Arial" w:hAnsi="Arial" w:cs="Arial"/>
          <w:sz w:val="16"/>
          <w:szCs w:val="16"/>
        </w:rPr>
        <w:endnoteRef/>
      </w:r>
      <w:r w:rsidRPr="000929CD">
        <w:rPr>
          <w:rFonts w:ascii="Arial" w:hAnsi="Arial" w:cs="Arial"/>
          <w:sz w:val="16"/>
          <w:szCs w:val="16"/>
        </w:rPr>
        <w:t xml:space="preserve"> FactSet. AssetMark quarter end insights Q4’20: What the heck happened in 2022?</w:t>
      </w:r>
    </w:p>
  </w:endnote>
  <w:endnote w:id="7">
    <w:p w14:paraId="373194E0" w14:textId="6B3053B7" w:rsidR="00CF1BDB" w:rsidRPr="000929CD" w:rsidRDefault="00CF1BDB">
      <w:pPr>
        <w:pStyle w:val="EndnoteText"/>
        <w:rPr>
          <w:rFonts w:ascii="Arial" w:hAnsi="Arial" w:cs="Arial"/>
          <w:sz w:val="16"/>
          <w:szCs w:val="16"/>
        </w:rPr>
      </w:pPr>
      <w:r w:rsidRPr="000929CD">
        <w:rPr>
          <w:rStyle w:val="EndnoteReference"/>
          <w:rFonts w:ascii="Arial" w:hAnsi="Arial" w:cs="Arial"/>
        </w:rPr>
        <w:endnoteRef/>
      </w:r>
      <w:r w:rsidRPr="000929CD">
        <w:rPr>
          <w:rFonts w:ascii="Arial" w:hAnsi="Arial" w:cs="Arial"/>
        </w:rPr>
        <w:t xml:space="preserve"> </w:t>
      </w:r>
      <w:r w:rsidRPr="000929CD">
        <w:rPr>
          <w:rFonts w:ascii="Arial" w:hAnsi="Arial" w:cs="Arial"/>
          <w:sz w:val="16"/>
          <w:szCs w:val="16"/>
        </w:rPr>
        <w:t>JPMorgan Asset Management.  Q1’22 Guide to the Markets.</w:t>
      </w:r>
    </w:p>
    <w:p w14:paraId="380882E6" w14:textId="39928F4A" w:rsidR="008E24F0" w:rsidRDefault="008E24F0">
      <w:pPr>
        <w:pStyle w:val="EndnoteText"/>
        <w:rPr>
          <w:rFonts w:ascii="Arial" w:hAnsi="Arial" w:cs="Arial"/>
          <w:sz w:val="16"/>
          <w:szCs w:val="16"/>
        </w:rPr>
      </w:pPr>
    </w:p>
    <w:p w14:paraId="468FECA3" w14:textId="1A76127E" w:rsidR="008E24F0" w:rsidRDefault="008E24F0">
      <w:pPr>
        <w:pStyle w:val="EndnoteText"/>
        <w:rPr>
          <w:rFonts w:ascii="Arial" w:hAnsi="Arial" w:cs="Arial"/>
          <w:sz w:val="16"/>
          <w:szCs w:val="16"/>
        </w:rPr>
      </w:pPr>
    </w:p>
    <w:p w14:paraId="3EB0271E" w14:textId="06D97E59" w:rsidR="008E24F0" w:rsidRDefault="008E24F0">
      <w:pPr>
        <w:pStyle w:val="EndnoteText"/>
        <w:rPr>
          <w:rFonts w:ascii="Arial" w:hAnsi="Arial" w:cs="Arial"/>
          <w:sz w:val="16"/>
          <w:szCs w:val="16"/>
        </w:rPr>
      </w:pPr>
    </w:p>
    <w:p w14:paraId="60D0C4A4" w14:textId="4414BD24" w:rsidR="008E24F0" w:rsidRDefault="008E24F0">
      <w:pPr>
        <w:pStyle w:val="EndnoteText"/>
        <w:rPr>
          <w:rFonts w:ascii="Arial" w:hAnsi="Arial" w:cs="Arial"/>
          <w:sz w:val="16"/>
          <w:szCs w:val="16"/>
        </w:rPr>
      </w:pPr>
    </w:p>
    <w:p w14:paraId="6AA8E7B1" w14:textId="77777777" w:rsidR="008E24F0" w:rsidRPr="008E24F0" w:rsidRDefault="008E24F0">
      <w:pPr>
        <w:pStyle w:val="Endnote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6F6129" w:rsidRDefault="006F6129"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6F6129" w:rsidRDefault="006F6129"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6F6129" w:rsidRPr="008B4A8A" w:rsidRDefault="006F6129"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6F6129" w:rsidRDefault="006F6129"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6F6129" w:rsidRPr="008B4A8A" w:rsidRDefault="006F6129"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6F6129" w:rsidRPr="008B4A8A" w:rsidRDefault="006F6129"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6F6129" w:rsidRPr="008B4A8A" w:rsidRDefault="006F6129"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6F6129" w:rsidRPr="008B4A8A" w:rsidRDefault="006F6129"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6F6129" w:rsidRPr="008B4A8A" w:rsidRDefault="006F6129"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6F6129" w:rsidRPr="008B4A8A" w:rsidRDefault="006F6129"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4651E"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6F6129" w:rsidRPr="008B4A8A" w:rsidRDefault="006F6129"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6F6129" w:rsidRDefault="006F6129"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6F6129" w:rsidRPr="008B4A8A" w:rsidRDefault="006F6129"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4"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6F6129" w:rsidRPr="008B4A8A" w:rsidRDefault="006F6129"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918B3"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6F6129" w:rsidRPr="008B4A8A" w:rsidRDefault="006F6129"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5"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6F6129" w:rsidRPr="008B4A8A" w:rsidRDefault="006F6129"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4F38F" w14:textId="77777777" w:rsidR="00756248" w:rsidRDefault="00756248" w:rsidP="005C1D70">
      <w:pPr>
        <w:spacing w:after="0" w:line="240" w:lineRule="auto"/>
      </w:pPr>
      <w:r>
        <w:separator/>
      </w:r>
    </w:p>
  </w:footnote>
  <w:footnote w:type="continuationSeparator" w:id="0">
    <w:p w14:paraId="0D891F17" w14:textId="77777777" w:rsidR="00756248" w:rsidRDefault="00756248"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6F6129" w:rsidRDefault="006F6129" w:rsidP="00996FBD">
    <w:pPr>
      <w:pStyle w:val="Header"/>
      <w:ind w:left="-720"/>
    </w:pPr>
  </w:p>
  <w:p w14:paraId="166473A2" w14:textId="77777777" w:rsidR="006F6129" w:rsidRDefault="006F6129" w:rsidP="00996FBD">
    <w:pPr>
      <w:pStyle w:val="Header"/>
      <w:ind w:left="-720"/>
    </w:pPr>
  </w:p>
  <w:p w14:paraId="350B5968" w14:textId="0B1742A5" w:rsidR="006F6129" w:rsidRDefault="006F6129"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4638B"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6F6129" w:rsidRDefault="006F6129"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11D62673" w:rsidR="006F6129" w:rsidRDefault="006F6129" w:rsidP="009E3EDC">
                          <w:pPr>
                            <w:jc w:val="right"/>
                            <w:rPr>
                              <w:rFonts w:ascii="Arial" w:hAnsi="Arial" w:cs="Arial"/>
                              <w:color w:val="AEAAAA"/>
                              <w:sz w:val="20"/>
                              <w:szCs w:val="36"/>
                            </w:rPr>
                          </w:pPr>
                          <w:r>
                            <w:rPr>
                              <w:rFonts w:ascii="Arial" w:hAnsi="Arial" w:cs="Arial"/>
                              <w:color w:val="AEAAAA"/>
                              <w:sz w:val="20"/>
                              <w:szCs w:val="36"/>
                            </w:rPr>
                            <w:t>January 14, 202</w:t>
                          </w:r>
                          <w:r w:rsidR="00DF2D57">
                            <w:rPr>
                              <w:rFonts w:ascii="Arial" w:hAnsi="Arial" w:cs="Arial"/>
                              <w:color w:val="AEAAAA"/>
                              <w:sz w:val="20"/>
                              <w:szCs w:val="36"/>
                            </w:rPr>
                            <w:t>2</w:t>
                          </w:r>
                        </w:p>
                        <w:p w14:paraId="156B098E" w14:textId="77777777" w:rsidR="006F6129" w:rsidRPr="008B4A8A" w:rsidRDefault="006F6129"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11D62673" w:rsidR="006F6129" w:rsidRDefault="006F6129" w:rsidP="009E3EDC">
                    <w:pPr>
                      <w:jc w:val="right"/>
                      <w:rPr>
                        <w:rFonts w:ascii="Arial" w:hAnsi="Arial" w:cs="Arial"/>
                        <w:color w:val="AEAAAA"/>
                        <w:sz w:val="20"/>
                        <w:szCs w:val="36"/>
                      </w:rPr>
                    </w:pPr>
                    <w:r>
                      <w:rPr>
                        <w:rFonts w:ascii="Arial" w:hAnsi="Arial" w:cs="Arial"/>
                        <w:color w:val="AEAAAA"/>
                        <w:sz w:val="20"/>
                        <w:szCs w:val="36"/>
                      </w:rPr>
                      <w:t>January 14, 202</w:t>
                    </w:r>
                    <w:r w:rsidR="00DF2D57">
                      <w:rPr>
                        <w:rFonts w:ascii="Arial" w:hAnsi="Arial" w:cs="Arial"/>
                        <w:color w:val="AEAAAA"/>
                        <w:sz w:val="20"/>
                        <w:szCs w:val="36"/>
                      </w:rPr>
                      <w:t>2</w:t>
                    </w:r>
                  </w:p>
                  <w:p w14:paraId="156B098E" w14:textId="77777777" w:rsidR="006F6129" w:rsidRPr="008B4A8A" w:rsidRDefault="006F6129"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0"/>
    <w:rsid w:val="000043EE"/>
    <w:rsid w:val="00007A7E"/>
    <w:rsid w:val="00011F27"/>
    <w:rsid w:val="00013C3B"/>
    <w:rsid w:val="00014A86"/>
    <w:rsid w:val="00016B9E"/>
    <w:rsid w:val="000237AA"/>
    <w:rsid w:val="00024EDD"/>
    <w:rsid w:val="00031312"/>
    <w:rsid w:val="00031DB6"/>
    <w:rsid w:val="0003429B"/>
    <w:rsid w:val="00035619"/>
    <w:rsid w:val="000427FA"/>
    <w:rsid w:val="00051DC9"/>
    <w:rsid w:val="0005734C"/>
    <w:rsid w:val="00057CD7"/>
    <w:rsid w:val="00064758"/>
    <w:rsid w:val="00073935"/>
    <w:rsid w:val="00077C58"/>
    <w:rsid w:val="000814C1"/>
    <w:rsid w:val="000929CD"/>
    <w:rsid w:val="00093973"/>
    <w:rsid w:val="00096A6C"/>
    <w:rsid w:val="000A2233"/>
    <w:rsid w:val="000A4620"/>
    <w:rsid w:val="000A760B"/>
    <w:rsid w:val="000A7E8D"/>
    <w:rsid w:val="000B2085"/>
    <w:rsid w:val="000B3CA3"/>
    <w:rsid w:val="000B6176"/>
    <w:rsid w:val="000C55B3"/>
    <w:rsid w:val="000C674B"/>
    <w:rsid w:val="000C7482"/>
    <w:rsid w:val="000C7933"/>
    <w:rsid w:val="000C7B36"/>
    <w:rsid w:val="000D0E03"/>
    <w:rsid w:val="000D43D0"/>
    <w:rsid w:val="000E2036"/>
    <w:rsid w:val="000E404D"/>
    <w:rsid w:val="000E447D"/>
    <w:rsid w:val="000E4B22"/>
    <w:rsid w:val="000E4CDF"/>
    <w:rsid w:val="000E5951"/>
    <w:rsid w:val="000F2133"/>
    <w:rsid w:val="000F551E"/>
    <w:rsid w:val="000F6A69"/>
    <w:rsid w:val="001047E4"/>
    <w:rsid w:val="00110FFE"/>
    <w:rsid w:val="0011228C"/>
    <w:rsid w:val="00112B8A"/>
    <w:rsid w:val="00114651"/>
    <w:rsid w:val="00117B3B"/>
    <w:rsid w:val="00121CF0"/>
    <w:rsid w:val="00123F1D"/>
    <w:rsid w:val="001260CB"/>
    <w:rsid w:val="00126195"/>
    <w:rsid w:val="00127AFA"/>
    <w:rsid w:val="00130B9C"/>
    <w:rsid w:val="0013278D"/>
    <w:rsid w:val="00133187"/>
    <w:rsid w:val="0014279D"/>
    <w:rsid w:val="00143519"/>
    <w:rsid w:val="00144C3A"/>
    <w:rsid w:val="0014514F"/>
    <w:rsid w:val="00146451"/>
    <w:rsid w:val="00147715"/>
    <w:rsid w:val="00155B0B"/>
    <w:rsid w:val="00156683"/>
    <w:rsid w:val="00156EC5"/>
    <w:rsid w:val="00161B4E"/>
    <w:rsid w:val="00162E7B"/>
    <w:rsid w:val="001645A2"/>
    <w:rsid w:val="00164708"/>
    <w:rsid w:val="00165402"/>
    <w:rsid w:val="0016684C"/>
    <w:rsid w:val="00166ABC"/>
    <w:rsid w:val="00170C4F"/>
    <w:rsid w:val="00170E19"/>
    <w:rsid w:val="0017224E"/>
    <w:rsid w:val="001744D7"/>
    <w:rsid w:val="0018075C"/>
    <w:rsid w:val="00184150"/>
    <w:rsid w:val="001926E4"/>
    <w:rsid w:val="001957F2"/>
    <w:rsid w:val="001A040C"/>
    <w:rsid w:val="001A6491"/>
    <w:rsid w:val="001B551C"/>
    <w:rsid w:val="001B65CA"/>
    <w:rsid w:val="001B76D2"/>
    <w:rsid w:val="001C047B"/>
    <w:rsid w:val="001C243B"/>
    <w:rsid w:val="001C3E90"/>
    <w:rsid w:val="001C477B"/>
    <w:rsid w:val="001D2EE2"/>
    <w:rsid w:val="001D2FA9"/>
    <w:rsid w:val="001D3A38"/>
    <w:rsid w:val="001D4A8D"/>
    <w:rsid w:val="001D4CFE"/>
    <w:rsid w:val="001D5DF3"/>
    <w:rsid w:val="001E2268"/>
    <w:rsid w:val="001E2B7F"/>
    <w:rsid w:val="001F0507"/>
    <w:rsid w:val="001F0944"/>
    <w:rsid w:val="001F098B"/>
    <w:rsid w:val="001F0FA4"/>
    <w:rsid w:val="001F45DD"/>
    <w:rsid w:val="0020044D"/>
    <w:rsid w:val="00211BCA"/>
    <w:rsid w:val="00212956"/>
    <w:rsid w:val="00213A9D"/>
    <w:rsid w:val="0021401F"/>
    <w:rsid w:val="00214629"/>
    <w:rsid w:val="00214D8B"/>
    <w:rsid w:val="00215CFE"/>
    <w:rsid w:val="00215F97"/>
    <w:rsid w:val="002243D2"/>
    <w:rsid w:val="00226A6D"/>
    <w:rsid w:val="00232F51"/>
    <w:rsid w:val="00233528"/>
    <w:rsid w:val="002339F7"/>
    <w:rsid w:val="00233CEA"/>
    <w:rsid w:val="00234A5C"/>
    <w:rsid w:val="00241176"/>
    <w:rsid w:val="002414FC"/>
    <w:rsid w:val="00241D44"/>
    <w:rsid w:val="00255D97"/>
    <w:rsid w:val="00255EB5"/>
    <w:rsid w:val="00265075"/>
    <w:rsid w:val="002659A6"/>
    <w:rsid w:val="002708C4"/>
    <w:rsid w:val="002751E2"/>
    <w:rsid w:val="00281698"/>
    <w:rsid w:val="00290E09"/>
    <w:rsid w:val="002912C5"/>
    <w:rsid w:val="0029314A"/>
    <w:rsid w:val="0029512E"/>
    <w:rsid w:val="002955AA"/>
    <w:rsid w:val="002960FC"/>
    <w:rsid w:val="0029684A"/>
    <w:rsid w:val="00297580"/>
    <w:rsid w:val="00297BB0"/>
    <w:rsid w:val="002A2138"/>
    <w:rsid w:val="002A7DEA"/>
    <w:rsid w:val="002B220F"/>
    <w:rsid w:val="002B31C6"/>
    <w:rsid w:val="002B6D36"/>
    <w:rsid w:val="002C1935"/>
    <w:rsid w:val="002C229B"/>
    <w:rsid w:val="002C6432"/>
    <w:rsid w:val="002C7703"/>
    <w:rsid w:val="002C798B"/>
    <w:rsid w:val="002D0F7B"/>
    <w:rsid w:val="002D3388"/>
    <w:rsid w:val="002D46F1"/>
    <w:rsid w:val="002D4BD5"/>
    <w:rsid w:val="002D68F9"/>
    <w:rsid w:val="002D7656"/>
    <w:rsid w:val="002D792A"/>
    <w:rsid w:val="002E0AA7"/>
    <w:rsid w:val="002E2045"/>
    <w:rsid w:val="002E7066"/>
    <w:rsid w:val="002E71A1"/>
    <w:rsid w:val="002F1B79"/>
    <w:rsid w:val="002F2EB0"/>
    <w:rsid w:val="002F2F80"/>
    <w:rsid w:val="002F5DC3"/>
    <w:rsid w:val="00301C1D"/>
    <w:rsid w:val="00302B13"/>
    <w:rsid w:val="00303F38"/>
    <w:rsid w:val="003052C2"/>
    <w:rsid w:val="003070A6"/>
    <w:rsid w:val="00307E75"/>
    <w:rsid w:val="0031343F"/>
    <w:rsid w:val="0031348F"/>
    <w:rsid w:val="00315EC7"/>
    <w:rsid w:val="00322F96"/>
    <w:rsid w:val="00323D0F"/>
    <w:rsid w:val="00323FC2"/>
    <w:rsid w:val="00331075"/>
    <w:rsid w:val="00331D05"/>
    <w:rsid w:val="0033297F"/>
    <w:rsid w:val="00334159"/>
    <w:rsid w:val="00340852"/>
    <w:rsid w:val="0034596F"/>
    <w:rsid w:val="003509EE"/>
    <w:rsid w:val="0035338A"/>
    <w:rsid w:val="003534F5"/>
    <w:rsid w:val="003569DC"/>
    <w:rsid w:val="00356D33"/>
    <w:rsid w:val="00357E0E"/>
    <w:rsid w:val="00363D8E"/>
    <w:rsid w:val="003651A6"/>
    <w:rsid w:val="0036558D"/>
    <w:rsid w:val="00366DA7"/>
    <w:rsid w:val="003709E5"/>
    <w:rsid w:val="003742C6"/>
    <w:rsid w:val="003754C3"/>
    <w:rsid w:val="00376588"/>
    <w:rsid w:val="00376E67"/>
    <w:rsid w:val="00377387"/>
    <w:rsid w:val="00380146"/>
    <w:rsid w:val="0038303E"/>
    <w:rsid w:val="003873A0"/>
    <w:rsid w:val="0038787E"/>
    <w:rsid w:val="003907BC"/>
    <w:rsid w:val="003974FF"/>
    <w:rsid w:val="003A309F"/>
    <w:rsid w:val="003A3169"/>
    <w:rsid w:val="003A3DC3"/>
    <w:rsid w:val="003B7A4F"/>
    <w:rsid w:val="003C1DC1"/>
    <w:rsid w:val="003C336F"/>
    <w:rsid w:val="003C3B39"/>
    <w:rsid w:val="003C4FEE"/>
    <w:rsid w:val="003C650F"/>
    <w:rsid w:val="003D0E87"/>
    <w:rsid w:val="003D3D89"/>
    <w:rsid w:val="003D4EDF"/>
    <w:rsid w:val="003D5178"/>
    <w:rsid w:val="003D5BAD"/>
    <w:rsid w:val="003D5CC5"/>
    <w:rsid w:val="003E123B"/>
    <w:rsid w:val="003E3F96"/>
    <w:rsid w:val="003F2AC0"/>
    <w:rsid w:val="003F53A2"/>
    <w:rsid w:val="003F5425"/>
    <w:rsid w:val="0040163B"/>
    <w:rsid w:val="0040338F"/>
    <w:rsid w:val="00406D87"/>
    <w:rsid w:val="00407E87"/>
    <w:rsid w:val="00410B19"/>
    <w:rsid w:val="004206E4"/>
    <w:rsid w:val="00420FAA"/>
    <w:rsid w:val="00423F94"/>
    <w:rsid w:val="00427DDA"/>
    <w:rsid w:val="00434065"/>
    <w:rsid w:val="00434FBC"/>
    <w:rsid w:val="004378DA"/>
    <w:rsid w:val="00437948"/>
    <w:rsid w:val="0044440F"/>
    <w:rsid w:val="00444CF7"/>
    <w:rsid w:val="00445821"/>
    <w:rsid w:val="0044736D"/>
    <w:rsid w:val="00450975"/>
    <w:rsid w:val="00450A25"/>
    <w:rsid w:val="004532EF"/>
    <w:rsid w:val="004537D3"/>
    <w:rsid w:val="004603CA"/>
    <w:rsid w:val="0046213A"/>
    <w:rsid w:val="0046252A"/>
    <w:rsid w:val="00463D78"/>
    <w:rsid w:val="004674A8"/>
    <w:rsid w:val="004710D7"/>
    <w:rsid w:val="00471615"/>
    <w:rsid w:val="004727FE"/>
    <w:rsid w:val="0047452A"/>
    <w:rsid w:val="00474874"/>
    <w:rsid w:val="004763F5"/>
    <w:rsid w:val="00477034"/>
    <w:rsid w:val="004827A8"/>
    <w:rsid w:val="00482AD8"/>
    <w:rsid w:val="00483BB5"/>
    <w:rsid w:val="0048463F"/>
    <w:rsid w:val="0048697A"/>
    <w:rsid w:val="00495D8E"/>
    <w:rsid w:val="004A21C9"/>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F0430"/>
    <w:rsid w:val="004F3550"/>
    <w:rsid w:val="004F48A9"/>
    <w:rsid w:val="004F48E6"/>
    <w:rsid w:val="004F54B4"/>
    <w:rsid w:val="004F5BA3"/>
    <w:rsid w:val="004F7BEC"/>
    <w:rsid w:val="005127E9"/>
    <w:rsid w:val="0051378D"/>
    <w:rsid w:val="00514508"/>
    <w:rsid w:val="00514888"/>
    <w:rsid w:val="00520C19"/>
    <w:rsid w:val="00522CE9"/>
    <w:rsid w:val="00525999"/>
    <w:rsid w:val="00525FA1"/>
    <w:rsid w:val="00530D3C"/>
    <w:rsid w:val="00531E8F"/>
    <w:rsid w:val="005416C7"/>
    <w:rsid w:val="0054674E"/>
    <w:rsid w:val="00547C3B"/>
    <w:rsid w:val="00550B80"/>
    <w:rsid w:val="005515D6"/>
    <w:rsid w:val="00555908"/>
    <w:rsid w:val="005572CF"/>
    <w:rsid w:val="00562245"/>
    <w:rsid w:val="00564BFD"/>
    <w:rsid w:val="005652D2"/>
    <w:rsid w:val="00570E73"/>
    <w:rsid w:val="00571345"/>
    <w:rsid w:val="0057379A"/>
    <w:rsid w:val="00581037"/>
    <w:rsid w:val="00582149"/>
    <w:rsid w:val="00582BFE"/>
    <w:rsid w:val="00586AAD"/>
    <w:rsid w:val="00590056"/>
    <w:rsid w:val="005916CE"/>
    <w:rsid w:val="0059513C"/>
    <w:rsid w:val="00596070"/>
    <w:rsid w:val="00596876"/>
    <w:rsid w:val="005A5979"/>
    <w:rsid w:val="005A6887"/>
    <w:rsid w:val="005B33D6"/>
    <w:rsid w:val="005B365C"/>
    <w:rsid w:val="005B7780"/>
    <w:rsid w:val="005B7C4C"/>
    <w:rsid w:val="005C1D70"/>
    <w:rsid w:val="005C22FC"/>
    <w:rsid w:val="005C27A1"/>
    <w:rsid w:val="005C2B1F"/>
    <w:rsid w:val="005C2D88"/>
    <w:rsid w:val="005C2F9E"/>
    <w:rsid w:val="005D5738"/>
    <w:rsid w:val="005D65A6"/>
    <w:rsid w:val="005E0660"/>
    <w:rsid w:val="005E4024"/>
    <w:rsid w:val="005F61E2"/>
    <w:rsid w:val="00601835"/>
    <w:rsid w:val="00603925"/>
    <w:rsid w:val="00603D45"/>
    <w:rsid w:val="00613E83"/>
    <w:rsid w:val="00620910"/>
    <w:rsid w:val="006211B4"/>
    <w:rsid w:val="00623B55"/>
    <w:rsid w:val="00623D5A"/>
    <w:rsid w:val="006242E4"/>
    <w:rsid w:val="0063081C"/>
    <w:rsid w:val="00630922"/>
    <w:rsid w:val="00631170"/>
    <w:rsid w:val="00632F74"/>
    <w:rsid w:val="0063377A"/>
    <w:rsid w:val="00635259"/>
    <w:rsid w:val="006370DE"/>
    <w:rsid w:val="00641BFD"/>
    <w:rsid w:val="00645E5D"/>
    <w:rsid w:val="00646820"/>
    <w:rsid w:val="0064788F"/>
    <w:rsid w:val="00651728"/>
    <w:rsid w:val="006569F4"/>
    <w:rsid w:val="00663970"/>
    <w:rsid w:val="00663F9A"/>
    <w:rsid w:val="0066505F"/>
    <w:rsid w:val="00665F3D"/>
    <w:rsid w:val="00675FB6"/>
    <w:rsid w:val="00677960"/>
    <w:rsid w:val="00680792"/>
    <w:rsid w:val="006854F9"/>
    <w:rsid w:val="00690366"/>
    <w:rsid w:val="00692877"/>
    <w:rsid w:val="00697FB9"/>
    <w:rsid w:val="006A20D7"/>
    <w:rsid w:val="006A6909"/>
    <w:rsid w:val="006A692C"/>
    <w:rsid w:val="006B1FA0"/>
    <w:rsid w:val="006B38C4"/>
    <w:rsid w:val="006B764E"/>
    <w:rsid w:val="006C1713"/>
    <w:rsid w:val="006D18A5"/>
    <w:rsid w:val="006D5AD6"/>
    <w:rsid w:val="006D5D51"/>
    <w:rsid w:val="006E0642"/>
    <w:rsid w:val="006E42E2"/>
    <w:rsid w:val="006E5EAE"/>
    <w:rsid w:val="006F1801"/>
    <w:rsid w:val="006F1B86"/>
    <w:rsid w:val="006F2D20"/>
    <w:rsid w:val="006F383D"/>
    <w:rsid w:val="006F6129"/>
    <w:rsid w:val="00703AD3"/>
    <w:rsid w:val="00705C3D"/>
    <w:rsid w:val="00706685"/>
    <w:rsid w:val="00707886"/>
    <w:rsid w:val="0071390F"/>
    <w:rsid w:val="00715896"/>
    <w:rsid w:val="00717D73"/>
    <w:rsid w:val="0072228E"/>
    <w:rsid w:val="00724D03"/>
    <w:rsid w:val="0072654A"/>
    <w:rsid w:val="00726D1F"/>
    <w:rsid w:val="00732536"/>
    <w:rsid w:val="00732C2F"/>
    <w:rsid w:val="007343DA"/>
    <w:rsid w:val="00735F86"/>
    <w:rsid w:val="007361B6"/>
    <w:rsid w:val="007400AC"/>
    <w:rsid w:val="007402C1"/>
    <w:rsid w:val="00741A0D"/>
    <w:rsid w:val="00742910"/>
    <w:rsid w:val="00747F8C"/>
    <w:rsid w:val="00751326"/>
    <w:rsid w:val="00755D9E"/>
    <w:rsid w:val="00756238"/>
    <w:rsid w:val="00756248"/>
    <w:rsid w:val="00761689"/>
    <w:rsid w:val="00762787"/>
    <w:rsid w:val="007667FA"/>
    <w:rsid w:val="00766F4E"/>
    <w:rsid w:val="007725C0"/>
    <w:rsid w:val="0077368A"/>
    <w:rsid w:val="00774792"/>
    <w:rsid w:val="007751EB"/>
    <w:rsid w:val="007761D0"/>
    <w:rsid w:val="00776670"/>
    <w:rsid w:val="00777E17"/>
    <w:rsid w:val="00786712"/>
    <w:rsid w:val="0079056F"/>
    <w:rsid w:val="00791AA8"/>
    <w:rsid w:val="00793E10"/>
    <w:rsid w:val="007A0788"/>
    <w:rsid w:val="007A1E85"/>
    <w:rsid w:val="007A2FFC"/>
    <w:rsid w:val="007A371C"/>
    <w:rsid w:val="007A42B7"/>
    <w:rsid w:val="007A5E45"/>
    <w:rsid w:val="007B0461"/>
    <w:rsid w:val="007B1224"/>
    <w:rsid w:val="007C2762"/>
    <w:rsid w:val="007C326B"/>
    <w:rsid w:val="007C4C9B"/>
    <w:rsid w:val="007C58D3"/>
    <w:rsid w:val="007D13EC"/>
    <w:rsid w:val="007D272C"/>
    <w:rsid w:val="007D33D1"/>
    <w:rsid w:val="007D3FE7"/>
    <w:rsid w:val="007E1FFF"/>
    <w:rsid w:val="007E2D97"/>
    <w:rsid w:val="007E4D14"/>
    <w:rsid w:val="007E4F79"/>
    <w:rsid w:val="007F0C4B"/>
    <w:rsid w:val="007F45A8"/>
    <w:rsid w:val="007F7196"/>
    <w:rsid w:val="008014E7"/>
    <w:rsid w:val="0080421B"/>
    <w:rsid w:val="00804869"/>
    <w:rsid w:val="0080562C"/>
    <w:rsid w:val="0081544F"/>
    <w:rsid w:val="0082064B"/>
    <w:rsid w:val="008207A5"/>
    <w:rsid w:val="00824645"/>
    <w:rsid w:val="0083518D"/>
    <w:rsid w:val="00835F3D"/>
    <w:rsid w:val="008402F1"/>
    <w:rsid w:val="0084451F"/>
    <w:rsid w:val="0084584A"/>
    <w:rsid w:val="008471AE"/>
    <w:rsid w:val="00855FA1"/>
    <w:rsid w:val="00860670"/>
    <w:rsid w:val="00862BD2"/>
    <w:rsid w:val="00865135"/>
    <w:rsid w:val="00873BEC"/>
    <w:rsid w:val="00873F82"/>
    <w:rsid w:val="008747C2"/>
    <w:rsid w:val="008759DD"/>
    <w:rsid w:val="008761DA"/>
    <w:rsid w:val="00882122"/>
    <w:rsid w:val="0089452F"/>
    <w:rsid w:val="00895AA6"/>
    <w:rsid w:val="0089725C"/>
    <w:rsid w:val="008A2BAF"/>
    <w:rsid w:val="008A4512"/>
    <w:rsid w:val="008B1467"/>
    <w:rsid w:val="008B2C26"/>
    <w:rsid w:val="008B4A8A"/>
    <w:rsid w:val="008B605A"/>
    <w:rsid w:val="008B6489"/>
    <w:rsid w:val="008C1ABA"/>
    <w:rsid w:val="008C258F"/>
    <w:rsid w:val="008C3C83"/>
    <w:rsid w:val="008D0088"/>
    <w:rsid w:val="008D0600"/>
    <w:rsid w:val="008D3959"/>
    <w:rsid w:val="008D520B"/>
    <w:rsid w:val="008D5A58"/>
    <w:rsid w:val="008D6032"/>
    <w:rsid w:val="008D7EC1"/>
    <w:rsid w:val="008E24F0"/>
    <w:rsid w:val="008E4C3C"/>
    <w:rsid w:val="008F2A77"/>
    <w:rsid w:val="008F668C"/>
    <w:rsid w:val="00906021"/>
    <w:rsid w:val="009164E6"/>
    <w:rsid w:val="009167C2"/>
    <w:rsid w:val="00917AEB"/>
    <w:rsid w:val="009202CF"/>
    <w:rsid w:val="009235FD"/>
    <w:rsid w:val="00934B0C"/>
    <w:rsid w:val="0093603C"/>
    <w:rsid w:val="00936F18"/>
    <w:rsid w:val="009419C2"/>
    <w:rsid w:val="00941D41"/>
    <w:rsid w:val="0094288E"/>
    <w:rsid w:val="00947588"/>
    <w:rsid w:val="009568FC"/>
    <w:rsid w:val="0095715B"/>
    <w:rsid w:val="00961F02"/>
    <w:rsid w:val="00962407"/>
    <w:rsid w:val="00967858"/>
    <w:rsid w:val="00970AF3"/>
    <w:rsid w:val="00974997"/>
    <w:rsid w:val="009818B7"/>
    <w:rsid w:val="00987E85"/>
    <w:rsid w:val="00992F22"/>
    <w:rsid w:val="00996A92"/>
    <w:rsid w:val="00996FBD"/>
    <w:rsid w:val="00997327"/>
    <w:rsid w:val="009A3546"/>
    <w:rsid w:val="009A5189"/>
    <w:rsid w:val="009A6385"/>
    <w:rsid w:val="009B185F"/>
    <w:rsid w:val="009B1B98"/>
    <w:rsid w:val="009B2983"/>
    <w:rsid w:val="009B73D0"/>
    <w:rsid w:val="009D4CA5"/>
    <w:rsid w:val="009D5606"/>
    <w:rsid w:val="009D7BE7"/>
    <w:rsid w:val="009E2B77"/>
    <w:rsid w:val="009E3EDC"/>
    <w:rsid w:val="00A05ADF"/>
    <w:rsid w:val="00A21B25"/>
    <w:rsid w:val="00A26FC7"/>
    <w:rsid w:val="00A369E6"/>
    <w:rsid w:val="00A36AEF"/>
    <w:rsid w:val="00A40688"/>
    <w:rsid w:val="00A42CB5"/>
    <w:rsid w:val="00A44356"/>
    <w:rsid w:val="00A52F7D"/>
    <w:rsid w:val="00A53117"/>
    <w:rsid w:val="00A53398"/>
    <w:rsid w:val="00A535CF"/>
    <w:rsid w:val="00A5587C"/>
    <w:rsid w:val="00A5598B"/>
    <w:rsid w:val="00A57D3D"/>
    <w:rsid w:val="00A638EF"/>
    <w:rsid w:val="00A65395"/>
    <w:rsid w:val="00A66E9D"/>
    <w:rsid w:val="00A72C1F"/>
    <w:rsid w:val="00A74E95"/>
    <w:rsid w:val="00A765EC"/>
    <w:rsid w:val="00A76662"/>
    <w:rsid w:val="00A808C8"/>
    <w:rsid w:val="00A87FF9"/>
    <w:rsid w:val="00A93709"/>
    <w:rsid w:val="00AA103F"/>
    <w:rsid w:val="00AA3857"/>
    <w:rsid w:val="00AA3D54"/>
    <w:rsid w:val="00AA420E"/>
    <w:rsid w:val="00AA5D81"/>
    <w:rsid w:val="00AA5F6C"/>
    <w:rsid w:val="00AB012A"/>
    <w:rsid w:val="00AB0290"/>
    <w:rsid w:val="00AB79DA"/>
    <w:rsid w:val="00AC22FA"/>
    <w:rsid w:val="00AC3CA0"/>
    <w:rsid w:val="00AC50C1"/>
    <w:rsid w:val="00AD126F"/>
    <w:rsid w:val="00AD2DFD"/>
    <w:rsid w:val="00AD531B"/>
    <w:rsid w:val="00AD7654"/>
    <w:rsid w:val="00AE276A"/>
    <w:rsid w:val="00AE3EED"/>
    <w:rsid w:val="00AF61CF"/>
    <w:rsid w:val="00B002DA"/>
    <w:rsid w:val="00B00969"/>
    <w:rsid w:val="00B04F23"/>
    <w:rsid w:val="00B11B9E"/>
    <w:rsid w:val="00B1423B"/>
    <w:rsid w:val="00B14624"/>
    <w:rsid w:val="00B16053"/>
    <w:rsid w:val="00B16567"/>
    <w:rsid w:val="00B21928"/>
    <w:rsid w:val="00B21C93"/>
    <w:rsid w:val="00B22B92"/>
    <w:rsid w:val="00B245BD"/>
    <w:rsid w:val="00B247D9"/>
    <w:rsid w:val="00B2527C"/>
    <w:rsid w:val="00B31891"/>
    <w:rsid w:val="00B3434C"/>
    <w:rsid w:val="00B3576E"/>
    <w:rsid w:val="00B379DC"/>
    <w:rsid w:val="00B44A8B"/>
    <w:rsid w:val="00B45773"/>
    <w:rsid w:val="00B5141C"/>
    <w:rsid w:val="00B51C9A"/>
    <w:rsid w:val="00B52126"/>
    <w:rsid w:val="00B521B9"/>
    <w:rsid w:val="00B52EE0"/>
    <w:rsid w:val="00B5385F"/>
    <w:rsid w:val="00B56DC3"/>
    <w:rsid w:val="00B60431"/>
    <w:rsid w:val="00B63131"/>
    <w:rsid w:val="00B6736E"/>
    <w:rsid w:val="00B6775A"/>
    <w:rsid w:val="00B707F1"/>
    <w:rsid w:val="00B7361A"/>
    <w:rsid w:val="00B7598D"/>
    <w:rsid w:val="00B90173"/>
    <w:rsid w:val="00B913DC"/>
    <w:rsid w:val="00B93520"/>
    <w:rsid w:val="00B94A76"/>
    <w:rsid w:val="00BA120B"/>
    <w:rsid w:val="00BA12B0"/>
    <w:rsid w:val="00BA149E"/>
    <w:rsid w:val="00BB373D"/>
    <w:rsid w:val="00BB5F32"/>
    <w:rsid w:val="00BC16A3"/>
    <w:rsid w:val="00BC258E"/>
    <w:rsid w:val="00BD615C"/>
    <w:rsid w:val="00BD6D5F"/>
    <w:rsid w:val="00BE15D1"/>
    <w:rsid w:val="00BE29BB"/>
    <w:rsid w:val="00BE31C1"/>
    <w:rsid w:val="00BE4712"/>
    <w:rsid w:val="00BE7FF2"/>
    <w:rsid w:val="00BF01E8"/>
    <w:rsid w:val="00BF0CB7"/>
    <w:rsid w:val="00BF10C4"/>
    <w:rsid w:val="00BF1DC5"/>
    <w:rsid w:val="00BF3AC5"/>
    <w:rsid w:val="00BF3F3B"/>
    <w:rsid w:val="00C00C54"/>
    <w:rsid w:val="00C01EA8"/>
    <w:rsid w:val="00C03A65"/>
    <w:rsid w:val="00C04751"/>
    <w:rsid w:val="00C05374"/>
    <w:rsid w:val="00C05A4C"/>
    <w:rsid w:val="00C141D9"/>
    <w:rsid w:val="00C2050A"/>
    <w:rsid w:val="00C20D81"/>
    <w:rsid w:val="00C21ED4"/>
    <w:rsid w:val="00C27FFD"/>
    <w:rsid w:val="00C302FA"/>
    <w:rsid w:val="00C324AD"/>
    <w:rsid w:val="00C35CBD"/>
    <w:rsid w:val="00C35F84"/>
    <w:rsid w:val="00C3693A"/>
    <w:rsid w:val="00C405F8"/>
    <w:rsid w:val="00C40AC7"/>
    <w:rsid w:val="00C45786"/>
    <w:rsid w:val="00C46F61"/>
    <w:rsid w:val="00C501C7"/>
    <w:rsid w:val="00C51DF6"/>
    <w:rsid w:val="00C56F9B"/>
    <w:rsid w:val="00C5719B"/>
    <w:rsid w:val="00C63B15"/>
    <w:rsid w:val="00C74D6C"/>
    <w:rsid w:val="00C75ACA"/>
    <w:rsid w:val="00C7774D"/>
    <w:rsid w:val="00C777DF"/>
    <w:rsid w:val="00C81374"/>
    <w:rsid w:val="00C869EF"/>
    <w:rsid w:val="00C91248"/>
    <w:rsid w:val="00C92048"/>
    <w:rsid w:val="00C93D42"/>
    <w:rsid w:val="00C967F5"/>
    <w:rsid w:val="00C969B3"/>
    <w:rsid w:val="00C9730F"/>
    <w:rsid w:val="00C97434"/>
    <w:rsid w:val="00CB206F"/>
    <w:rsid w:val="00CB562A"/>
    <w:rsid w:val="00CB7A70"/>
    <w:rsid w:val="00CD0272"/>
    <w:rsid w:val="00CD3723"/>
    <w:rsid w:val="00CD7364"/>
    <w:rsid w:val="00CE15E2"/>
    <w:rsid w:val="00CE3E03"/>
    <w:rsid w:val="00CE74A8"/>
    <w:rsid w:val="00CE79E2"/>
    <w:rsid w:val="00CF1BDB"/>
    <w:rsid w:val="00CF22A7"/>
    <w:rsid w:val="00CF261A"/>
    <w:rsid w:val="00CF5F55"/>
    <w:rsid w:val="00CF7245"/>
    <w:rsid w:val="00CF753F"/>
    <w:rsid w:val="00D00F02"/>
    <w:rsid w:val="00D022CB"/>
    <w:rsid w:val="00D202DA"/>
    <w:rsid w:val="00D2037D"/>
    <w:rsid w:val="00D2220F"/>
    <w:rsid w:val="00D23289"/>
    <w:rsid w:val="00D24842"/>
    <w:rsid w:val="00D25674"/>
    <w:rsid w:val="00D303CC"/>
    <w:rsid w:val="00D30715"/>
    <w:rsid w:val="00D34730"/>
    <w:rsid w:val="00D34E3D"/>
    <w:rsid w:val="00D40A27"/>
    <w:rsid w:val="00D41C0B"/>
    <w:rsid w:val="00D43511"/>
    <w:rsid w:val="00D445CA"/>
    <w:rsid w:val="00D47CEF"/>
    <w:rsid w:val="00D528CD"/>
    <w:rsid w:val="00D53F3B"/>
    <w:rsid w:val="00D617CB"/>
    <w:rsid w:val="00D63D67"/>
    <w:rsid w:val="00D64214"/>
    <w:rsid w:val="00D736DB"/>
    <w:rsid w:val="00D80954"/>
    <w:rsid w:val="00D82686"/>
    <w:rsid w:val="00D82D3D"/>
    <w:rsid w:val="00D8372D"/>
    <w:rsid w:val="00D97CDA"/>
    <w:rsid w:val="00DA01D2"/>
    <w:rsid w:val="00DA0CAE"/>
    <w:rsid w:val="00DA5AB8"/>
    <w:rsid w:val="00DA5C98"/>
    <w:rsid w:val="00DB15BE"/>
    <w:rsid w:val="00DB4F70"/>
    <w:rsid w:val="00DC03CA"/>
    <w:rsid w:val="00DC0B70"/>
    <w:rsid w:val="00DD0331"/>
    <w:rsid w:val="00DD0E06"/>
    <w:rsid w:val="00DD1280"/>
    <w:rsid w:val="00DE2CAA"/>
    <w:rsid w:val="00DE4B79"/>
    <w:rsid w:val="00DE657A"/>
    <w:rsid w:val="00DF2D57"/>
    <w:rsid w:val="00DF3BBC"/>
    <w:rsid w:val="00DF4221"/>
    <w:rsid w:val="00DF59DC"/>
    <w:rsid w:val="00DF7E4A"/>
    <w:rsid w:val="00E03FBA"/>
    <w:rsid w:val="00E102EF"/>
    <w:rsid w:val="00E1133C"/>
    <w:rsid w:val="00E1321A"/>
    <w:rsid w:val="00E1471C"/>
    <w:rsid w:val="00E15499"/>
    <w:rsid w:val="00E177E0"/>
    <w:rsid w:val="00E200AE"/>
    <w:rsid w:val="00E22653"/>
    <w:rsid w:val="00E2400A"/>
    <w:rsid w:val="00E30509"/>
    <w:rsid w:val="00E33E21"/>
    <w:rsid w:val="00E34484"/>
    <w:rsid w:val="00E358BF"/>
    <w:rsid w:val="00E3601B"/>
    <w:rsid w:val="00E37122"/>
    <w:rsid w:val="00E377F8"/>
    <w:rsid w:val="00E4338D"/>
    <w:rsid w:val="00E452CE"/>
    <w:rsid w:val="00E462AF"/>
    <w:rsid w:val="00E474BC"/>
    <w:rsid w:val="00E546A3"/>
    <w:rsid w:val="00E547A0"/>
    <w:rsid w:val="00E54EC9"/>
    <w:rsid w:val="00E55650"/>
    <w:rsid w:val="00E56567"/>
    <w:rsid w:val="00E625A8"/>
    <w:rsid w:val="00E65C69"/>
    <w:rsid w:val="00E73A0C"/>
    <w:rsid w:val="00E73B54"/>
    <w:rsid w:val="00E74773"/>
    <w:rsid w:val="00E81C61"/>
    <w:rsid w:val="00E83289"/>
    <w:rsid w:val="00E90F1D"/>
    <w:rsid w:val="00E93D58"/>
    <w:rsid w:val="00E948E7"/>
    <w:rsid w:val="00E94C4B"/>
    <w:rsid w:val="00EA4649"/>
    <w:rsid w:val="00EB05BF"/>
    <w:rsid w:val="00EB063A"/>
    <w:rsid w:val="00EB45DB"/>
    <w:rsid w:val="00EB5F01"/>
    <w:rsid w:val="00EB6BD1"/>
    <w:rsid w:val="00EB6D68"/>
    <w:rsid w:val="00EC36E9"/>
    <w:rsid w:val="00EC6008"/>
    <w:rsid w:val="00EC69AA"/>
    <w:rsid w:val="00ED2F33"/>
    <w:rsid w:val="00ED43EB"/>
    <w:rsid w:val="00EE032A"/>
    <w:rsid w:val="00EE1EB5"/>
    <w:rsid w:val="00EE303D"/>
    <w:rsid w:val="00EE3BCC"/>
    <w:rsid w:val="00EF11B1"/>
    <w:rsid w:val="00F0039E"/>
    <w:rsid w:val="00F03B13"/>
    <w:rsid w:val="00F04DFA"/>
    <w:rsid w:val="00F06A7B"/>
    <w:rsid w:val="00F07010"/>
    <w:rsid w:val="00F166D3"/>
    <w:rsid w:val="00F20174"/>
    <w:rsid w:val="00F30AA9"/>
    <w:rsid w:val="00F31D49"/>
    <w:rsid w:val="00F56A0B"/>
    <w:rsid w:val="00F60983"/>
    <w:rsid w:val="00F61B48"/>
    <w:rsid w:val="00F6243D"/>
    <w:rsid w:val="00F630D8"/>
    <w:rsid w:val="00F6788D"/>
    <w:rsid w:val="00F70FFB"/>
    <w:rsid w:val="00F75D3D"/>
    <w:rsid w:val="00F7794F"/>
    <w:rsid w:val="00F816FC"/>
    <w:rsid w:val="00F853FB"/>
    <w:rsid w:val="00F87045"/>
    <w:rsid w:val="00F97F3B"/>
    <w:rsid w:val="00FA0133"/>
    <w:rsid w:val="00FA2601"/>
    <w:rsid w:val="00FA505E"/>
    <w:rsid w:val="00FA52BE"/>
    <w:rsid w:val="00FB2425"/>
    <w:rsid w:val="00FB36A6"/>
    <w:rsid w:val="00FC0184"/>
    <w:rsid w:val="00FC3567"/>
    <w:rsid w:val="00FC4BB6"/>
    <w:rsid w:val="00FC5F6A"/>
    <w:rsid w:val="00FD075A"/>
    <w:rsid w:val="00FD30D0"/>
    <w:rsid w:val="00FD4654"/>
    <w:rsid w:val="00FE05B1"/>
    <w:rsid w:val="00FE3224"/>
    <w:rsid w:val="00FE3FBC"/>
    <w:rsid w:val="00FE688C"/>
    <w:rsid w:val="00FF29E7"/>
    <w:rsid w:val="00FF2F6B"/>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3.xml><?xml version="1.0" encoding="utf-8"?>
<ds:datastoreItem xmlns:ds="http://schemas.openxmlformats.org/officeDocument/2006/customXml" ds:itemID="{8C7C76E4-E99F-41AA-AE5D-189BDDEE09F5}">
  <ds:schemaRef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8f95687c-7f2e-4dbc-baff-1eacb9adf4eb"/>
    <ds:schemaRef ds:uri="19929a56-2e7e-441b-97ae-0acdcf76fc27"/>
  </ds:schemaRefs>
</ds:datastoreItem>
</file>

<file path=customXml/itemProps4.xml><?xml version="1.0" encoding="utf-8"?>
<ds:datastoreItem xmlns:ds="http://schemas.openxmlformats.org/officeDocument/2006/customXml" ds:itemID="{B0148BFA-80C1-44FF-99D3-72874436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8</cp:revision>
  <cp:lastPrinted>2018-06-28T23:05:00Z</cp:lastPrinted>
  <dcterms:created xsi:type="dcterms:W3CDTF">2022-01-11T17:34:00Z</dcterms:created>
  <dcterms:modified xsi:type="dcterms:W3CDTF">2022-01-12T23:49:00Z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