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text" w:horzAnchor="page" w:tblpX="8641" w:tblpY="-791"/>
        <w:tblW w:w="2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96"/>
      </w:tblGrid>
      <w:tr w:rsidR="00331D05" w:rsidRPr="008B4A8A" w14:paraId="5013F86E" w14:textId="77777777" w:rsidTr="003C650F">
        <w:trPr>
          <w:trHeight w:val="1610"/>
        </w:trPr>
        <w:bookmarkStart w:id="0" w:name="_Hlk92549398" w:displacedByCustomXml="next"/>
        <w:bookmarkEnd w:id="0" w:displacedByCustomXml="next"/>
        <w:sdt>
          <w:sdtPr>
            <w:rPr>
              <w:rFonts w:ascii="Arial" w:hAnsi="Arial" w:cs="Arial"/>
              <w:color w:val="004B87"/>
              <w:sz w:val="24"/>
              <w:szCs w:val="24"/>
            </w:rPr>
            <w:id w:val="-1100404251"/>
            <w:showingPlcHdr/>
            <w:picture/>
          </w:sdtPr>
          <w:sdtEndPr/>
          <w:sdtContent>
            <w:tc>
              <w:tcPr>
                <w:tcW w:w="2896" w:type="dxa"/>
              </w:tcPr>
              <w:p w14:paraId="4939F90B" w14:textId="77777777" w:rsidR="00331D05" w:rsidRPr="008B4A8A" w:rsidRDefault="00331D05" w:rsidP="003C650F">
                <w:pPr>
                  <w:spacing w:before="120" w:after="240"/>
                  <w:ind w:right="-720"/>
                  <w:rPr>
                    <w:rFonts w:ascii="Arial" w:hAnsi="Arial" w:cs="Arial"/>
                    <w:color w:val="004B87"/>
                    <w:sz w:val="24"/>
                    <w:szCs w:val="24"/>
                  </w:rPr>
                </w:pPr>
                <w:r w:rsidRPr="008B4A8A">
                  <w:rPr>
                    <w:rFonts w:ascii="Arial" w:hAnsi="Arial" w:cs="Arial"/>
                    <w:noProof/>
                    <w:color w:val="004B87"/>
                    <w:sz w:val="24"/>
                    <w:szCs w:val="24"/>
                  </w:rPr>
                  <w:drawing>
                    <wp:inline distT="0" distB="0" distL="0" distR="0" wp14:anchorId="292E8135" wp14:editId="781FA1A5">
                      <wp:extent cx="1828800" cy="91440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tc>
          </w:sdtContent>
        </w:sdt>
      </w:tr>
    </w:tbl>
    <w:p w14:paraId="0CC3231F" w14:textId="70285203" w:rsidR="004B1C5E" w:rsidRDefault="004B1C5E" w:rsidP="00996FBD">
      <w:pPr>
        <w:spacing w:after="0"/>
        <w:ind w:left="-720" w:right="-720"/>
        <w:rPr>
          <w:rFonts w:ascii="Arial" w:hAnsi="Arial" w:cs="Arial"/>
          <w:b/>
          <w:color w:val="0070C0"/>
          <w:sz w:val="20"/>
          <w:szCs w:val="20"/>
        </w:rPr>
      </w:pPr>
    </w:p>
    <w:p w14:paraId="35272551" w14:textId="58329E56" w:rsidR="004B1C5E" w:rsidRDefault="004B1C5E" w:rsidP="00996FBD">
      <w:pPr>
        <w:spacing w:after="0"/>
        <w:ind w:left="-720" w:right="-720"/>
        <w:rPr>
          <w:rFonts w:ascii="Arial" w:hAnsi="Arial" w:cs="Arial"/>
          <w:b/>
          <w:color w:val="0070C0"/>
          <w:sz w:val="20"/>
          <w:szCs w:val="20"/>
        </w:rPr>
      </w:pPr>
    </w:p>
    <w:p w14:paraId="39CF7216" w14:textId="7C0A8149" w:rsidR="004B1C5E" w:rsidRDefault="004B1C5E" w:rsidP="00996FBD">
      <w:pPr>
        <w:spacing w:after="0"/>
        <w:ind w:left="-720" w:right="-720"/>
        <w:rPr>
          <w:rFonts w:ascii="Arial" w:hAnsi="Arial" w:cs="Arial"/>
          <w:b/>
          <w:color w:val="0070C0"/>
          <w:sz w:val="20"/>
          <w:szCs w:val="20"/>
        </w:rPr>
      </w:pPr>
    </w:p>
    <w:p w14:paraId="665891C7" w14:textId="3C8E0888" w:rsidR="004B1C5E" w:rsidRDefault="004B1C5E" w:rsidP="00B11B9E">
      <w:pPr>
        <w:spacing w:after="0"/>
        <w:ind w:right="-720"/>
        <w:rPr>
          <w:rFonts w:ascii="Arial" w:hAnsi="Arial" w:cs="Arial"/>
          <w:b/>
          <w:color w:val="0070C0"/>
          <w:sz w:val="20"/>
          <w:szCs w:val="20"/>
        </w:rPr>
      </w:pPr>
    </w:p>
    <w:p w14:paraId="6EDD6CB0" w14:textId="3EC685C3" w:rsidR="004B1C5E" w:rsidRDefault="004B1C5E" w:rsidP="00996FBD">
      <w:pPr>
        <w:spacing w:after="0"/>
        <w:ind w:left="-720" w:right="-720"/>
        <w:rPr>
          <w:rFonts w:ascii="Arial" w:hAnsi="Arial" w:cs="Arial"/>
          <w:b/>
          <w:color w:val="0070C0"/>
          <w:sz w:val="20"/>
          <w:szCs w:val="20"/>
        </w:rPr>
      </w:pPr>
    </w:p>
    <w:p w14:paraId="2D4D09DF" w14:textId="4370A3A0" w:rsidR="0017224E" w:rsidRPr="00807650" w:rsidRDefault="00CC5C40" w:rsidP="003754C3">
      <w:pPr>
        <w:tabs>
          <w:tab w:val="left" w:pos="8895"/>
          <w:tab w:val="left" w:pos="9135"/>
        </w:tabs>
        <w:spacing w:after="240"/>
        <w:ind w:left="-360" w:right="-720" w:hanging="360"/>
        <w:rPr>
          <w:rFonts w:ascii="Arial" w:hAnsi="Arial" w:cs="Arial"/>
          <w:color w:val="175E95" w:themeColor="accent1"/>
          <w:sz w:val="48"/>
          <w:szCs w:val="20"/>
        </w:rPr>
        <w:sectPr w:rsidR="0017224E" w:rsidRPr="00807650" w:rsidSect="00445821">
          <w:headerReference w:type="default" r:id="rId12"/>
          <w:footerReference w:type="even" r:id="rId13"/>
          <w:footerReference w:type="default" r:id="rId14"/>
          <w:headerReference w:type="first" r:id="rId15"/>
          <w:footerReference w:type="first" r:id="rId16"/>
          <w:pgSz w:w="12240" w:h="15840"/>
          <w:pgMar w:top="-1656" w:right="1440" w:bottom="1512" w:left="1440" w:header="0" w:footer="720" w:gutter="0"/>
          <w:cols w:space="720"/>
          <w:titlePg/>
          <w:docGrid w:linePitch="360"/>
        </w:sectPr>
      </w:pPr>
      <w:r w:rsidRPr="00807650">
        <w:rPr>
          <w:rFonts w:ascii="Arial" w:hAnsi="Arial" w:cs="Arial"/>
          <w:color w:val="175E95" w:themeColor="accent1"/>
          <w:sz w:val="48"/>
          <w:szCs w:val="20"/>
        </w:rPr>
        <w:t xml:space="preserve">Volatility: </w:t>
      </w:r>
      <w:r w:rsidR="00B70C34" w:rsidRPr="00807650">
        <w:rPr>
          <w:rFonts w:ascii="Arial" w:hAnsi="Arial" w:cs="Arial"/>
          <w:color w:val="175E95" w:themeColor="accent1"/>
          <w:sz w:val="48"/>
          <w:szCs w:val="20"/>
        </w:rPr>
        <w:t>T</w:t>
      </w:r>
      <w:r w:rsidRPr="00807650">
        <w:rPr>
          <w:rFonts w:ascii="Arial" w:hAnsi="Arial" w:cs="Arial"/>
          <w:color w:val="175E95" w:themeColor="accent1"/>
          <w:sz w:val="48"/>
          <w:szCs w:val="20"/>
        </w:rPr>
        <w:t xml:space="preserve">he </w:t>
      </w:r>
      <w:r w:rsidR="00B70C34" w:rsidRPr="00807650">
        <w:rPr>
          <w:rFonts w:ascii="Arial" w:hAnsi="Arial" w:cs="Arial"/>
          <w:color w:val="175E95" w:themeColor="accent1"/>
          <w:sz w:val="48"/>
          <w:szCs w:val="20"/>
        </w:rPr>
        <w:t>P</w:t>
      </w:r>
      <w:r w:rsidRPr="00807650">
        <w:rPr>
          <w:rFonts w:ascii="Arial" w:hAnsi="Arial" w:cs="Arial"/>
          <w:color w:val="175E95" w:themeColor="accent1"/>
          <w:sz w:val="48"/>
          <w:szCs w:val="20"/>
        </w:rPr>
        <w:t xml:space="preserve">ainful </w:t>
      </w:r>
      <w:r w:rsidR="00B70C34" w:rsidRPr="00807650">
        <w:rPr>
          <w:rFonts w:ascii="Arial" w:hAnsi="Arial" w:cs="Arial"/>
          <w:color w:val="175E95" w:themeColor="accent1"/>
          <w:sz w:val="48"/>
          <w:szCs w:val="20"/>
        </w:rPr>
        <w:t>R</w:t>
      </w:r>
      <w:r w:rsidRPr="00807650">
        <w:rPr>
          <w:rFonts w:ascii="Arial" w:hAnsi="Arial" w:cs="Arial"/>
          <w:color w:val="175E95" w:themeColor="accent1"/>
          <w:sz w:val="48"/>
          <w:szCs w:val="20"/>
        </w:rPr>
        <w:t xml:space="preserve">eturn to </w:t>
      </w:r>
      <w:r w:rsidR="00B70C34" w:rsidRPr="00807650">
        <w:rPr>
          <w:rFonts w:ascii="Arial" w:hAnsi="Arial" w:cs="Arial"/>
          <w:color w:val="175E95" w:themeColor="accent1"/>
          <w:sz w:val="48"/>
          <w:szCs w:val="20"/>
        </w:rPr>
        <w:t>N</w:t>
      </w:r>
      <w:r w:rsidRPr="00807650">
        <w:rPr>
          <w:rFonts w:ascii="Arial" w:hAnsi="Arial" w:cs="Arial"/>
          <w:color w:val="175E95" w:themeColor="accent1"/>
          <w:sz w:val="48"/>
          <w:szCs w:val="20"/>
        </w:rPr>
        <w:t>ormal</w:t>
      </w:r>
    </w:p>
    <w:p w14:paraId="7ADEF512" w14:textId="390C1281" w:rsidR="00157C2E" w:rsidRDefault="00186E83" w:rsidP="00186E83">
      <w:pPr>
        <w:spacing w:after="120"/>
        <w:ind w:left="-720" w:right="-720"/>
        <w:rPr>
          <w:rFonts w:ascii="Arial" w:hAnsi="Arial" w:cs="Arial"/>
          <w:sz w:val="20"/>
          <w:szCs w:val="20"/>
        </w:rPr>
      </w:pPr>
      <w:r w:rsidRPr="00807650">
        <w:rPr>
          <w:rFonts w:ascii="Arial" w:hAnsi="Arial" w:cs="Arial"/>
          <w:sz w:val="20"/>
          <w:szCs w:val="20"/>
        </w:rPr>
        <w:t xml:space="preserve">After a stellar </w:t>
      </w:r>
      <w:r w:rsidR="00B57AF2" w:rsidRPr="00807650">
        <w:rPr>
          <w:rFonts w:ascii="Arial" w:hAnsi="Arial" w:cs="Arial"/>
          <w:sz w:val="20"/>
          <w:szCs w:val="20"/>
        </w:rPr>
        <w:t xml:space="preserve">and unusually calm </w:t>
      </w:r>
      <w:r w:rsidRPr="00807650">
        <w:rPr>
          <w:rFonts w:ascii="Arial" w:hAnsi="Arial" w:cs="Arial"/>
          <w:sz w:val="20"/>
          <w:szCs w:val="20"/>
        </w:rPr>
        <w:t xml:space="preserve">year for stocks in 2021, </w:t>
      </w:r>
      <w:r w:rsidR="00B57AF2" w:rsidRPr="00807650">
        <w:rPr>
          <w:rFonts w:ascii="Arial" w:hAnsi="Arial" w:cs="Arial"/>
          <w:sz w:val="20"/>
          <w:szCs w:val="20"/>
        </w:rPr>
        <w:t xml:space="preserve">so far </w:t>
      </w:r>
      <w:r w:rsidRPr="00807650">
        <w:rPr>
          <w:rFonts w:ascii="Arial" w:hAnsi="Arial" w:cs="Arial"/>
          <w:sz w:val="20"/>
          <w:szCs w:val="20"/>
        </w:rPr>
        <w:t>2022</w:t>
      </w:r>
      <w:r w:rsidR="00003C07" w:rsidRPr="00807650">
        <w:rPr>
          <w:rFonts w:ascii="Arial" w:hAnsi="Arial" w:cs="Arial"/>
          <w:sz w:val="20"/>
          <w:szCs w:val="20"/>
        </w:rPr>
        <w:t xml:space="preserve"> </w:t>
      </w:r>
      <w:r w:rsidR="00B57AF2" w:rsidRPr="00807650">
        <w:rPr>
          <w:rFonts w:ascii="Arial" w:hAnsi="Arial" w:cs="Arial"/>
          <w:sz w:val="20"/>
          <w:szCs w:val="20"/>
        </w:rPr>
        <w:t xml:space="preserve">might </w:t>
      </w:r>
      <w:r w:rsidRPr="00807650">
        <w:rPr>
          <w:rFonts w:ascii="Arial" w:hAnsi="Arial" w:cs="Arial"/>
          <w:sz w:val="20"/>
          <w:szCs w:val="20"/>
        </w:rPr>
        <w:t xml:space="preserve">appear </w:t>
      </w:r>
      <w:r w:rsidR="00B57AF2" w:rsidRPr="00807650">
        <w:rPr>
          <w:rFonts w:ascii="Arial" w:hAnsi="Arial" w:cs="Arial"/>
          <w:sz w:val="20"/>
          <w:szCs w:val="20"/>
        </w:rPr>
        <w:t xml:space="preserve">almost </w:t>
      </w:r>
      <w:r w:rsidRPr="00807650">
        <w:rPr>
          <w:rFonts w:ascii="Arial" w:hAnsi="Arial" w:cs="Arial"/>
          <w:sz w:val="20"/>
          <w:szCs w:val="20"/>
        </w:rPr>
        <w:t>chaotic</w:t>
      </w:r>
      <w:r w:rsidR="00B57AF2" w:rsidRPr="00807650">
        <w:rPr>
          <w:rFonts w:ascii="Arial" w:hAnsi="Arial" w:cs="Arial"/>
          <w:sz w:val="20"/>
          <w:szCs w:val="20"/>
        </w:rPr>
        <w:t xml:space="preserve"> by comparison,</w:t>
      </w:r>
      <w:r w:rsidR="007C16D0" w:rsidRPr="00807650">
        <w:rPr>
          <w:rFonts w:ascii="Arial" w:hAnsi="Arial" w:cs="Arial"/>
          <w:sz w:val="20"/>
          <w:szCs w:val="20"/>
        </w:rPr>
        <w:t xml:space="preserve"> with </w:t>
      </w:r>
      <w:r w:rsidR="00B57AF2" w:rsidRPr="00807650">
        <w:rPr>
          <w:rFonts w:ascii="Arial" w:hAnsi="Arial" w:cs="Arial"/>
          <w:sz w:val="20"/>
          <w:szCs w:val="20"/>
        </w:rPr>
        <w:t xml:space="preserve">markets experiencing </w:t>
      </w:r>
      <w:r w:rsidR="007C16D0" w:rsidRPr="00807650">
        <w:rPr>
          <w:rFonts w:ascii="Arial" w:hAnsi="Arial" w:cs="Arial"/>
          <w:sz w:val="20"/>
          <w:szCs w:val="20"/>
        </w:rPr>
        <w:t>a sharp correction</w:t>
      </w:r>
      <w:r w:rsidR="00B57AF2" w:rsidRPr="00807650">
        <w:rPr>
          <w:rFonts w:ascii="Arial" w:hAnsi="Arial" w:cs="Arial"/>
          <w:sz w:val="20"/>
          <w:szCs w:val="20"/>
        </w:rPr>
        <w:t xml:space="preserve"> in January</w:t>
      </w:r>
      <w:r w:rsidR="007C16D0" w:rsidRPr="00807650">
        <w:rPr>
          <w:rFonts w:ascii="Arial" w:hAnsi="Arial" w:cs="Arial"/>
          <w:sz w:val="20"/>
          <w:szCs w:val="20"/>
        </w:rPr>
        <w:t xml:space="preserve">. </w:t>
      </w:r>
      <w:r w:rsidR="00B57AF2" w:rsidRPr="00807650">
        <w:rPr>
          <w:rFonts w:ascii="Arial" w:hAnsi="Arial" w:cs="Arial"/>
          <w:sz w:val="20"/>
          <w:szCs w:val="20"/>
        </w:rPr>
        <w:t>A quick survey of history reveals that this type of recent volatility is actually quite normal, and that it was 2021’s lack of market turmoil that is</w:t>
      </w:r>
      <w:r w:rsidR="00A13199">
        <w:rPr>
          <w:rFonts w:ascii="Arial" w:hAnsi="Arial" w:cs="Arial"/>
          <w:sz w:val="20"/>
          <w:szCs w:val="20"/>
        </w:rPr>
        <w:t xml:space="preserve"> truly</w:t>
      </w:r>
      <w:r w:rsidR="00B57AF2" w:rsidRPr="00807650">
        <w:rPr>
          <w:rFonts w:ascii="Arial" w:hAnsi="Arial" w:cs="Arial"/>
          <w:sz w:val="20"/>
          <w:szCs w:val="20"/>
        </w:rPr>
        <w:t xml:space="preserve"> the outlier</w:t>
      </w:r>
      <w:r w:rsidR="00003C07" w:rsidRPr="00807650">
        <w:rPr>
          <w:rFonts w:ascii="Arial" w:hAnsi="Arial" w:cs="Arial"/>
          <w:sz w:val="20"/>
          <w:szCs w:val="20"/>
        </w:rPr>
        <w:t>.</w:t>
      </w:r>
      <w:r w:rsidR="00B57AF2" w:rsidRPr="00807650">
        <w:rPr>
          <w:rFonts w:ascii="Arial" w:hAnsi="Arial" w:cs="Arial"/>
          <w:sz w:val="20"/>
          <w:szCs w:val="20"/>
        </w:rPr>
        <w:t xml:space="preserve"> That said, January has been volatile, and investors are wondering h</w:t>
      </w:r>
      <w:r w:rsidR="007C16D0" w:rsidRPr="00807650">
        <w:rPr>
          <w:rFonts w:ascii="Arial" w:hAnsi="Arial" w:cs="Arial"/>
          <w:sz w:val="20"/>
          <w:szCs w:val="20"/>
        </w:rPr>
        <w:t xml:space="preserve">ow did we get here, and what should </w:t>
      </w:r>
      <w:r w:rsidR="00CB0811" w:rsidRPr="00807650">
        <w:rPr>
          <w:rFonts w:ascii="Arial" w:hAnsi="Arial" w:cs="Arial"/>
          <w:sz w:val="20"/>
          <w:szCs w:val="20"/>
        </w:rPr>
        <w:t>be</w:t>
      </w:r>
      <w:r w:rsidR="007C16D0" w:rsidRPr="00807650">
        <w:rPr>
          <w:rFonts w:ascii="Arial" w:hAnsi="Arial" w:cs="Arial"/>
          <w:sz w:val="20"/>
          <w:szCs w:val="20"/>
        </w:rPr>
        <w:t xml:space="preserve"> expect</w:t>
      </w:r>
      <w:r w:rsidR="00CB0811" w:rsidRPr="00807650">
        <w:rPr>
          <w:rFonts w:ascii="Arial" w:hAnsi="Arial" w:cs="Arial"/>
          <w:sz w:val="20"/>
          <w:szCs w:val="20"/>
        </w:rPr>
        <w:t>ed</w:t>
      </w:r>
      <w:r w:rsidR="007C16D0" w:rsidRPr="00807650">
        <w:rPr>
          <w:rFonts w:ascii="Arial" w:hAnsi="Arial" w:cs="Arial"/>
          <w:sz w:val="20"/>
          <w:szCs w:val="20"/>
        </w:rPr>
        <w:t xml:space="preserve"> going forward? </w:t>
      </w:r>
      <w:r w:rsidR="00157C2E" w:rsidRPr="00807650">
        <w:rPr>
          <w:rFonts w:ascii="Arial" w:hAnsi="Arial" w:cs="Arial"/>
          <w:sz w:val="20"/>
          <w:szCs w:val="20"/>
        </w:rPr>
        <w:t xml:space="preserve">While there </w:t>
      </w:r>
      <w:r w:rsidR="00362223" w:rsidRPr="00807650">
        <w:rPr>
          <w:rFonts w:ascii="Arial" w:hAnsi="Arial" w:cs="Arial"/>
          <w:sz w:val="20"/>
          <w:szCs w:val="20"/>
        </w:rPr>
        <w:t xml:space="preserve">is </w:t>
      </w:r>
      <w:r w:rsidR="00157C2E" w:rsidRPr="00807650">
        <w:rPr>
          <w:rFonts w:ascii="Arial" w:hAnsi="Arial" w:cs="Arial"/>
          <w:sz w:val="20"/>
          <w:szCs w:val="20"/>
        </w:rPr>
        <w:t xml:space="preserve">a myriad of reasons </w:t>
      </w:r>
      <w:r w:rsidR="0088740F" w:rsidRPr="00807650">
        <w:rPr>
          <w:rFonts w:ascii="Arial" w:hAnsi="Arial" w:cs="Arial"/>
          <w:sz w:val="20"/>
          <w:szCs w:val="20"/>
        </w:rPr>
        <w:t xml:space="preserve">for markets to </w:t>
      </w:r>
      <w:r w:rsidR="00157C2E" w:rsidRPr="00807650">
        <w:rPr>
          <w:rFonts w:ascii="Arial" w:hAnsi="Arial" w:cs="Arial"/>
          <w:sz w:val="20"/>
          <w:szCs w:val="20"/>
        </w:rPr>
        <w:t>worry</w:t>
      </w:r>
      <w:r w:rsidR="0088740F" w:rsidRPr="00807650">
        <w:rPr>
          <w:rFonts w:ascii="Arial" w:hAnsi="Arial" w:cs="Arial"/>
          <w:sz w:val="20"/>
          <w:szCs w:val="20"/>
        </w:rPr>
        <w:t>,</w:t>
      </w:r>
      <w:r w:rsidR="00157C2E" w:rsidRPr="00807650">
        <w:rPr>
          <w:rFonts w:ascii="Arial" w:hAnsi="Arial" w:cs="Arial"/>
          <w:sz w:val="20"/>
          <w:szCs w:val="20"/>
        </w:rPr>
        <w:t xml:space="preserve"> </w:t>
      </w:r>
      <w:r w:rsidR="003B260F" w:rsidRPr="00807650">
        <w:rPr>
          <w:rFonts w:ascii="Arial" w:hAnsi="Arial" w:cs="Arial"/>
          <w:sz w:val="20"/>
          <w:szCs w:val="20"/>
        </w:rPr>
        <w:t>such as Omicron impacting economic growth</w:t>
      </w:r>
      <w:r w:rsidR="0088740F" w:rsidRPr="00807650">
        <w:rPr>
          <w:rFonts w:ascii="Arial" w:hAnsi="Arial" w:cs="Arial"/>
          <w:sz w:val="20"/>
          <w:szCs w:val="20"/>
        </w:rPr>
        <w:t xml:space="preserve"> or</w:t>
      </w:r>
      <w:r w:rsidR="003B260F" w:rsidRPr="00807650">
        <w:rPr>
          <w:rFonts w:ascii="Arial" w:hAnsi="Arial" w:cs="Arial"/>
          <w:sz w:val="20"/>
          <w:szCs w:val="20"/>
        </w:rPr>
        <w:t xml:space="preserve"> ongoing supply chain disruption</w:t>
      </w:r>
      <w:r w:rsidR="0088740F" w:rsidRPr="00807650">
        <w:rPr>
          <w:rFonts w:ascii="Arial" w:hAnsi="Arial" w:cs="Arial"/>
          <w:sz w:val="20"/>
          <w:szCs w:val="20"/>
        </w:rPr>
        <w:t>s, t</w:t>
      </w:r>
      <w:r w:rsidR="003B260F" w:rsidRPr="00807650">
        <w:rPr>
          <w:rFonts w:ascii="Arial" w:hAnsi="Arial" w:cs="Arial"/>
          <w:sz w:val="20"/>
          <w:szCs w:val="20"/>
        </w:rPr>
        <w:t>he key issue is the Federal Reserve’s (Fed) shift in policy.</w:t>
      </w:r>
      <w:r w:rsidR="0058109B" w:rsidRPr="00807650">
        <w:rPr>
          <w:rFonts w:ascii="Arial" w:hAnsi="Arial" w:cs="Arial"/>
          <w:sz w:val="20"/>
          <w:szCs w:val="20"/>
        </w:rPr>
        <w:t xml:space="preserve"> </w:t>
      </w:r>
      <w:r w:rsidRPr="00807650">
        <w:rPr>
          <w:rFonts w:ascii="Arial" w:hAnsi="Arial" w:cs="Arial"/>
          <w:sz w:val="20"/>
          <w:szCs w:val="20"/>
        </w:rPr>
        <w:t>Investors appear concerned that th</w:t>
      </w:r>
      <w:r w:rsidR="003B260F" w:rsidRPr="00807650">
        <w:rPr>
          <w:rFonts w:ascii="Arial" w:hAnsi="Arial" w:cs="Arial"/>
          <w:sz w:val="20"/>
          <w:szCs w:val="20"/>
        </w:rPr>
        <w:t xml:space="preserve">e </w:t>
      </w:r>
      <w:r w:rsidRPr="00807650">
        <w:rPr>
          <w:rFonts w:ascii="Arial" w:hAnsi="Arial" w:cs="Arial"/>
          <w:sz w:val="20"/>
          <w:szCs w:val="20"/>
        </w:rPr>
        <w:t>Fed will hike interest rates faster than previously expected.</w:t>
      </w:r>
      <w:r w:rsidR="0058109B" w:rsidRPr="00807650">
        <w:rPr>
          <w:rFonts w:ascii="Arial" w:hAnsi="Arial" w:cs="Arial"/>
          <w:sz w:val="20"/>
          <w:szCs w:val="20"/>
        </w:rPr>
        <w:t xml:space="preserve"> </w:t>
      </w:r>
      <w:r w:rsidR="00157C2E" w:rsidRPr="00807650">
        <w:rPr>
          <w:rFonts w:ascii="Arial" w:hAnsi="Arial" w:cs="Arial"/>
          <w:sz w:val="20"/>
          <w:szCs w:val="20"/>
        </w:rPr>
        <w:t>The S&amp;P 500 is down 7.4%, small-cap stocks</w:t>
      </w:r>
      <w:r w:rsidR="0058109B" w:rsidRPr="00807650">
        <w:rPr>
          <w:rFonts w:ascii="Arial" w:hAnsi="Arial" w:cs="Arial"/>
          <w:sz w:val="20"/>
          <w:szCs w:val="20"/>
        </w:rPr>
        <w:t xml:space="preserve"> represented by the </w:t>
      </w:r>
      <w:r w:rsidR="001416DF" w:rsidRPr="00807650">
        <w:rPr>
          <w:rFonts w:ascii="Arial" w:hAnsi="Arial" w:cs="Arial"/>
          <w:sz w:val="20"/>
          <w:szCs w:val="20"/>
        </w:rPr>
        <w:t>Russell 2000</w:t>
      </w:r>
      <w:r w:rsidR="0058109B" w:rsidRPr="00807650">
        <w:rPr>
          <w:rFonts w:ascii="Arial" w:hAnsi="Arial" w:cs="Arial"/>
          <w:sz w:val="20"/>
          <w:szCs w:val="20"/>
        </w:rPr>
        <w:t xml:space="preserve"> index </w:t>
      </w:r>
      <w:r w:rsidR="00362223" w:rsidRPr="00807650">
        <w:rPr>
          <w:rFonts w:ascii="Arial" w:hAnsi="Arial" w:cs="Arial"/>
          <w:sz w:val="20"/>
          <w:szCs w:val="20"/>
        </w:rPr>
        <w:t xml:space="preserve">are </w:t>
      </w:r>
      <w:r w:rsidR="00157C2E" w:rsidRPr="00807650">
        <w:rPr>
          <w:rFonts w:ascii="Arial" w:hAnsi="Arial" w:cs="Arial"/>
          <w:sz w:val="20"/>
          <w:szCs w:val="20"/>
        </w:rPr>
        <w:t>down</w:t>
      </w:r>
      <w:r w:rsidR="003B260F" w:rsidRPr="00807650">
        <w:rPr>
          <w:rFonts w:ascii="Arial" w:hAnsi="Arial" w:cs="Arial"/>
          <w:sz w:val="20"/>
          <w:szCs w:val="20"/>
        </w:rPr>
        <w:t xml:space="preserve"> 9.4%</w:t>
      </w:r>
      <w:r w:rsidR="00157C2E" w:rsidRPr="00807650">
        <w:rPr>
          <w:rFonts w:ascii="Arial" w:hAnsi="Arial" w:cs="Arial"/>
          <w:sz w:val="20"/>
          <w:szCs w:val="20"/>
        </w:rPr>
        <w:t>, and the technology heavy Nasdaq index is down 11.4% for the year through market close on January 24</w:t>
      </w:r>
      <w:r w:rsidR="00157C2E" w:rsidRPr="00807650">
        <w:rPr>
          <w:rFonts w:ascii="Arial" w:hAnsi="Arial" w:cs="Arial"/>
          <w:sz w:val="20"/>
          <w:szCs w:val="20"/>
          <w:vertAlign w:val="superscript"/>
        </w:rPr>
        <w:t>th</w:t>
      </w:r>
      <w:r w:rsidR="00157C2E" w:rsidRPr="00807650">
        <w:rPr>
          <w:rFonts w:ascii="Arial" w:hAnsi="Arial" w:cs="Arial"/>
          <w:sz w:val="20"/>
          <w:szCs w:val="20"/>
        </w:rPr>
        <w:t>, 2022</w:t>
      </w:r>
      <w:r w:rsidR="002C22AE" w:rsidRPr="00807650">
        <w:rPr>
          <w:rStyle w:val="EndnoteReference"/>
          <w:rFonts w:ascii="Arial" w:hAnsi="Arial" w:cs="Arial"/>
          <w:sz w:val="20"/>
          <w:szCs w:val="20"/>
        </w:rPr>
        <w:endnoteReference w:id="1"/>
      </w:r>
      <w:r w:rsidR="003B260F" w:rsidRPr="00807650">
        <w:rPr>
          <w:rFonts w:ascii="Arial" w:hAnsi="Arial" w:cs="Arial"/>
          <w:sz w:val="20"/>
          <w:szCs w:val="20"/>
        </w:rPr>
        <w:t xml:space="preserve">. </w:t>
      </w:r>
      <w:r w:rsidR="007C16D0" w:rsidRPr="00807650">
        <w:rPr>
          <w:rFonts w:ascii="Arial" w:hAnsi="Arial" w:cs="Arial"/>
          <w:sz w:val="20"/>
          <w:szCs w:val="20"/>
        </w:rPr>
        <w:t>Investors should moderate market return expectations and prepare for more normal pullbacks.</w:t>
      </w:r>
      <w:r w:rsidR="007C16D0" w:rsidRPr="007C16D0">
        <w:rPr>
          <w:rFonts w:ascii="Arial" w:hAnsi="Arial" w:cs="Arial"/>
          <w:sz w:val="20"/>
          <w:szCs w:val="20"/>
        </w:rPr>
        <w:t xml:space="preserve">  </w:t>
      </w:r>
    </w:p>
    <w:p w14:paraId="1D714AB7" w14:textId="1AF3BE2D" w:rsidR="001416DF" w:rsidRPr="00B70C34" w:rsidRDefault="001416DF" w:rsidP="001416DF">
      <w:pPr>
        <w:spacing w:after="120"/>
        <w:ind w:left="-720" w:right="-720"/>
        <w:rPr>
          <w:rStyle w:val="IntenseEmphasis"/>
          <w:rFonts w:ascii="Arial" w:hAnsi="Arial" w:cs="Arial"/>
        </w:rPr>
      </w:pPr>
      <w:r w:rsidRPr="00B70C34">
        <w:rPr>
          <w:rStyle w:val="IntenseEmphasis"/>
          <w:rFonts w:ascii="Arial" w:hAnsi="Arial" w:cs="Arial"/>
        </w:rPr>
        <w:t>Are stocks doomed if interest rates rise?</w:t>
      </w:r>
    </w:p>
    <w:p w14:paraId="3F12E50D" w14:textId="5EC53BF9" w:rsidR="00003C07" w:rsidRDefault="00DA46D8" w:rsidP="00003C07">
      <w:pPr>
        <w:spacing w:after="120"/>
        <w:ind w:left="-720" w:right="-720"/>
        <w:rPr>
          <w:rFonts w:ascii="Arial" w:hAnsi="Arial" w:cs="Arial"/>
          <w:sz w:val="20"/>
          <w:szCs w:val="20"/>
        </w:rPr>
      </w:pPr>
      <w:r>
        <w:rPr>
          <w:rFonts w:ascii="Arial" w:hAnsi="Arial" w:cs="Arial"/>
          <w:sz w:val="20"/>
          <w:szCs w:val="20"/>
        </w:rPr>
        <w:t>I</w:t>
      </w:r>
      <w:r w:rsidRPr="007F21C5">
        <w:rPr>
          <w:rFonts w:ascii="Arial" w:hAnsi="Arial" w:cs="Arial"/>
          <w:sz w:val="20"/>
          <w:szCs w:val="20"/>
        </w:rPr>
        <w:t xml:space="preserve">nterest rate cuts occur when the economy is weak and </w:t>
      </w:r>
      <w:r>
        <w:rPr>
          <w:rFonts w:ascii="Arial" w:hAnsi="Arial" w:cs="Arial"/>
          <w:sz w:val="20"/>
          <w:szCs w:val="20"/>
        </w:rPr>
        <w:t xml:space="preserve">interest </w:t>
      </w:r>
      <w:r w:rsidRPr="007F21C5">
        <w:rPr>
          <w:rFonts w:ascii="Arial" w:hAnsi="Arial" w:cs="Arial"/>
          <w:sz w:val="20"/>
          <w:szCs w:val="20"/>
        </w:rPr>
        <w:t>rate hikes</w:t>
      </w:r>
      <w:r>
        <w:rPr>
          <w:rFonts w:ascii="Arial" w:hAnsi="Arial" w:cs="Arial"/>
          <w:sz w:val="20"/>
          <w:szCs w:val="20"/>
        </w:rPr>
        <w:t xml:space="preserve"> occur</w:t>
      </w:r>
      <w:r w:rsidRPr="007F21C5">
        <w:rPr>
          <w:rFonts w:ascii="Arial" w:hAnsi="Arial" w:cs="Arial"/>
          <w:sz w:val="20"/>
          <w:szCs w:val="20"/>
        </w:rPr>
        <w:t xml:space="preserve"> </w:t>
      </w:r>
      <w:r>
        <w:rPr>
          <w:rFonts w:ascii="Arial" w:hAnsi="Arial" w:cs="Arial"/>
          <w:sz w:val="20"/>
          <w:szCs w:val="20"/>
        </w:rPr>
        <w:t>to cool a hot economy.</w:t>
      </w:r>
      <w:r w:rsidR="0058109B">
        <w:rPr>
          <w:rFonts w:ascii="Arial" w:hAnsi="Arial" w:cs="Arial"/>
          <w:sz w:val="20"/>
          <w:szCs w:val="20"/>
        </w:rPr>
        <w:t xml:space="preserve"> </w:t>
      </w:r>
      <w:r w:rsidRPr="00157C2E">
        <w:rPr>
          <w:rFonts w:ascii="Arial" w:hAnsi="Arial" w:cs="Arial"/>
          <w:sz w:val="20"/>
          <w:szCs w:val="20"/>
        </w:rPr>
        <w:t>Despite</w:t>
      </w:r>
      <w:r>
        <w:rPr>
          <w:rFonts w:ascii="Arial" w:hAnsi="Arial" w:cs="Arial"/>
          <w:sz w:val="20"/>
          <w:szCs w:val="20"/>
        </w:rPr>
        <w:t xml:space="preserve"> the Fed’s </w:t>
      </w:r>
      <w:r w:rsidRPr="00157C2E">
        <w:rPr>
          <w:rFonts w:ascii="Arial" w:hAnsi="Arial" w:cs="Arial"/>
          <w:sz w:val="20"/>
          <w:szCs w:val="20"/>
        </w:rPr>
        <w:t>view that inflation will moderate from current</w:t>
      </w:r>
      <w:r>
        <w:rPr>
          <w:rFonts w:ascii="Arial" w:hAnsi="Arial" w:cs="Arial"/>
          <w:sz w:val="20"/>
          <w:szCs w:val="20"/>
        </w:rPr>
        <w:t xml:space="preserve"> high </w:t>
      </w:r>
      <w:r w:rsidRPr="00157C2E">
        <w:rPr>
          <w:rFonts w:ascii="Arial" w:hAnsi="Arial" w:cs="Arial"/>
          <w:sz w:val="20"/>
          <w:szCs w:val="20"/>
        </w:rPr>
        <w:t xml:space="preserve">levels, </w:t>
      </w:r>
      <w:r>
        <w:rPr>
          <w:rFonts w:ascii="Arial" w:hAnsi="Arial" w:cs="Arial"/>
          <w:sz w:val="20"/>
          <w:szCs w:val="20"/>
        </w:rPr>
        <w:t>the</w:t>
      </w:r>
      <w:r w:rsidRPr="00157C2E">
        <w:rPr>
          <w:rFonts w:ascii="Arial" w:hAnsi="Arial" w:cs="Arial"/>
          <w:sz w:val="20"/>
          <w:szCs w:val="20"/>
        </w:rPr>
        <w:t xml:space="preserve"> current level </w:t>
      </w:r>
      <w:r>
        <w:rPr>
          <w:rFonts w:ascii="Arial" w:hAnsi="Arial" w:cs="Arial"/>
          <w:sz w:val="20"/>
          <w:szCs w:val="20"/>
        </w:rPr>
        <w:t>is</w:t>
      </w:r>
      <w:r w:rsidRPr="00157C2E">
        <w:rPr>
          <w:rFonts w:ascii="Arial" w:hAnsi="Arial" w:cs="Arial"/>
          <w:sz w:val="20"/>
          <w:szCs w:val="20"/>
        </w:rPr>
        <w:t xml:space="preserve"> higher than any other time in recent history</w:t>
      </w:r>
      <w:r>
        <w:rPr>
          <w:rFonts w:ascii="Arial" w:hAnsi="Arial" w:cs="Arial"/>
          <w:sz w:val="20"/>
          <w:szCs w:val="20"/>
        </w:rPr>
        <w:t xml:space="preserve">.  As such, the Fed is trying to </w:t>
      </w:r>
      <w:r w:rsidR="00CB0811">
        <w:rPr>
          <w:rFonts w:ascii="Arial" w:hAnsi="Arial" w:cs="Arial"/>
          <w:sz w:val="20"/>
          <w:szCs w:val="20"/>
        </w:rPr>
        <w:t>dampen those inflationary pressures by taking their foot off the economic accelerator via</w:t>
      </w:r>
      <w:r>
        <w:rPr>
          <w:rFonts w:ascii="Arial" w:hAnsi="Arial" w:cs="Arial"/>
          <w:sz w:val="20"/>
          <w:szCs w:val="20"/>
        </w:rPr>
        <w:t xml:space="preserve"> </w:t>
      </w:r>
      <w:r w:rsidR="00CB0811">
        <w:rPr>
          <w:rFonts w:ascii="Arial" w:hAnsi="Arial" w:cs="Arial"/>
          <w:sz w:val="20"/>
          <w:szCs w:val="20"/>
        </w:rPr>
        <w:t>higher</w:t>
      </w:r>
      <w:r>
        <w:rPr>
          <w:rFonts w:ascii="Arial" w:hAnsi="Arial" w:cs="Arial"/>
          <w:sz w:val="20"/>
          <w:szCs w:val="20"/>
        </w:rPr>
        <w:t xml:space="preserve"> </w:t>
      </w:r>
      <w:r w:rsidR="00CB0811">
        <w:rPr>
          <w:rFonts w:ascii="Arial" w:hAnsi="Arial" w:cs="Arial"/>
          <w:sz w:val="20"/>
          <w:szCs w:val="20"/>
        </w:rPr>
        <w:t xml:space="preserve">short-term </w:t>
      </w:r>
      <w:r>
        <w:rPr>
          <w:rFonts w:ascii="Arial" w:hAnsi="Arial" w:cs="Arial"/>
          <w:sz w:val="20"/>
          <w:szCs w:val="20"/>
        </w:rPr>
        <w:t>interest rates.</w:t>
      </w:r>
      <w:r w:rsidR="0058109B">
        <w:rPr>
          <w:rFonts w:ascii="Arial" w:hAnsi="Arial" w:cs="Arial"/>
          <w:sz w:val="20"/>
          <w:szCs w:val="20"/>
        </w:rPr>
        <w:t xml:space="preserve"> </w:t>
      </w:r>
      <w:r w:rsidR="001416DF" w:rsidRPr="001416DF">
        <w:rPr>
          <w:rFonts w:ascii="Arial" w:hAnsi="Arial" w:cs="Arial"/>
          <w:sz w:val="20"/>
          <w:szCs w:val="20"/>
        </w:rPr>
        <w:t xml:space="preserve">Moreover, with </w:t>
      </w:r>
      <w:r w:rsidR="0088740F">
        <w:rPr>
          <w:rFonts w:ascii="Arial" w:hAnsi="Arial" w:cs="Arial"/>
          <w:sz w:val="20"/>
          <w:szCs w:val="20"/>
        </w:rPr>
        <w:t xml:space="preserve">the </w:t>
      </w:r>
      <w:r w:rsidR="001416DF" w:rsidRPr="001416DF">
        <w:rPr>
          <w:rFonts w:ascii="Arial" w:hAnsi="Arial" w:cs="Arial"/>
          <w:sz w:val="20"/>
          <w:szCs w:val="20"/>
        </w:rPr>
        <w:t>U</w:t>
      </w:r>
      <w:r w:rsidR="001416DF">
        <w:rPr>
          <w:rFonts w:ascii="Arial" w:hAnsi="Arial" w:cs="Arial"/>
          <w:sz w:val="20"/>
          <w:szCs w:val="20"/>
        </w:rPr>
        <w:t xml:space="preserve">.S economy having fully recovered from the pandemic losses </w:t>
      </w:r>
      <w:r w:rsidR="001416DF" w:rsidRPr="001416DF">
        <w:rPr>
          <w:rFonts w:ascii="Arial" w:hAnsi="Arial" w:cs="Arial"/>
          <w:sz w:val="20"/>
          <w:szCs w:val="20"/>
        </w:rPr>
        <w:t>and inflation well above average,</w:t>
      </w:r>
      <w:r w:rsidR="001416DF">
        <w:rPr>
          <w:rFonts w:ascii="Arial" w:hAnsi="Arial" w:cs="Arial"/>
          <w:sz w:val="20"/>
          <w:szCs w:val="20"/>
        </w:rPr>
        <w:t xml:space="preserve"> </w:t>
      </w:r>
      <w:r w:rsidR="001416DF" w:rsidRPr="001416DF">
        <w:rPr>
          <w:rFonts w:ascii="Arial" w:hAnsi="Arial" w:cs="Arial"/>
          <w:sz w:val="20"/>
          <w:szCs w:val="20"/>
        </w:rPr>
        <w:t xml:space="preserve">it’s hard to justify </w:t>
      </w:r>
      <w:r w:rsidR="0088740F">
        <w:rPr>
          <w:rFonts w:ascii="Arial" w:hAnsi="Arial" w:cs="Arial"/>
          <w:sz w:val="20"/>
          <w:szCs w:val="20"/>
        </w:rPr>
        <w:t xml:space="preserve">a </w:t>
      </w:r>
      <w:r w:rsidR="00E90872">
        <w:rPr>
          <w:rFonts w:ascii="Arial" w:hAnsi="Arial" w:cs="Arial"/>
          <w:sz w:val="20"/>
          <w:szCs w:val="20"/>
        </w:rPr>
        <w:t>zero-interest</w:t>
      </w:r>
      <w:r w:rsidR="001416DF">
        <w:rPr>
          <w:rFonts w:ascii="Arial" w:hAnsi="Arial" w:cs="Arial"/>
          <w:sz w:val="20"/>
          <w:szCs w:val="20"/>
        </w:rPr>
        <w:t xml:space="preserve"> rate policy </w:t>
      </w:r>
      <w:r w:rsidR="001416DF" w:rsidRPr="001416DF">
        <w:rPr>
          <w:rFonts w:ascii="Arial" w:hAnsi="Arial" w:cs="Arial"/>
          <w:sz w:val="20"/>
          <w:szCs w:val="20"/>
        </w:rPr>
        <w:t>when the economy is no longer in crisis.</w:t>
      </w:r>
    </w:p>
    <w:p w14:paraId="556D7657" w14:textId="36DFB441" w:rsidR="00003C07" w:rsidRDefault="00DA46D8" w:rsidP="00003C07">
      <w:pPr>
        <w:spacing w:after="120"/>
        <w:ind w:left="-720" w:right="-720"/>
        <w:rPr>
          <w:rFonts w:ascii="Arial" w:hAnsi="Arial" w:cs="Arial"/>
          <w:sz w:val="20"/>
          <w:szCs w:val="20"/>
        </w:rPr>
      </w:pPr>
      <w:r>
        <w:rPr>
          <w:rFonts w:ascii="Arial" w:hAnsi="Arial" w:cs="Arial"/>
          <w:sz w:val="20"/>
          <w:szCs w:val="20"/>
        </w:rPr>
        <w:t xml:space="preserve">History tells us that </w:t>
      </w:r>
      <w:r w:rsidRPr="001416DF">
        <w:rPr>
          <w:rFonts w:ascii="Arial" w:hAnsi="Arial" w:cs="Arial"/>
          <w:sz w:val="20"/>
          <w:szCs w:val="20"/>
        </w:rPr>
        <w:t xml:space="preserve">stocks have </w:t>
      </w:r>
      <w:r>
        <w:rPr>
          <w:rFonts w:ascii="Arial" w:hAnsi="Arial" w:cs="Arial"/>
          <w:sz w:val="20"/>
          <w:szCs w:val="20"/>
        </w:rPr>
        <w:t>held up well</w:t>
      </w:r>
      <w:r w:rsidRPr="001416DF">
        <w:rPr>
          <w:rFonts w:ascii="Arial" w:hAnsi="Arial" w:cs="Arial"/>
          <w:sz w:val="20"/>
          <w:szCs w:val="20"/>
        </w:rPr>
        <w:t xml:space="preserve"> </w:t>
      </w:r>
      <w:r w:rsidR="00B70C34">
        <w:rPr>
          <w:rFonts w:ascii="Arial" w:hAnsi="Arial" w:cs="Arial"/>
          <w:sz w:val="20"/>
          <w:szCs w:val="20"/>
        </w:rPr>
        <w:t>when</w:t>
      </w:r>
      <w:r w:rsidR="00B70C34" w:rsidRPr="001416DF">
        <w:rPr>
          <w:rFonts w:ascii="Arial" w:hAnsi="Arial" w:cs="Arial"/>
          <w:sz w:val="20"/>
          <w:szCs w:val="20"/>
        </w:rPr>
        <w:t xml:space="preserve"> </w:t>
      </w:r>
      <w:r w:rsidRPr="001416DF">
        <w:rPr>
          <w:rFonts w:ascii="Arial" w:hAnsi="Arial" w:cs="Arial"/>
          <w:sz w:val="20"/>
          <w:szCs w:val="20"/>
        </w:rPr>
        <w:t xml:space="preserve">the Fed </w:t>
      </w:r>
      <w:r w:rsidR="00362223">
        <w:rPr>
          <w:rFonts w:ascii="Arial" w:hAnsi="Arial" w:cs="Arial"/>
          <w:sz w:val="20"/>
          <w:szCs w:val="20"/>
        </w:rPr>
        <w:t>raises</w:t>
      </w:r>
      <w:r w:rsidRPr="001416DF">
        <w:rPr>
          <w:rFonts w:ascii="Arial" w:hAnsi="Arial" w:cs="Arial"/>
          <w:sz w:val="20"/>
          <w:szCs w:val="20"/>
        </w:rPr>
        <w:t xml:space="preserve"> short-term rates</w:t>
      </w:r>
      <w:r w:rsidR="00B70C34">
        <w:rPr>
          <w:rFonts w:ascii="Arial" w:hAnsi="Arial" w:cs="Arial"/>
          <w:sz w:val="20"/>
          <w:szCs w:val="20"/>
        </w:rPr>
        <w:t>,</w:t>
      </w:r>
      <w:r w:rsidRPr="001416DF">
        <w:rPr>
          <w:rFonts w:ascii="Arial" w:hAnsi="Arial" w:cs="Arial"/>
          <w:sz w:val="20"/>
          <w:szCs w:val="20"/>
        </w:rPr>
        <w:t xml:space="preserve"> because this </w:t>
      </w:r>
      <w:r w:rsidR="00B70C34">
        <w:rPr>
          <w:rFonts w:ascii="Arial" w:hAnsi="Arial" w:cs="Arial"/>
          <w:sz w:val="20"/>
          <w:szCs w:val="20"/>
        </w:rPr>
        <w:t xml:space="preserve">action is </w:t>
      </w:r>
      <w:r w:rsidRPr="001416DF">
        <w:rPr>
          <w:rFonts w:ascii="Arial" w:hAnsi="Arial" w:cs="Arial"/>
          <w:sz w:val="20"/>
          <w:szCs w:val="20"/>
        </w:rPr>
        <w:t>normally paired with a healthy economy.</w:t>
      </w:r>
      <w:r>
        <w:rPr>
          <w:rFonts w:ascii="Arial" w:hAnsi="Arial" w:cs="Arial"/>
          <w:sz w:val="20"/>
          <w:szCs w:val="20"/>
        </w:rPr>
        <w:t xml:space="preserve"> A growing economy supports corporate profit growth, which supports the stock market.</w:t>
      </w:r>
      <w:r w:rsidR="008C5BA1">
        <w:rPr>
          <w:rFonts w:ascii="Arial" w:hAnsi="Arial" w:cs="Arial"/>
          <w:sz w:val="20"/>
          <w:szCs w:val="20"/>
        </w:rPr>
        <w:t xml:space="preserve"> </w:t>
      </w:r>
      <w:r w:rsidR="00402BCD">
        <w:rPr>
          <w:rFonts w:ascii="Arial" w:hAnsi="Arial" w:cs="Arial"/>
          <w:sz w:val="20"/>
          <w:szCs w:val="20"/>
        </w:rPr>
        <w:t>According, to research by Wells Fargo Investment Institute, t</w:t>
      </w:r>
      <w:r w:rsidR="00786ABE">
        <w:rPr>
          <w:rFonts w:ascii="Arial" w:hAnsi="Arial" w:cs="Arial"/>
          <w:sz w:val="20"/>
          <w:szCs w:val="20"/>
        </w:rPr>
        <w:t>he S&amp;P 500 index has risen in the 12 months prior to and the 12 months after the first-rate hike, with lower average returns after the initial interest rate hike</w:t>
      </w:r>
      <w:r w:rsidR="00395AC4">
        <w:rPr>
          <w:rStyle w:val="EndnoteReference"/>
          <w:rFonts w:ascii="Arial" w:hAnsi="Arial" w:cs="Arial"/>
          <w:sz w:val="20"/>
          <w:szCs w:val="20"/>
        </w:rPr>
        <w:endnoteReference w:id="2"/>
      </w:r>
      <w:r w:rsidR="00402BCD">
        <w:rPr>
          <w:rFonts w:ascii="Arial" w:hAnsi="Arial" w:cs="Arial"/>
          <w:sz w:val="20"/>
          <w:szCs w:val="20"/>
        </w:rPr>
        <w:t>.</w:t>
      </w:r>
      <w:r w:rsidR="0058109B">
        <w:rPr>
          <w:rFonts w:ascii="Arial" w:hAnsi="Arial" w:cs="Arial"/>
          <w:sz w:val="20"/>
          <w:szCs w:val="20"/>
        </w:rPr>
        <w:t xml:space="preserve"> </w:t>
      </w:r>
      <w:r w:rsidR="00E268FD">
        <w:rPr>
          <w:rFonts w:ascii="Arial" w:hAnsi="Arial" w:cs="Arial"/>
          <w:sz w:val="20"/>
          <w:szCs w:val="20"/>
        </w:rPr>
        <w:t xml:space="preserve">While stock returns </w:t>
      </w:r>
      <w:r w:rsidR="00362223">
        <w:rPr>
          <w:rFonts w:ascii="Arial" w:hAnsi="Arial" w:cs="Arial"/>
          <w:sz w:val="20"/>
          <w:szCs w:val="20"/>
        </w:rPr>
        <w:t xml:space="preserve">typically </w:t>
      </w:r>
      <w:r w:rsidR="00E268FD">
        <w:rPr>
          <w:rFonts w:ascii="Arial" w:hAnsi="Arial" w:cs="Arial"/>
          <w:sz w:val="20"/>
          <w:szCs w:val="20"/>
        </w:rPr>
        <w:t>moderate after the first hike, historically it has not spelled doom for stocks either.</w:t>
      </w:r>
    </w:p>
    <w:p w14:paraId="2138709B" w14:textId="1F713791" w:rsidR="00CC5C40" w:rsidRPr="00B70C34" w:rsidRDefault="00CC5C40" w:rsidP="007C16D0">
      <w:pPr>
        <w:spacing w:after="120"/>
        <w:ind w:left="720" w:right="-720"/>
        <w:rPr>
          <w:rFonts w:ascii="Arial" w:hAnsi="Arial" w:cs="Arial"/>
          <w:b/>
          <w:bCs/>
        </w:rPr>
      </w:pPr>
      <w:r w:rsidRPr="00B70C34">
        <w:rPr>
          <w:b/>
          <w:bCs/>
          <w:noProof/>
        </w:rPr>
        <w:drawing>
          <wp:anchor distT="0" distB="0" distL="114300" distR="114300" simplePos="0" relativeHeight="251671552" behindDoc="0" locked="0" layoutInCell="1" allowOverlap="1" wp14:anchorId="6D8D741C" wp14:editId="5BB756C0">
            <wp:simplePos x="0" y="0"/>
            <wp:positionH relativeFrom="margin">
              <wp:posOffset>482320</wp:posOffset>
            </wp:positionH>
            <wp:positionV relativeFrom="paragraph">
              <wp:posOffset>245567</wp:posOffset>
            </wp:positionV>
            <wp:extent cx="4520565" cy="198183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520565" cy="1981835"/>
                    </a:xfrm>
                    <a:prstGeom prst="rect">
                      <a:avLst/>
                    </a:prstGeom>
                  </pic:spPr>
                </pic:pic>
              </a:graphicData>
            </a:graphic>
            <wp14:sizeRelH relativeFrom="margin">
              <wp14:pctWidth>0</wp14:pctWidth>
            </wp14:sizeRelH>
            <wp14:sizeRelV relativeFrom="margin">
              <wp14:pctHeight>0</wp14:pctHeight>
            </wp14:sizeRelV>
          </wp:anchor>
        </w:drawing>
      </w:r>
      <w:r w:rsidRPr="00B70C34">
        <w:rPr>
          <w:rFonts w:ascii="Arial" w:hAnsi="Arial" w:cs="Arial"/>
          <w:b/>
          <w:bCs/>
          <w:color w:val="666666" w:themeColor="background2" w:themeShade="80"/>
        </w:rPr>
        <w:t xml:space="preserve">How </w:t>
      </w:r>
      <w:r w:rsidR="00B70C34">
        <w:rPr>
          <w:rFonts w:ascii="Arial" w:hAnsi="Arial" w:cs="Arial"/>
          <w:b/>
          <w:bCs/>
          <w:color w:val="666666" w:themeColor="background2" w:themeShade="80"/>
        </w:rPr>
        <w:t>S</w:t>
      </w:r>
      <w:r w:rsidRPr="00B70C34">
        <w:rPr>
          <w:rFonts w:ascii="Arial" w:hAnsi="Arial" w:cs="Arial"/>
          <w:b/>
          <w:bCs/>
          <w:color w:val="666666" w:themeColor="background2" w:themeShade="80"/>
        </w:rPr>
        <w:t xml:space="preserve">tocks </w:t>
      </w:r>
      <w:r w:rsidR="00B70C34">
        <w:rPr>
          <w:rFonts w:ascii="Arial" w:hAnsi="Arial" w:cs="Arial"/>
          <w:b/>
          <w:bCs/>
          <w:color w:val="666666" w:themeColor="background2" w:themeShade="80"/>
        </w:rPr>
        <w:t>H</w:t>
      </w:r>
      <w:r w:rsidRPr="00B70C34">
        <w:rPr>
          <w:rFonts w:ascii="Arial" w:hAnsi="Arial" w:cs="Arial"/>
          <w:b/>
          <w:bCs/>
          <w:color w:val="666666" w:themeColor="background2" w:themeShade="80"/>
        </w:rPr>
        <w:t xml:space="preserve">ave </w:t>
      </w:r>
      <w:r w:rsidR="00B70C34">
        <w:rPr>
          <w:rFonts w:ascii="Arial" w:hAnsi="Arial" w:cs="Arial"/>
          <w:b/>
          <w:bCs/>
          <w:color w:val="666666" w:themeColor="background2" w:themeShade="80"/>
        </w:rPr>
        <w:t>P</w:t>
      </w:r>
      <w:r w:rsidRPr="00B70C34">
        <w:rPr>
          <w:rFonts w:ascii="Arial" w:hAnsi="Arial" w:cs="Arial"/>
          <w:b/>
          <w:bCs/>
          <w:color w:val="666666" w:themeColor="background2" w:themeShade="80"/>
        </w:rPr>
        <w:t xml:space="preserve">erformed </w:t>
      </w:r>
      <w:r w:rsidR="00B70C34">
        <w:rPr>
          <w:rFonts w:ascii="Arial" w:hAnsi="Arial" w:cs="Arial"/>
          <w:b/>
          <w:bCs/>
          <w:color w:val="666666" w:themeColor="background2" w:themeShade="80"/>
        </w:rPr>
        <w:t>W</w:t>
      </w:r>
      <w:r w:rsidRPr="00B70C34">
        <w:rPr>
          <w:rFonts w:ascii="Arial" w:hAnsi="Arial" w:cs="Arial"/>
          <w:b/>
          <w:bCs/>
          <w:color w:val="666666" w:themeColor="background2" w:themeShade="80"/>
        </w:rPr>
        <w:t xml:space="preserve">hen the Fed </w:t>
      </w:r>
      <w:r w:rsidR="00B70C34">
        <w:rPr>
          <w:rFonts w:ascii="Arial" w:hAnsi="Arial" w:cs="Arial"/>
          <w:b/>
          <w:bCs/>
          <w:color w:val="666666" w:themeColor="background2" w:themeShade="80"/>
        </w:rPr>
        <w:t>H</w:t>
      </w:r>
      <w:r w:rsidRPr="00B70C34">
        <w:rPr>
          <w:rFonts w:ascii="Arial" w:hAnsi="Arial" w:cs="Arial"/>
          <w:b/>
          <w:bCs/>
          <w:color w:val="666666" w:themeColor="background2" w:themeShade="80"/>
        </w:rPr>
        <w:t xml:space="preserve">as </w:t>
      </w:r>
      <w:r w:rsidR="00B70C34">
        <w:rPr>
          <w:rFonts w:ascii="Arial" w:hAnsi="Arial" w:cs="Arial"/>
          <w:b/>
          <w:bCs/>
          <w:color w:val="666666" w:themeColor="background2" w:themeShade="80"/>
        </w:rPr>
        <w:t>R</w:t>
      </w:r>
      <w:r w:rsidRPr="00B70C34">
        <w:rPr>
          <w:rFonts w:ascii="Arial" w:hAnsi="Arial" w:cs="Arial"/>
          <w:b/>
          <w:bCs/>
          <w:color w:val="666666" w:themeColor="background2" w:themeShade="80"/>
        </w:rPr>
        <w:t xml:space="preserve">aised </w:t>
      </w:r>
      <w:r w:rsidR="00B70C34">
        <w:rPr>
          <w:rFonts w:ascii="Arial" w:hAnsi="Arial" w:cs="Arial"/>
          <w:b/>
          <w:bCs/>
          <w:color w:val="666666" w:themeColor="background2" w:themeShade="80"/>
        </w:rPr>
        <w:t>R</w:t>
      </w:r>
      <w:r w:rsidRPr="00B70C34">
        <w:rPr>
          <w:rFonts w:ascii="Arial" w:hAnsi="Arial" w:cs="Arial"/>
          <w:b/>
          <w:bCs/>
          <w:color w:val="666666" w:themeColor="background2" w:themeShade="80"/>
        </w:rPr>
        <w:t>ates</w:t>
      </w:r>
    </w:p>
    <w:p w14:paraId="38527B3C" w14:textId="5E18ADB9" w:rsidR="00402BCD" w:rsidRDefault="00402BCD" w:rsidP="00402BCD">
      <w:pPr>
        <w:spacing w:after="120"/>
        <w:ind w:right="-720"/>
        <w:rPr>
          <w:rFonts w:ascii="Arial" w:hAnsi="Arial" w:cs="Arial"/>
          <w:sz w:val="20"/>
          <w:szCs w:val="20"/>
        </w:rPr>
      </w:pPr>
      <w:r>
        <w:rPr>
          <w:rFonts w:ascii="Arial" w:hAnsi="Arial" w:cs="Arial"/>
          <w:color w:val="666666" w:themeColor="background2" w:themeShade="80"/>
          <w:sz w:val="16"/>
          <w:szCs w:val="16"/>
        </w:rPr>
        <w:tab/>
        <w:t xml:space="preserve">     </w:t>
      </w:r>
      <w:r w:rsidRPr="00BA149E">
        <w:rPr>
          <w:rFonts w:ascii="Arial" w:hAnsi="Arial" w:cs="Arial"/>
          <w:color w:val="666666" w:themeColor="background2" w:themeShade="80"/>
          <w:sz w:val="16"/>
          <w:szCs w:val="16"/>
        </w:rPr>
        <w:t xml:space="preserve">Source: </w:t>
      </w:r>
      <w:r>
        <w:rPr>
          <w:rFonts w:ascii="Arial" w:hAnsi="Arial" w:cs="Arial"/>
          <w:color w:val="666666" w:themeColor="background2" w:themeShade="80"/>
          <w:sz w:val="16"/>
          <w:szCs w:val="16"/>
        </w:rPr>
        <w:t>Wells Fargo Investment Institute. How stocks have performed when the Fed raised rates</w:t>
      </w:r>
    </w:p>
    <w:p w14:paraId="72AEF1A4" w14:textId="77777777" w:rsidR="00003C07" w:rsidRDefault="00003C07" w:rsidP="007A371C">
      <w:pPr>
        <w:spacing w:after="120"/>
        <w:ind w:left="-720" w:right="-720"/>
        <w:rPr>
          <w:rStyle w:val="IntenseEmphasis"/>
          <w:rFonts w:ascii="Arial" w:hAnsi="Arial" w:cs="Arial"/>
        </w:rPr>
      </w:pPr>
    </w:p>
    <w:p w14:paraId="0CA3B926" w14:textId="77777777" w:rsidR="00003C07" w:rsidRDefault="00003C07" w:rsidP="007A371C">
      <w:pPr>
        <w:spacing w:after="120"/>
        <w:ind w:left="-720" w:right="-720"/>
        <w:rPr>
          <w:rStyle w:val="IntenseEmphasis"/>
          <w:rFonts w:ascii="Arial" w:hAnsi="Arial" w:cs="Arial"/>
        </w:rPr>
      </w:pPr>
    </w:p>
    <w:p w14:paraId="23352474" w14:textId="3C79183D" w:rsidR="007A371C" w:rsidRPr="00B70C34" w:rsidRDefault="009362A1" w:rsidP="007A371C">
      <w:pPr>
        <w:spacing w:after="120"/>
        <w:ind w:left="-720" w:right="-720"/>
        <w:rPr>
          <w:rStyle w:val="IntenseEmphasis"/>
          <w:rFonts w:ascii="Arial" w:hAnsi="Arial" w:cs="Arial"/>
        </w:rPr>
      </w:pPr>
      <w:r w:rsidRPr="00B70C34">
        <w:rPr>
          <w:rStyle w:val="IntenseEmphasis"/>
          <w:rFonts w:ascii="Arial" w:hAnsi="Arial" w:cs="Arial"/>
        </w:rPr>
        <w:lastRenderedPageBreak/>
        <w:t>Corrections while painful, are normal</w:t>
      </w:r>
    </w:p>
    <w:p w14:paraId="233F9508" w14:textId="5940A11A" w:rsidR="0082360E" w:rsidRDefault="00402BCD" w:rsidP="000A760B">
      <w:pPr>
        <w:spacing w:after="120"/>
        <w:ind w:left="-720" w:right="-720"/>
        <w:rPr>
          <w:rFonts w:ascii="Arial" w:hAnsi="Arial" w:cs="Arial"/>
          <w:sz w:val="20"/>
          <w:szCs w:val="20"/>
        </w:rPr>
      </w:pPr>
      <w:r w:rsidRPr="00B70C34">
        <w:rPr>
          <w:rFonts w:ascii="Arial" w:hAnsi="Arial" w:cs="Arial"/>
          <w:sz w:val="20"/>
          <w:szCs w:val="20"/>
        </w:rPr>
        <w:t xml:space="preserve">Another reason the recent volatility feels heightened is </w:t>
      </w:r>
      <w:r w:rsidR="00B70C34" w:rsidRPr="00B70C34">
        <w:rPr>
          <w:rFonts w:ascii="Arial" w:hAnsi="Arial" w:cs="Arial"/>
          <w:sz w:val="20"/>
          <w:szCs w:val="20"/>
        </w:rPr>
        <w:t xml:space="preserve">due to how </w:t>
      </w:r>
      <w:r w:rsidRPr="00B70C34">
        <w:rPr>
          <w:rFonts w:ascii="Arial" w:hAnsi="Arial" w:cs="Arial"/>
          <w:sz w:val="20"/>
          <w:szCs w:val="20"/>
        </w:rPr>
        <w:t xml:space="preserve">unusually calm </w:t>
      </w:r>
      <w:r w:rsidR="00B70C34" w:rsidRPr="00B70C34">
        <w:rPr>
          <w:rFonts w:ascii="Arial" w:hAnsi="Arial" w:cs="Arial"/>
          <w:sz w:val="20"/>
          <w:szCs w:val="20"/>
        </w:rPr>
        <w:t xml:space="preserve">the </w:t>
      </w:r>
      <w:r w:rsidRPr="00B70C34">
        <w:rPr>
          <w:rFonts w:ascii="Arial" w:hAnsi="Arial" w:cs="Arial"/>
          <w:sz w:val="20"/>
          <w:szCs w:val="20"/>
        </w:rPr>
        <w:t xml:space="preserve">markets </w:t>
      </w:r>
      <w:r w:rsidR="00B70C34" w:rsidRPr="00B70C34">
        <w:rPr>
          <w:rFonts w:ascii="Arial" w:hAnsi="Arial" w:cs="Arial"/>
          <w:sz w:val="20"/>
          <w:szCs w:val="20"/>
        </w:rPr>
        <w:t xml:space="preserve">have been </w:t>
      </w:r>
      <w:r w:rsidRPr="00B70C34">
        <w:rPr>
          <w:rFonts w:ascii="Arial" w:hAnsi="Arial" w:cs="Arial"/>
          <w:sz w:val="20"/>
          <w:szCs w:val="20"/>
        </w:rPr>
        <w:t>coming out of the pandemic lows.</w:t>
      </w:r>
      <w:r w:rsidR="0058109B">
        <w:rPr>
          <w:rFonts w:ascii="Arial" w:hAnsi="Arial" w:cs="Arial"/>
          <w:sz w:val="20"/>
          <w:szCs w:val="20"/>
        </w:rPr>
        <w:t xml:space="preserve"> </w:t>
      </w:r>
      <w:r>
        <w:rPr>
          <w:rFonts w:ascii="Arial" w:hAnsi="Arial" w:cs="Arial"/>
          <w:sz w:val="20"/>
          <w:szCs w:val="20"/>
        </w:rPr>
        <w:t xml:space="preserve">In </w:t>
      </w:r>
      <w:r w:rsidR="0082360E" w:rsidRPr="0082360E">
        <w:rPr>
          <w:rFonts w:ascii="Arial" w:hAnsi="Arial" w:cs="Arial"/>
          <w:sz w:val="20"/>
          <w:szCs w:val="20"/>
        </w:rPr>
        <w:t>2021, the S&amp;P 500's biggest drawdown was 5.</w:t>
      </w:r>
      <w:r w:rsidR="0082360E">
        <w:rPr>
          <w:rFonts w:ascii="Arial" w:hAnsi="Arial" w:cs="Arial"/>
          <w:sz w:val="20"/>
          <w:szCs w:val="20"/>
        </w:rPr>
        <w:t>2</w:t>
      </w:r>
      <w:r w:rsidR="0082360E" w:rsidRPr="0082360E">
        <w:rPr>
          <w:rFonts w:ascii="Arial" w:hAnsi="Arial" w:cs="Arial"/>
          <w:sz w:val="20"/>
          <w:szCs w:val="20"/>
        </w:rPr>
        <w:t>%</w:t>
      </w:r>
      <w:r w:rsidR="00395AC4">
        <w:rPr>
          <w:rStyle w:val="EndnoteReference"/>
          <w:rFonts w:ascii="Arial" w:hAnsi="Arial" w:cs="Arial"/>
          <w:sz w:val="20"/>
          <w:szCs w:val="20"/>
        </w:rPr>
        <w:endnoteReference w:id="3"/>
      </w:r>
      <w:r w:rsidR="0088740F">
        <w:rPr>
          <w:rFonts w:ascii="Arial" w:hAnsi="Arial" w:cs="Arial"/>
          <w:sz w:val="20"/>
          <w:szCs w:val="20"/>
        </w:rPr>
        <w:t xml:space="preserve">, </w:t>
      </w:r>
      <w:r w:rsidR="00395AC4">
        <w:rPr>
          <w:rFonts w:ascii="Arial" w:hAnsi="Arial" w:cs="Arial"/>
          <w:sz w:val="20"/>
          <w:szCs w:val="20"/>
        </w:rPr>
        <w:t xml:space="preserve">when </w:t>
      </w:r>
      <w:r w:rsidR="00E90872">
        <w:rPr>
          <w:rFonts w:ascii="Arial" w:hAnsi="Arial" w:cs="Arial"/>
          <w:sz w:val="20"/>
          <w:szCs w:val="20"/>
        </w:rPr>
        <w:t>typically,</w:t>
      </w:r>
      <w:r w:rsidR="0088740F">
        <w:rPr>
          <w:rFonts w:ascii="Arial" w:hAnsi="Arial" w:cs="Arial"/>
          <w:sz w:val="20"/>
          <w:szCs w:val="20"/>
        </w:rPr>
        <w:t xml:space="preserve"> </w:t>
      </w:r>
      <w:r w:rsidR="00395AC4">
        <w:rPr>
          <w:rFonts w:ascii="Arial" w:hAnsi="Arial" w:cs="Arial"/>
          <w:sz w:val="20"/>
          <w:szCs w:val="20"/>
        </w:rPr>
        <w:t>the markets experience a 5% correction 2-3 times a year</w:t>
      </w:r>
      <w:r w:rsidR="0082360E">
        <w:rPr>
          <w:rFonts w:ascii="Arial" w:hAnsi="Arial" w:cs="Arial"/>
          <w:sz w:val="20"/>
          <w:szCs w:val="20"/>
        </w:rPr>
        <w:t>.</w:t>
      </w:r>
      <w:r w:rsidR="0058109B">
        <w:rPr>
          <w:rFonts w:ascii="Arial" w:hAnsi="Arial" w:cs="Arial"/>
          <w:sz w:val="20"/>
          <w:szCs w:val="20"/>
        </w:rPr>
        <w:t xml:space="preserve"> </w:t>
      </w:r>
      <w:r w:rsidR="0082360E" w:rsidRPr="0082360E">
        <w:rPr>
          <w:rFonts w:ascii="Arial" w:hAnsi="Arial" w:cs="Arial"/>
          <w:sz w:val="20"/>
          <w:szCs w:val="20"/>
        </w:rPr>
        <w:t>Instead, the index hit 70 new all-time highs in 2021</w:t>
      </w:r>
      <w:r w:rsidR="00E90872">
        <w:rPr>
          <w:rFonts w:ascii="Arial" w:hAnsi="Arial" w:cs="Arial"/>
          <w:sz w:val="20"/>
          <w:szCs w:val="20"/>
        </w:rPr>
        <w:t xml:space="preserve">, </w:t>
      </w:r>
      <w:r w:rsidR="00E90872" w:rsidRPr="00610734">
        <w:rPr>
          <w:rFonts w:ascii="Arial" w:hAnsi="Arial" w:cs="Arial"/>
          <w:color w:val="242424"/>
          <w:spacing w:val="-3"/>
          <w:sz w:val="20"/>
          <w:szCs w:val="20"/>
          <w:shd w:val="clear" w:color="auto" w:fill="FFFFFF"/>
        </w:rPr>
        <w:t xml:space="preserve">second most on record after </w:t>
      </w:r>
      <w:r w:rsidR="00362223">
        <w:rPr>
          <w:rFonts w:ascii="Arial" w:hAnsi="Arial" w:cs="Arial"/>
          <w:color w:val="242424"/>
          <w:spacing w:val="-3"/>
          <w:sz w:val="20"/>
          <w:szCs w:val="20"/>
          <w:shd w:val="clear" w:color="auto" w:fill="FFFFFF"/>
        </w:rPr>
        <w:t>77 in 1995</w:t>
      </w:r>
      <w:r w:rsidR="00362223" w:rsidRPr="00610734">
        <w:rPr>
          <w:rFonts w:ascii="Arial" w:hAnsi="Arial" w:cs="Arial"/>
          <w:color w:val="242424"/>
          <w:spacing w:val="-3"/>
          <w:sz w:val="20"/>
          <w:szCs w:val="20"/>
          <w:shd w:val="clear" w:color="auto" w:fill="FFFFFF"/>
        </w:rPr>
        <w:t xml:space="preserve"> </w:t>
      </w:r>
      <w:r w:rsidR="00395AC4">
        <w:rPr>
          <w:rStyle w:val="EndnoteReference"/>
          <w:rFonts w:ascii="Arial" w:hAnsi="Arial" w:cs="Arial"/>
          <w:sz w:val="20"/>
          <w:szCs w:val="20"/>
        </w:rPr>
        <w:endnoteReference w:id="4"/>
      </w:r>
      <w:r w:rsidR="0082360E">
        <w:rPr>
          <w:rFonts w:ascii="Arial" w:hAnsi="Arial" w:cs="Arial"/>
          <w:sz w:val="20"/>
          <w:szCs w:val="20"/>
        </w:rPr>
        <w:t>.</w:t>
      </w:r>
      <w:r w:rsidR="0058109B">
        <w:rPr>
          <w:rFonts w:ascii="Arial" w:hAnsi="Arial" w:cs="Arial"/>
          <w:sz w:val="20"/>
          <w:szCs w:val="20"/>
        </w:rPr>
        <w:t xml:space="preserve"> However, a</w:t>
      </w:r>
      <w:r w:rsidR="00CC5C40">
        <w:rPr>
          <w:rFonts w:ascii="Arial" w:hAnsi="Arial" w:cs="Arial"/>
          <w:sz w:val="20"/>
          <w:szCs w:val="20"/>
        </w:rPr>
        <w:t>ccording to JPMorgan Asset Management, s</w:t>
      </w:r>
      <w:r w:rsidR="0082360E" w:rsidRPr="0082360E">
        <w:rPr>
          <w:rFonts w:ascii="Arial" w:hAnsi="Arial" w:cs="Arial"/>
          <w:sz w:val="20"/>
          <w:szCs w:val="20"/>
        </w:rPr>
        <w:t>ince 1980</w:t>
      </w:r>
      <w:r w:rsidR="00CC5C40">
        <w:rPr>
          <w:rFonts w:ascii="Arial" w:hAnsi="Arial" w:cs="Arial"/>
          <w:sz w:val="20"/>
          <w:szCs w:val="20"/>
        </w:rPr>
        <w:t xml:space="preserve"> the S&amp;P 500 has experienced an</w:t>
      </w:r>
      <w:r w:rsidR="0082360E" w:rsidRPr="0082360E">
        <w:rPr>
          <w:rFonts w:ascii="Arial" w:hAnsi="Arial" w:cs="Arial"/>
          <w:sz w:val="20"/>
          <w:szCs w:val="20"/>
        </w:rPr>
        <w:t xml:space="preserve"> average intra-year </w:t>
      </w:r>
      <w:r w:rsidR="00CC5C40">
        <w:rPr>
          <w:rFonts w:ascii="Arial" w:hAnsi="Arial" w:cs="Arial"/>
          <w:sz w:val="20"/>
          <w:szCs w:val="20"/>
        </w:rPr>
        <w:t>decline of</w:t>
      </w:r>
      <w:r w:rsidR="0082360E" w:rsidRPr="0082360E">
        <w:rPr>
          <w:rFonts w:ascii="Arial" w:hAnsi="Arial" w:cs="Arial"/>
          <w:sz w:val="20"/>
          <w:szCs w:val="20"/>
        </w:rPr>
        <w:t xml:space="preserve"> 14%.</w:t>
      </w:r>
      <w:r w:rsidR="0082360E">
        <w:rPr>
          <w:rFonts w:ascii="Arial" w:hAnsi="Arial" w:cs="Arial"/>
          <w:sz w:val="20"/>
          <w:szCs w:val="20"/>
        </w:rPr>
        <w:t xml:space="preserve"> Despite the </w:t>
      </w:r>
      <w:r w:rsidR="0088740F">
        <w:rPr>
          <w:rFonts w:ascii="Arial" w:hAnsi="Arial" w:cs="Arial"/>
          <w:sz w:val="20"/>
          <w:szCs w:val="20"/>
        </w:rPr>
        <w:t xml:space="preserve">average </w:t>
      </w:r>
      <w:r w:rsidR="0082360E">
        <w:rPr>
          <w:rFonts w:ascii="Arial" w:hAnsi="Arial" w:cs="Arial"/>
          <w:sz w:val="20"/>
          <w:szCs w:val="20"/>
        </w:rPr>
        <w:t>intra-year decline of 14% markets ended in positive territory in 32 out of 42 years</w:t>
      </w:r>
      <w:r w:rsidR="00395AC4">
        <w:rPr>
          <w:rStyle w:val="EndnoteReference"/>
          <w:rFonts w:ascii="Arial" w:hAnsi="Arial" w:cs="Arial"/>
          <w:sz w:val="20"/>
          <w:szCs w:val="20"/>
        </w:rPr>
        <w:endnoteReference w:id="5"/>
      </w:r>
      <w:r w:rsidR="0082360E">
        <w:rPr>
          <w:rFonts w:ascii="Arial" w:hAnsi="Arial" w:cs="Arial"/>
          <w:sz w:val="20"/>
          <w:szCs w:val="20"/>
        </w:rPr>
        <w:t>.</w:t>
      </w:r>
      <w:r w:rsidR="0082360E" w:rsidRPr="0082360E">
        <w:rPr>
          <w:rFonts w:ascii="Arial" w:hAnsi="Arial" w:cs="Arial"/>
          <w:sz w:val="20"/>
          <w:szCs w:val="20"/>
        </w:rPr>
        <w:t xml:space="preserve"> </w:t>
      </w:r>
      <w:r w:rsidR="0058109B">
        <w:rPr>
          <w:rFonts w:ascii="Arial" w:hAnsi="Arial" w:cs="Arial"/>
          <w:sz w:val="20"/>
          <w:szCs w:val="20"/>
        </w:rPr>
        <w:t>Corrections or pullbacks are normal and healthy way</w:t>
      </w:r>
      <w:r w:rsidR="00362223">
        <w:rPr>
          <w:rFonts w:ascii="Arial" w:hAnsi="Arial" w:cs="Arial"/>
          <w:sz w:val="20"/>
          <w:szCs w:val="20"/>
        </w:rPr>
        <w:t>s</w:t>
      </w:r>
      <w:r w:rsidR="0058109B">
        <w:rPr>
          <w:rFonts w:ascii="Arial" w:hAnsi="Arial" w:cs="Arial"/>
          <w:sz w:val="20"/>
          <w:szCs w:val="20"/>
        </w:rPr>
        <w:t xml:space="preserve"> of keeping markets from getting overvalued.  </w:t>
      </w:r>
    </w:p>
    <w:p w14:paraId="562E23F4" w14:textId="3F9CCA24" w:rsidR="00CC5C40" w:rsidRPr="00B70C34" w:rsidRDefault="00CC5C40" w:rsidP="00B70C34">
      <w:pPr>
        <w:spacing w:after="120"/>
        <w:ind w:right="-720"/>
        <w:jc w:val="center"/>
        <w:rPr>
          <w:rFonts w:ascii="Arial" w:hAnsi="Arial" w:cs="Arial"/>
          <w:b/>
          <w:bCs/>
          <w:color w:val="666666" w:themeColor="background2" w:themeShade="80"/>
        </w:rPr>
      </w:pPr>
      <w:r w:rsidRPr="00CC5C40">
        <w:rPr>
          <w:b/>
          <w:bCs/>
          <w:noProof/>
          <w:sz w:val="24"/>
          <w:szCs w:val="24"/>
        </w:rPr>
        <w:drawing>
          <wp:anchor distT="0" distB="0" distL="114300" distR="114300" simplePos="0" relativeHeight="251672576" behindDoc="0" locked="0" layoutInCell="1" allowOverlap="1" wp14:anchorId="07C598A7" wp14:editId="6AAE1225">
            <wp:simplePos x="0" y="0"/>
            <wp:positionH relativeFrom="column">
              <wp:posOffset>423545</wp:posOffset>
            </wp:positionH>
            <wp:positionV relativeFrom="paragraph">
              <wp:posOffset>205867</wp:posOffset>
            </wp:positionV>
            <wp:extent cx="5048250" cy="28067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048250" cy="2806700"/>
                    </a:xfrm>
                    <a:prstGeom prst="rect">
                      <a:avLst/>
                    </a:prstGeom>
                  </pic:spPr>
                </pic:pic>
              </a:graphicData>
            </a:graphic>
          </wp:anchor>
        </w:drawing>
      </w:r>
      <w:r w:rsidRPr="00B70C34">
        <w:rPr>
          <w:rFonts w:ascii="Arial" w:hAnsi="Arial" w:cs="Arial"/>
          <w:b/>
          <w:bCs/>
          <w:color w:val="666666" w:themeColor="background2" w:themeShade="80"/>
        </w:rPr>
        <w:t xml:space="preserve">Annual </w:t>
      </w:r>
      <w:r w:rsidR="00B70C34" w:rsidRPr="00B70C34">
        <w:rPr>
          <w:rFonts w:ascii="Arial" w:hAnsi="Arial" w:cs="Arial"/>
          <w:b/>
          <w:bCs/>
          <w:color w:val="666666" w:themeColor="background2" w:themeShade="80"/>
        </w:rPr>
        <w:t>R</w:t>
      </w:r>
      <w:r w:rsidRPr="00B70C34">
        <w:rPr>
          <w:rFonts w:ascii="Arial" w:hAnsi="Arial" w:cs="Arial"/>
          <w:b/>
          <w:bCs/>
          <w:color w:val="666666" w:themeColor="background2" w:themeShade="80"/>
        </w:rPr>
        <w:t xml:space="preserve">eturns and </w:t>
      </w:r>
      <w:r w:rsidR="00B70C34" w:rsidRPr="00B70C34">
        <w:rPr>
          <w:rFonts w:ascii="Arial" w:hAnsi="Arial" w:cs="Arial"/>
          <w:b/>
          <w:bCs/>
          <w:color w:val="666666" w:themeColor="background2" w:themeShade="80"/>
        </w:rPr>
        <w:t>I</w:t>
      </w:r>
      <w:r w:rsidRPr="00B70C34">
        <w:rPr>
          <w:rFonts w:ascii="Arial" w:hAnsi="Arial" w:cs="Arial"/>
          <w:b/>
          <w:bCs/>
          <w:color w:val="666666" w:themeColor="background2" w:themeShade="80"/>
        </w:rPr>
        <w:t>ntra-</w:t>
      </w:r>
      <w:r w:rsidR="00B70C34" w:rsidRPr="00B70C34">
        <w:rPr>
          <w:rFonts w:ascii="Arial" w:hAnsi="Arial" w:cs="Arial"/>
          <w:b/>
          <w:bCs/>
          <w:color w:val="666666" w:themeColor="background2" w:themeShade="80"/>
        </w:rPr>
        <w:t>Y</w:t>
      </w:r>
      <w:r w:rsidRPr="00B70C34">
        <w:rPr>
          <w:rFonts w:ascii="Arial" w:hAnsi="Arial" w:cs="Arial"/>
          <w:b/>
          <w:bCs/>
          <w:color w:val="666666" w:themeColor="background2" w:themeShade="80"/>
        </w:rPr>
        <w:t xml:space="preserve">ear </w:t>
      </w:r>
      <w:r w:rsidR="00B70C34" w:rsidRPr="00B70C34">
        <w:rPr>
          <w:rFonts w:ascii="Arial" w:hAnsi="Arial" w:cs="Arial"/>
          <w:b/>
          <w:bCs/>
          <w:color w:val="666666" w:themeColor="background2" w:themeShade="80"/>
        </w:rPr>
        <w:t>D</w:t>
      </w:r>
      <w:r w:rsidRPr="00B70C34">
        <w:rPr>
          <w:rFonts w:ascii="Arial" w:hAnsi="Arial" w:cs="Arial"/>
          <w:b/>
          <w:bCs/>
          <w:color w:val="666666" w:themeColor="background2" w:themeShade="80"/>
        </w:rPr>
        <w:t>eclines for S&amp;P 500</w:t>
      </w:r>
    </w:p>
    <w:p w14:paraId="34A0F87F" w14:textId="5BFB0266" w:rsidR="002708C4" w:rsidRDefault="00CC5C40" w:rsidP="00CC5C40">
      <w:pPr>
        <w:spacing w:after="120"/>
        <w:ind w:right="-720"/>
        <w:rPr>
          <w:rFonts w:ascii="Arial" w:hAnsi="Arial" w:cs="Arial"/>
          <w:sz w:val="20"/>
          <w:szCs w:val="20"/>
        </w:rPr>
      </w:pPr>
      <w:r>
        <w:rPr>
          <w:rFonts w:ascii="Arial" w:hAnsi="Arial" w:cs="Arial"/>
          <w:color w:val="666666" w:themeColor="background2" w:themeShade="80"/>
          <w:sz w:val="16"/>
          <w:szCs w:val="16"/>
        </w:rPr>
        <w:tab/>
        <w:t>S</w:t>
      </w:r>
      <w:r w:rsidR="002708C4" w:rsidRPr="00BA149E">
        <w:rPr>
          <w:rFonts w:ascii="Arial" w:hAnsi="Arial" w:cs="Arial"/>
          <w:color w:val="666666" w:themeColor="background2" w:themeShade="80"/>
          <w:sz w:val="16"/>
          <w:szCs w:val="16"/>
        </w:rPr>
        <w:t xml:space="preserve">ource: </w:t>
      </w:r>
      <w:r>
        <w:rPr>
          <w:rFonts w:ascii="Arial" w:hAnsi="Arial" w:cs="Arial"/>
          <w:color w:val="666666" w:themeColor="background2" w:themeShade="80"/>
          <w:sz w:val="16"/>
          <w:szCs w:val="16"/>
        </w:rPr>
        <w:t>JPMorgan Asset Management</w:t>
      </w:r>
      <w:r w:rsidR="00C141D9">
        <w:rPr>
          <w:rFonts w:ascii="Arial" w:hAnsi="Arial" w:cs="Arial"/>
          <w:color w:val="666666" w:themeColor="background2" w:themeShade="80"/>
          <w:sz w:val="16"/>
          <w:szCs w:val="16"/>
        </w:rPr>
        <w:t>.</w:t>
      </w:r>
      <w:r>
        <w:rPr>
          <w:rFonts w:ascii="Arial" w:hAnsi="Arial" w:cs="Arial"/>
          <w:color w:val="666666" w:themeColor="background2" w:themeShade="80"/>
          <w:sz w:val="16"/>
          <w:szCs w:val="16"/>
        </w:rPr>
        <w:t xml:space="preserve"> Guide to the Markets Q1</w:t>
      </w:r>
      <w:r w:rsidR="00B70C34">
        <w:rPr>
          <w:rFonts w:ascii="Arial" w:hAnsi="Arial" w:cs="Arial"/>
          <w:color w:val="666666" w:themeColor="background2" w:themeShade="80"/>
          <w:sz w:val="16"/>
          <w:szCs w:val="16"/>
        </w:rPr>
        <w:t xml:space="preserve"> </w:t>
      </w:r>
      <w:r>
        <w:rPr>
          <w:rFonts w:ascii="Arial" w:hAnsi="Arial" w:cs="Arial"/>
          <w:color w:val="666666" w:themeColor="background2" w:themeShade="80"/>
          <w:sz w:val="16"/>
          <w:szCs w:val="16"/>
        </w:rPr>
        <w:t>2021</w:t>
      </w:r>
      <w:r w:rsidR="00C141D9">
        <w:rPr>
          <w:rFonts w:ascii="Arial" w:hAnsi="Arial" w:cs="Arial"/>
          <w:color w:val="666666" w:themeColor="background2" w:themeShade="80"/>
          <w:sz w:val="16"/>
          <w:szCs w:val="16"/>
        </w:rPr>
        <w:t xml:space="preserve">  </w:t>
      </w:r>
    </w:p>
    <w:p w14:paraId="793E0364" w14:textId="63C1AADC" w:rsidR="00E268FD" w:rsidRPr="00B70C34" w:rsidRDefault="00E268FD" w:rsidP="00E268FD">
      <w:pPr>
        <w:spacing w:after="120"/>
        <w:ind w:left="-720" w:right="-720"/>
        <w:rPr>
          <w:rStyle w:val="IntenseEmphasis"/>
          <w:rFonts w:ascii="Arial" w:hAnsi="Arial" w:cs="Arial"/>
        </w:rPr>
      </w:pPr>
      <w:r w:rsidRPr="00B70C34">
        <w:rPr>
          <w:rStyle w:val="IntenseEmphasis"/>
          <w:rFonts w:ascii="Arial" w:hAnsi="Arial" w:cs="Arial"/>
        </w:rPr>
        <w:t>Conclusion</w:t>
      </w:r>
    </w:p>
    <w:p w14:paraId="13181406" w14:textId="1CD80295" w:rsidR="008C5BA1" w:rsidRDefault="00E268FD" w:rsidP="008C5BA1">
      <w:pPr>
        <w:spacing w:after="120"/>
        <w:ind w:left="-720" w:right="-720"/>
        <w:rPr>
          <w:rFonts w:ascii="Arial" w:hAnsi="Arial" w:cs="Arial"/>
          <w:sz w:val="20"/>
          <w:szCs w:val="20"/>
        </w:rPr>
      </w:pPr>
      <w:r>
        <w:rPr>
          <w:rFonts w:ascii="Arial" w:hAnsi="Arial" w:cs="Arial"/>
          <w:sz w:val="20"/>
          <w:szCs w:val="20"/>
        </w:rPr>
        <w:t xml:space="preserve">While a </w:t>
      </w:r>
      <w:r w:rsidRPr="003B260F">
        <w:rPr>
          <w:rFonts w:ascii="Arial" w:hAnsi="Arial" w:cs="Arial"/>
          <w:sz w:val="20"/>
          <w:szCs w:val="20"/>
        </w:rPr>
        <w:t>shift in Fed policy often in</w:t>
      </w:r>
      <w:r>
        <w:rPr>
          <w:rFonts w:ascii="Arial" w:hAnsi="Arial" w:cs="Arial"/>
          <w:sz w:val="20"/>
          <w:szCs w:val="20"/>
        </w:rPr>
        <w:t>troduces</w:t>
      </w:r>
      <w:r w:rsidRPr="003B260F">
        <w:rPr>
          <w:rFonts w:ascii="Arial" w:hAnsi="Arial" w:cs="Arial"/>
          <w:sz w:val="20"/>
          <w:szCs w:val="20"/>
        </w:rPr>
        <w:t xml:space="preserve"> volatility i</w:t>
      </w:r>
      <w:r>
        <w:rPr>
          <w:rFonts w:ascii="Arial" w:hAnsi="Arial" w:cs="Arial"/>
          <w:sz w:val="20"/>
          <w:szCs w:val="20"/>
        </w:rPr>
        <w:t>n</w:t>
      </w:r>
      <w:r w:rsidRPr="003B260F">
        <w:rPr>
          <w:rFonts w:ascii="Arial" w:hAnsi="Arial" w:cs="Arial"/>
          <w:sz w:val="20"/>
          <w:szCs w:val="20"/>
        </w:rPr>
        <w:t xml:space="preserve"> markets</w:t>
      </w:r>
      <w:r>
        <w:rPr>
          <w:rFonts w:ascii="Arial" w:hAnsi="Arial" w:cs="Arial"/>
          <w:sz w:val="20"/>
          <w:szCs w:val="20"/>
        </w:rPr>
        <w:t xml:space="preserve">, it does not necessarily forecast an imminent recession in </w:t>
      </w:r>
      <w:r w:rsidRPr="00FF720C">
        <w:rPr>
          <w:rFonts w:ascii="Arial" w:hAnsi="Arial" w:cs="Arial"/>
          <w:sz w:val="20"/>
          <w:szCs w:val="20"/>
        </w:rPr>
        <w:t>the economy nor the death of stock markets. As investors</w:t>
      </w:r>
      <w:r w:rsidR="0088740F" w:rsidRPr="00FF720C">
        <w:rPr>
          <w:rFonts w:ascii="Arial" w:hAnsi="Arial" w:cs="Arial"/>
          <w:sz w:val="20"/>
          <w:szCs w:val="20"/>
        </w:rPr>
        <w:t>,</w:t>
      </w:r>
      <w:r w:rsidRPr="00FF720C">
        <w:rPr>
          <w:rFonts w:ascii="Arial" w:hAnsi="Arial" w:cs="Arial"/>
          <w:sz w:val="20"/>
          <w:szCs w:val="20"/>
        </w:rPr>
        <w:t xml:space="preserve"> many of us have wanted a return to normal since the pandemic</w:t>
      </w:r>
      <w:r w:rsidR="00B70C34" w:rsidRPr="00FF720C">
        <w:rPr>
          <w:rFonts w:ascii="Arial" w:hAnsi="Arial" w:cs="Arial"/>
          <w:sz w:val="20"/>
          <w:szCs w:val="20"/>
        </w:rPr>
        <w:t xml:space="preserve"> began</w:t>
      </w:r>
      <w:r w:rsidRPr="00FF720C">
        <w:rPr>
          <w:rFonts w:ascii="Arial" w:hAnsi="Arial" w:cs="Arial"/>
          <w:sz w:val="20"/>
          <w:szCs w:val="20"/>
        </w:rPr>
        <w:t xml:space="preserve">. As </w:t>
      </w:r>
      <w:r w:rsidR="007C16D0" w:rsidRPr="00FF720C">
        <w:rPr>
          <w:rFonts w:ascii="Arial" w:hAnsi="Arial" w:cs="Arial"/>
          <w:sz w:val="20"/>
          <w:szCs w:val="20"/>
        </w:rPr>
        <w:t>expected</w:t>
      </w:r>
      <w:r w:rsidRPr="00FF720C">
        <w:rPr>
          <w:rFonts w:ascii="Arial" w:hAnsi="Arial" w:cs="Arial"/>
          <w:sz w:val="20"/>
          <w:szCs w:val="20"/>
        </w:rPr>
        <w:t xml:space="preserve">, the markets </w:t>
      </w:r>
      <w:r w:rsidR="007C16D0" w:rsidRPr="00FF720C">
        <w:rPr>
          <w:rFonts w:ascii="Arial" w:hAnsi="Arial" w:cs="Arial"/>
          <w:sz w:val="20"/>
          <w:szCs w:val="20"/>
        </w:rPr>
        <w:t xml:space="preserve">are </w:t>
      </w:r>
      <w:r w:rsidRPr="00FF720C">
        <w:rPr>
          <w:rFonts w:ascii="Arial" w:hAnsi="Arial" w:cs="Arial"/>
          <w:sz w:val="20"/>
          <w:szCs w:val="20"/>
        </w:rPr>
        <w:t>run</w:t>
      </w:r>
      <w:r w:rsidR="00FF720C">
        <w:rPr>
          <w:rFonts w:ascii="Arial" w:hAnsi="Arial" w:cs="Arial"/>
          <w:sz w:val="20"/>
          <w:szCs w:val="20"/>
        </w:rPr>
        <w:t>n</w:t>
      </w:r>
      <w:r w:rsidR="007C16D0" w:rsidRPr="00FF720C">
        <w:rPr>
          <w:rFonts w:ascii="Arial" w:hAnsi="Arial" w:cs="Arial"/>
          <w:sz w:val="20"/>
          <w:szCs w:val="20"/>
        </w:rPr>
        <w:t>ing</w:t>
      </w:r>
      <w:r w:rsidRPr="00FF720C">
        <w:rPr>
          <w:rFonts w:ascii="Arial" w:hAnsi="Arial" w:cs="Arial"/>
          <w:sz w:val="20"/>
          <w:szCs w:val="20"/>
        </w:rPr>
        <w:t xml:space="preserve"> ahead of the economy and </w:t>
      </w:r>
      <w:r w:rsidR="007C16D0" w:rsidRPr="00FF720C">
        <w:rPr>
          <w:rFonts w:ascii="Arial" w:hAnsi="Arial" w:cs="Arial"/>
          <w:sz w:val="20"/>
          <w:szCs w:val="20"/>
        </w:rPr>
        <w:t xml:space="preserve">the markets are experiencing </w:t>
      </w:r>
      <w:r w:rsidR="0088740F" w:rsidRPr="00FF720C">
        <w:rPr>
          <w:rFonts w:ascii="Arial" w:hAnsi="Arial" w:cs="Arial"/>
          <w:sz w:val="20"/>
          <w:szCs w:val="20"/>
        </w:rPr>
        <w:t xml:space="preserve">a </w:t>
      </w:r>
      <w:r w:rsidRPr="00FF720C">
        <w:rPr>
          <w:rFonts w:ascii="Arial" w:hAnsi="Arial" w:cs="Arial"/>
          <w:sz w:val="20"/>
          <w:szCs w:val="20"/>
        </w:rPr>
        <w:t xml:space="preserve">normal </w:t>
      </w:r>
      <w:r w:rsidR="0088740F" w:rsidRPr="00FF720C">
        <w:rPr>
          <w:rFonts w:ascii="Arial" w:hAnsi="Arial" w:cs="Arial"/>
          <w:sz w:val="20"/>
          <w:szCs w:val="20"/>
        </w:rPr>
        <w:t xml:space="preserve">bout of </w:t>
      </w:r>
      <w:r w:rsidRPr="00FF720C">
        <w:rPr>
          <w:rFonts w:ascii="Arial" w:hAnsi="Arial" w:cs="Arial"/>
          <w:sz w:val="20"/>
          <w:szCs w:val="20"/>
        </w:rPr>
        <w:t>volatility. Indeed, this is one of the key points discussed in our year</w:t>
      </w:r>
      <w:r w:rsidR="00B70C34" w:rsidRPr="00FF720C">
        <w:rPr>
          <w:rFonts w:ascii="Arial" w:hAnsi="Arial" w:cs="Arial"/>
          <w:sz w:val="20"/>
          <w:szCs w:val="20"/>
        </w:rPr>
        <w:t>-</w:t>
      </w:r>
      <w:r w:rsidRPr="00FF720C">
        <w:rPr>
          <w:rFonts w:ascii="Arial" w:hAnsi="Arial" w:cs="Arial"/>
          <w:sz w:val="20"/>
          <w:szCs w:val="20"/>
        </w:rPr>
        <w:t xml:space="preserve">end commentary and is a reason why </w:t>
      </w:r>
      <w:r w:rsidR="0058109B" w:rsidRPr="00FF720C">
        <w:rPr>
          <w:rFonts w:ascii="Arial" w:hAnsi="Arial" w:cs="Arial"/>
          <w:sz w:val="20"/>
          <w:szCs w:val="20"/>
        </w:rPr>
        <w:t>investors should</w:t>
      </w:r>
      <w:r w:rsidRPr="00FF720C">
        <w:rPr>
          <w:rFonts w:ascii="Arial" w:hAnsi="Arial" w:cs="Arial"/>
          <w:sz w:val="20"/>
          <w:szCs w:val="20"/>
        </w:rPr>
        <w:t xml:space="preserve"> moderate market return</w:t>
      </w:r>
      <w:r w:rsidR="0058109B" w:rsidRPr="00FF720C">
        <w:rPr>
          <w:rFonts w:ascii="Arial" w:hAnsi="Arial" w:cs="Arial"/>
          <w:sz w:val="20"/>
          <w:szCs w:val="20"/>
        </w:rPr>
        <w:t xml:space="preserve"> expectations</w:t>
      </w:r>
      <w:r w:rsidRPr="00FF720C">
        <w:rPr>
          <w:rFonts w:ascii="Arial" w:hAnsi="Arial" w:cs="Arial"/>
          <w:sz w:val="20"/>
          <w:szCs w:val="20"/>
        </w:rPr>
        <w:t xml:space="preserve"> and </w:t>
      </w:r>
      <w:r w:rsidR="0058109B" w:rsidRPr="00FF720C">
        <w:rPr>
          <w:rFonts w:ascii="Arial" w:hAnsi="Arial" w:cs="Arial"/>
          <w:sz w:val="20"/>
          <w:szCs w:val="20"/>
        </w:rPr>
        <w:t xml:space="preserve">prepare for </w:t>
      </w:r>
      <w:r w:rsidRPr="00FF720C">
        <w:rPr>
          <w:rFonts w:ascii="Arial" w:hAnsi="Arial" w:cs="Arial"/>
          <w:sz w:val="20"/>
          <w:szCs w:val="20"/>
        </w:rPr>
        <w:t>more normal pullbacks.</w:t>
      </w:r>
      <w:r>
        <w:rPr>
          <w:rFonts w:ascii="Arial" w:hAnsi="Arial" w:cs="Arial"/>
          <w:sz w:val="20"/>
          <w:szCs w:val="20"/>
        </w:rPr>
        <w:t xml:space="preserve">  </w:t>
      </w:r>
    </w:p>
    <w:p w14:paraId="4F6AECF6" w14:textId="694C8E47" w:rsidR="00590056" w:rsidRDefault="00590056" w:rsidP="003873A0">
      <w:pPr>
        <w:spacing w:after="160"/>
        <w:ind w:right="-720"/>
        <w:rPr>
          <w:rFonts w:ascii="Arial" w:hAnsi="Arial" w:cs="Arial"/>
          <w:color w:val="343433"/>
          <w:sz w:val="16"/>
          <w:szCs w:val="16"/>
        </w:rPr>
      </w:pPr>
    </w:p>
    <w:p w14:paraId="3A9D7F86" w14:textId="77777777" w:rsidR="00590056" w:rsidRDefault="00590056" w:rsidP="003873A0">
      <w:pPr>
        <w:spacing w:after="160"/>
        <w:ind w:right="-720"/>
        <w:rPr>
          <w:rFonts w:ascii="Arial" w:hAnsi="Arial" w:cs="Arial"/>
          <w:color w:val="343433"/>
          <w:sz w:val="16"/>
          <w:szCs w:val="16"/>
        </w:rPr>
      </w:pPr>
    </w:p>
    <w:p w14:paraId="3B265CA5" w14:textId="541166B1" w:rsidR="0040163B" w:rsidRPr="0040163B" w:rsidRDefault="003754C3" w:rsidP="003873A0">
      <w:pPr>
        <w:spacing w:after="160"/>
        <w:ind w:right="-720"/>
        <w:rPr>
          <w:rFonts w:ascii="Arial" w:hAnsi="Arial" w:cs="Arial"/>
          <w:color w:val="343433"/>
          <w:sz w:val="16"/>
          <w:szCs w:val="16"/>
        </w:rPr>
      </w:pPr>
      <w:r w:rsidRPr="0040163B">
        <w:rPr>
          <w:rFonts w:ascii="Arial" w:hAnsi="Arial" w:cs="Arial"/>
          <w:noProof/>
          <w:color w:val="343433"/>
          <w:sz w:val="21"/>
        </w:rPr>
        <w:lastRenderedPageBreak/>
        <mc:AlternateContent>
          <mc:Choice Requires="wpg">
            <w:drawing>
              <wp:anchor distT="0" distB="0" distL="114300" distR="114300" simplePos="0" relativeHeight="251669504" behindDoc="0" locked="0" layoutInCell="1" allowOverlap="1" wp14:anchorId="66F1F175" wp14:editId="61EFF45D">
                <wp:simplePos x="0" y="0"/>
                <wp:positionH relativeFrom="margin">
                  <wp:posOffset>-454025</wp:posOffset>
                </wp:positionH>
                <wp:positionV relativeFrom="page">
                  <wp:posOffset>5220335</wp:posOffset>
                </wp:positionV>
                <wp:extent cx="6858000" cy="3997325"/>
                <wp:effectExtent l="0" t="0" r="0" b="3175"/>
                <wp:wrapTopAndBottom/>
                <wp:docPr id="21" name="Group 21"/>
                <wp:cNvGraphicFramePr/>
                <a:graphic xmlns:a="http://schemas.openxmlformats.org/drawingml/2006/main">
                  <a:graphicData uri="http://schemas.microsoft.com/office/word/2010/wordprocessingGroup">
                    <wpg:wgp>
                      <wpg:cNvGrpSpPr/>
                      <wpg:grpSpPr>
                        <a:xfrm>
                          <a:off x="0" y="0"/>
                          <a:ext cx="6858000" cy="3997325"/>
                          <a:chOff x="0" y="299834"/>
                          <a:chExt cx="6858000" cy="1968741"/>
                        </a:xfrm>
                      </wpg:grpSpPr>
                      <wps:wsp>
                        <wps:cNvPr id="17" name="Rectangle 17"/>
                        <wps:cNvSpPr/>
                        <wps:spPr>
                          <a:xfrm>
                            <a:off x="0" y="299834"/>
                            <a:ext cx="6858000" cy="192744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414294" y="323093"/>
                            <a:ext cx="5417874" cy="1904184"/>
                          </a:xfrm>
                          <a:prstGeom prst="rect">
                            <a:avLst/>
                          </a:prstGeom>
                          <a:noFill/>
                          <a:ln w="6350">
                            <a:noFill/>
                          </a:ln>
                        </wps:spPr>
                        <wps:txbx>
                          <w:txbxContent>
                            <w:p w14:paraId="6FDF8ABE" w14:textId="77777777" w:rsidR="006F6129" w:rsidRPr="00E93D58" w:rsidRDefault="006F6129" w:rsidP="003754C3">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DDA9E5F" w14:textId="77777777" w:rsidR="006F6129" w:rsidRPr="001608CF" w:rsidRDefault="006F6129" w:rsidP="003754C3">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76FAA34F" w14:textId="0DE3486B" w:rsidR="006F6129" w:rsidRPr="001608CF" w:rsidRDefault="006F6129" w:rsidP="003754C3">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w:t>
                              </w:r>
                              <w:r w:rsidRPr="00807650">
                                <w:rPr>
                                  <w:rFonts w:ascii="Arial" w:hAnsi="Arial" w:cs="Arial"/>
                                  <w:sz w:val="16"/>
                                  <w:szCs w:val="16"/>
                                </w:rPr>
                                <w:t>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w:t>
                              </w:r>
                              <w:r w:rsidR="00003C07" w:rsidRPr="00807650">
                                <w:rPr>
                                  <w:rFonts w:ascii="Arial" w:hAnsi="Arial" w:cs="Arial"/>
                                  <w:sz w:val="16"/>
                                  <w:szCs w:val="16"/>
                                </w:rPr>
                                <w:t xml:space="preserve"> Indexes are unmanaged, do not incur management fees, costs and expenses and cannot be invested in directly. Index performance assumes the reinvestment of dividends.</w:t>
                              </w:r>
                            </w:p>
                            <w:p w14:paraId="08581732" w14:textId="77777777" w:rsidR="006F6129" w:rsidRPr="001608CF" w:rsidRDefault="006F6129" w:rsidP="003754C3">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367E98A1" w14:textId="77777777" w:rsidR="006F6129" w:rsidRPr="001608CF" w:rsidRDefault="006F6129" w:rsidP="003754C3">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31B22C8F" w14:textId="6F1818BD" w:rsidR="006F6129" w:rsidRDefault="006F6129" w:rsidP="003754C3">
                              <w:pPr>
                                <w:spacing w:before="100" w:beforeAutospacing="1" w:after="100" w:afterAutospacing="1"/>
                                <w:rPr>
                                  <w:rFonts w:ascii="Arial" w:hAnsi="Arial" w:cs="Arial"/>
                                  <w:sz w:val="16"/>
                                  <w:szCs w:val="16"/>
                                </w:rPr>
                              </w:pPr>
                              <w:r w:rsidRPr="001608CF">
                                <w:rPr>
                                  <w:rFonts w:ascii="Arial" w:hAnsi="Arial" w:cs="Arial"/>
                                  <w:sz w:val="16"/>
                                  <w:szCs w:val="16"/>
                                </w:rPr>
                                <w:t>©202</w:t>
                              </w:r>
                              <w:r w:rsidR="00B70C34">
                                <w:rPr>
                                  <w:rFonts w:ascii="Arial" w:hAnsi="Arial" w:cs="Arial"/>
                                  <w:sz w:val="16"/>
                                  <w:szCs w:val="16"/>
                                </w:rPr>
                                <w:t>2</w:t>
                              </w:r>
                              <w:r w:rsidRPr="001608CF">
                                <w:rPr>
                                  <w:rFonts w:ascii="Arial" w:hAnsi="Arial" w:cs="Arial"/>
                                  <w:sz w:val="16"/>
                                  <w:szCs w:val="16"/>
                                </w:rPr>
                                <w:t xml:space="preserve"> AssetMark, Inc. All rights reserved. </w:t>
                              </w:r>
                            </w:p>
                            <w:p w14:paraId="4950E07B" w14:textId="3E64612B" w:rsidR="00362223" w:rsidRPr="001608CF" w:rsidRDefault="008D0482" w:rsidP="00362223">
                              <w:pPr>
                                <w:spacing w:before="100" w:beforeAutospacing="1" w:after="100" w:afterAutospacing="1"/>
                                <w:rPr>
                                  <w:rFonts w:ascii="Arial" w:hAnsi="Arial" w:cs="Arial"/>
                                  <w:sz w:val="16"/>
                                  <w:szCs w:val="16"/>
                                </w:rPr>
                              </w:pPr>
                              <w:r w:rsidRPr="008D0482">
                                <w:rPr>
                                  <w:rFonts w:ascii="Arial" w:hAnsi="Arial" w:cs="Arial"/>
                                  <w:sz w:val="16"/>
                                  <w:szCs w:val="16"/>
                                </w:rPr>
                                <w:t>103535</w:t>
                              </w:r>
                              <w:r w:rsidR="00362223" w:rsidRPr="001608CF">
                                <w:rPr>
                                  <w:rFonts w:ascii="Arial" w:hAnsi="Arial" w:cs="Arial"/>
                                  <w:sz w:val="16"/>
                                  <w:szCs w:val="16"/>
                                </w:rPr>
                                <w:t xml:space="preserve"> | </w:t>
                              </w:r>
                              <w:r w:rsidR="00F42F13" w:rsidRPr="008D0482">
                                <w:rPr>
                                  <w:rFonts w:ascii="Arial" w:hAnsi="Arial" w:cs="Arial"/>
                                  <w:sz w:val="16"/>
                                  <w:szCs w:val="16"/>
                                </w:rPr>
                                <w:t xml:space="preserve">C22-18417 </w:t>
                              </w:r>
                              <w:r w:rsidR="00362223" w:rsidRPr="00F42F13">
                                <w:rPr>
                                  <w:rFonts w:ascii="Arial" w:hAnsi="Arial" w:cs="Arial"/>
                                  <w:color w:val="11466F" w:themeColor="accent1" w:themeShade="BF"/>
                                  <w:sz w:val="16"/>
                                  <w:szCs w:val="16"/>
                                </w:rPr>
                                <w:t xml:space="preserve">| </w:t>
                              </w:r>
                              <w:r w:rsidR="00362223">
                                <w:rPr>
                                  <w:rFonts w:ascii="Arial" w:hAnsi="Arial" w:cs="Arial"/>
                                  <w:sz w:val="16"/>
                                  <w:szCs w:val="16"/>
                                </w:rPr>
                                <w:t>01</w:t>
                              </w:r>
                              <w:r w:rsidR="00362223" w:rsidRPr="001608CF">
                                <w:rPr>
                                  <w:rFonts w:ascii="Arial" w:hAnsi="Arial" w:cs="Arial"/>
                                  <w:sz w:val="16"/>
                                  <w:szCs w:val="16"/>
                                </w:rPr>
                                <w:t>/202</w:t>
                              </w:r>
                              <w:r w:rsidR="00362223">
                                <w:rPr>
                                  <w:rFonts w:ascii="Arial" w:hAnsi="Arial" w:cs="Arial"/>
                                  <w:sz w:val="16"/>
                                  <w:szCs w:val="16"/>
                                </w:rPr>
                                <w:t>2</w:t>
                              </w:r>
                              <w:r w:rsidR="00362223" w:rsidRPr="001608CF">
                                <w:rPr>
                                  <w:rFonts w:ascii="Arial" w:hAnsi="Arial" w:cs="Arial"/>
                                  <w:sz w:val="16"/>
                                  <w:szCs w:val="16"/>
                                </w:rPr>
                                <w:t xml:space="preserve"> | EXP </w:t>
                              </w:r>
                              <w:r w:rsidR="00362223">
                                <w:rPr>
                                  <w:rFonts w:ascii="Arial" w:hAnsi="Arial" w:cs="Arial"/>
                                  <w:sz w:val="16"/>
                                  <w:szCs w:val="16"/>
                                </w:rPr>
                                <w:t>01</w:t>
                              </w:r>
                              <w:r w:rsidR="00362223" w:rsidRPr="001608CF">
                                <w:rPr>
                                  <w:rFonts w:ascii="Arial" w:hAnsi="Arial" w:cs="Arial"/>
                                  <w:sz w:val="16"/>
                                  <w:szCs w:val="16"/>
                                </w:rPr>
                                <w:t>/</w:t>
                              </w:r>
                              <w:r w:rsidR="00362223">
                                <w:rPr>
                                  <w:rFonts w:ascii="Arial" w:hAnsi="Arial" w:cs="Arial"/>
                                  <w:sz w:val="16"/>
                                  <w:szCs w:val="16"/>
                                </w:rPr>
                                <w:t>31</w:t>
                              </w:r>
                              <w:r w:rsidR="00362223" w:rsidRPr="001608CF">
                                <w:rPr>
                                  <w:rFonts w:ascii="Arial" w:hAnsi="Arial" w:cs="Arial"/>
                                  <w:sz w:val="16"/>
                                  <w:szCs w:val="16"/>
                                </w:rPr>
                                <w:t>/202</w:t>
                              </w:r>
                              <w:r w:rsidR="00362223">
                                <w:rPr>
                                  <w:rFonts w:ascii="Arial" w:hAnsi="Arial" w:cs="Arial"/>
                                  <w:sz w:val="16"/>
                                  <w:szCs w:val="16"/>
                                </w:rPr>
                                <w:t>4</w:t>
                              </w:r>
                            </w:p>
                            <w:p w14:paraId="6F643B3E" w14:textId="77777777" w:rsidR="006F6129" w:rsidRPr="00BF0CB7" w:rsidRDefault="006F6129" w:rsidP="003754C3">
                              <w:pPr>
                                <w:spacing w:before="100" w:beforeAutospacing="1" w:after="100" w:afterAutospacing="1"/>
                                <w:rPr>
                                  <w:rFonts w:ascii="Arial" w:hAnsi="Arial" w:cs="Arial"/>
                                  <w:sz w:val="16"/>
                                  <w:szCs w:val="16"/>
                                </w:rPr>
                              </w:pPr>
                            </w:p>
                            <w:p w14:paraId="7341B7A0" w14:textId="77777777" w:rsidR="006F6129" w:rsidRPr="00BF0CB7" w:rsidRDefault="006F6129" w:rsidP="003754C3">
                              <w:pPr>
                                <w:spacing w:after="0"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80388" y="323093"/>
                            <a:ext cx="1303507" cy="1945482"/>
                          </a:xfrm>
                          <a:prstGeom prst="rect">
                            <a:avLst/>
                          </a:prstGeom>
                          <a:noFill/>
                          <a:ln w="6350">
                            <a:noFill/>
                          </a:ln>
                        </wps:spPr>
                        <wps:txbx>
                          <w:txbxContent>
                            <w:p w14:paraId="3B2E69F0" w14:textId="77777777" w:rsidR="006F6129" w:rsidRPr="00BF0CB7" w:rsidRDefault="006F6129" w:rsidP="003754C3">
                              <w:pPr>
                                <w:spacing w:after="120"/>
                                <w:rPr>
                                  <w:rFonts w:ascii="Arial" w:hAnsi="Arial" w:cs="Arial"/>
                                  <w:b/>
                                  <w:sz w:val="16"/>
                                  <w:szCs w:val="16"/>
                                </w:rPr>
                              </w:pPr>
                              <w:r w:rsidRPr="00BF0CB7">
                                <w:rPr>
                                  <w:rFonts w:ascii="Arial" w:hAnsi="Arial" w:cs="Arial"/>
                                  <w:b/>
                                  <w:sz w:val="16"/>
                                  <w:szCs w:val="16"/>
                                </w:rPr>
                                <w:t>AssetMark, Inc.</w:t>
                              </w:r>
                            </w:p>
                            <w:p w14:paraId="7EA2FCEB" w14:textId="77777777" w:rsidR="006F6129" w:rsidRPr="00BF0CB7" w:rsidRDefault="006F6129" w:rsidP="003754C3">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6F1F175" id="Group 21" o:spid="_x0000_s1026" style="position:absolute;margin-left:-35.75pt;margin-top:411.05pt;width:540pt;height:314.75pt;z-index:251669504;mso-position-horizontal-relative:margin;mso-position-vertical-relative:page;mso-height-relative:margin" coordorigin=",2998" coordsize="68580,19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">
                <v:rect id="Rectangle 17" o:spid="_x0000_s1027" style="position:absolute;top:2998;width:68580;height:19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shapetype id="_x0000_t202" coordsize="21600,21600" o:spt="202" path="m,l,21600r21600,l21600,xe">
                  <v:stroke joinstyle="miter"/>
                  <v:path gradientshapeok="t" o:connecttype="rect"/>
                </v:shapetype>
                <v:shape id="Text Box 19" o:spid="_x0000_s1028" type="#_x0000_t202" style="position:absolute;left:14142;top:3230;width:54179;height:1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6FDF8ABE" w14:textId="77777777" w:rsidR="006F6129" w:rsidRPr="00E93D58" w:rsidRDefault="006F6129" w:rsidP="003754C3">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DDA9E5F" w14:textId="77777777" w:rsidR="006F6129" w:rsidRPr="001608CF" w:rsidRDefault="006F6129" w:rsidP="003754C3">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76FAA34F" w14:textId="0DE3486B" w:rsidR="006F6129" w:rsidRPr="001608CF" w:rsidRDefault="006F6129" w:rsidP="003754C3">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w:t>
                        </w:r>
                        <w:r w:rsidRPr="00807650">
                          <w:rPr>
                            <w:rFonts w:ascii="Arial" w:hAnsi="Arial" w:cs="Arial"/>
                            <w:sz w:val="16"/>
                            <w:szCs w:val="16"/>
                          </w:rPr>
                          <w:t>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w:t>
                        </w:r>
                        <w:r w:rsidR="00003C07" w:rsidRPr="00807650">
                          <w:rPr>
                            <w:rFonts w:ascii="Arial" w:hAnsi="Arial" w:cs="Arial"/>
                            <w:sz w:val="16"/>
                            <w:szCs w:val="16"/>
                          </w:rPr>
                          <w:t xml:space="preserve"> Indexes are unmanaged, do not incur management fees, costs and expenses and cannot be invested in directly. Index performance assumes the reinvestment of dividends.</w:t>
                        </w:r>
                      </w:p>
                      <w:p w14:paraId="08581732" w14:textId="77777777" w:rsidR="006F6129" w:rsidRPr="001608CF" w:rsidRDefault="006F6129" w:rsidP="003754C3">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367E98A1" w14:textId="77777777" w:rsidR="006F6129" w:rsidRPr="001608CF" w:rsidRDefault="006F6129" w:rsidP="003754C3">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31B22C8F" w14:textId="6F1818BD" w:rsidR="006F6129" w:rsidRDefault="006F6129" w:rsidP="003754C3">
                        <w:pPr>
                          <w:spacing w:before="100" w:beforeAutospacing="1" w:after="100" w:afterAutospacing="1"/>
                          <w:rPr>
                            <w:rFonts w:ascii="Arial" w:hAnsi="Arial" w:cs="Arial"/>
                            <w:sz w:val="16"/>
                            <w:szCs w:val="16"/>
                          </w:rPr>
                        </w:pPr>
                        <w:r w:rsidRPr="001608CF">
                          <w:rPr>
                            <w:rFonts w:ascii="Arial" w:hAnsi="Arial" w:cs="Arial"/>
                            <w:sz w:val="16"/>
                            <w:szCs w:val="16"/>
                          </w:rPr>
                          <w:t>©202</w:t>
                        </w:r>
                        <w:r w:rsidR="00B70C34">
                          <w:rPr>
                            <w:rFonts w:ascii="Arial" w:hAnsi="Arial" w:cs="Arial"/>
                            <w:sz w:val="16"/>
                            <w:szCs w:val="16"/>
                          </w:rPr>
                          <w:t>2</w:t>
                        </w:r>
                        <w:r w:rsidRPr="001608CF">
                          <w:rPr>
                            <w:rFonts w:ascii="Arial" w:hAnsi="Arial" w:cs="Arial"/>
                            <w:sz w:val="16"/>
                            <w:szCs w:val="16"/>
                          </w:rPr>
                          <w:t xml:space="preserve"> AssetMark, Inc. All rights reserved. </w:t>
                        </w:r>
                      </w:p>
                      <w:p w14:paraId="4950E07B" w14:textId="3E64612B" w:rsidR="00362223" w:rsidRPr="001608CF" w:rsidRDefault="008D0482" w:rsidP="00362223">
                        <w:pPr>
                          <w:spacing w:before="100" w:beforeAutospacing="1" w:after="100" w:afterAutospacing="1"/>
                          <w:rPr>
                            <w:rFonts w:ascii="Arial" w:hAnsi="Arial" w:cs="Arial"/>
                            <w:sz w:val="16"/>
                            <w:szCs w:val="16"/>
                          </w:rPr>
                        </w:pPr>
                        <w:r w:rsidRPr="008D0482">
                          <w:rPr>
                            <w:rFonts w:ascii="Arial" w:hAnsi="Arial" w:cs="Arial"/>
                            <w:sz w:val="16"/>
                            <w:szCs w:val="16"/>
                          </w:rPr>
                          <w:t>103535</w:t>
                        </w:r>
                        <w:r w:rsidR="00362223" w:rsidRPr="001608CF">
                          <w:rPr>
                            <w:rFonts w:ascii="Arial" w:hAnsi="Arial" w:cs="Arial"/>
                            <w:sz w:val="16"/>
                            <w:szCs w:val="16"/>
                          </w:rPr>
                          <w:t xml:space="preserve"> | </w:t>
                        </w:r>
                        <w:r w:rsidR="00F42F13" w:rsidRPr="008D0482">
                          <w:rPr>
                            <w:rFonts w:ascii="Arial" w:hAnsi="Arial" w:cs="Arial"/>
                            <w:sz w:val="16"/>
                            <w:szCs w:val="16"/>
                          </w:rPr>
                          <w:t>C22-18417</w:t>
                        </w:r>
                        <w:r w:rsidR="00F42F13" w:rsidRPr="008D0482">
                          <w:rPr>
                            <w:rFonts w:ascii="Arial" w:hAnsi="Arial" w:cs="Arial"/>
                            <w:sz w:val="16"/>
                            <w:szCs w:val="16"/>
                          </w:rPr>
                          <w:t xml:space="preserve"> </w:t>
                        </w:r>
                        <w:r w:rsidR="00362223" w:rsidRPr="00F42F13">
                          <w:rPr>
                            <w:rFonts w:ascii="Arial" w:hAnsi="Arial" w:cs="Arial"/>
                            <w:color w:val="11466F" w:themeColor="accent1" w:themeShade="BF"/>
                            <w:sz w:val="16"/>
                            <w:szCs w:val="16"/>
                          </w:rPr>
                          <w:t xml:space="preserve">| </w:t>
                        </w:r>
                        <w:r w:rsidR="00362223">
                          <w:rPr>
                            <w:rFonts w:ascii="Arial" w:hAnsi="Arial" w:cs="Arial"/>
                            <w:sz w:val="16"/>
                            <w:szCs w:val="16"/>
                          </w:rPr>
                          <w:t>01</w:t>
                        </w:r>
                        <w:r w:rsidR="00362223" w:rsidRPr="001608CF">
                          <w:rPr>
                            <w:rFonts w:ascii="Arial" w:hAnsi="Arial" w:cs="Arial"/>
                            <w:sz w:val="16"/>
                            <w:szCs w:val="16"/>
                          </w:rPr>
                          <w:t>/202</w:t>
                        </w:r>
                        <w:r w:rsidR="00362223">
                          <w:rPr>
                            <w:rFonts w:ascii="Arial" w:hAnsi="Arial" w:cs="Arial"/>
                            <w:sz w:val="16"/>
                            <w:szCs w:val="16"/>
                          </w:rPr>
                          <w:t>2</w:t>
                        </w:r>
                        <w:r w:rsidR="00362223" w:rsidRPr="001608CF">
                          <w:rPr>
                            <w:rFonts w:ascii="Arial" w:hAnsi="Arial" w:cs="Arial"/>
                            <w:sz w:val="16"/>
                            <w:szCs w:val="16"/>
                          </w:rPr>
                          <w:t xml:space="preserve"> | EXP </w:t>
                        </w:r>
                        <w:r w:rsidR="00362223">
                          <w:rPr>
                            <w:rFonts w:ascii="Arial" w:hAnsi="Arial" w:cs="Arial"/>
                            <w:sz w:val="16"/>
                            <w:szCs w:val="16"/>
                          </w:rPr>
                          <w:t>01</w:t>
                        </w:r>
                        <w:r w:rsidR="00362223" w:rsidRPr="001608CF">
                          <w:rPr>
                            <w:rFonts w:ascii="Arial" w:hAnsi="Arial" w:cs="Arial"/>
                            <w:sz w:val="16"/>
                            <w:szCs w:val="16"/>
                          </w:rPr>
                          <w:t>/</w:t>
                        </w:r>
                        <w:r w:rsidR="00362223">
                          <w:rPr>
                            <w:rFonts w:ascii="Arial" w:hAnsi="Arial" w:cs="Arial"/>
                            <w:sz w:val="16"/>
                            <w:szCs w:val="16"/>
                          </w:rPr>
                          <w:t>31</w:t>
                        </w:r>
                        <w:r w:rsidR="00362223" w:rsidRPr="001608CF">
                          <w:rPr>
                            <w:rFonts w:ascii="Arial" w:hAnsi="Arial" w:cs="Arial"/>
                            <w:sz w:val="16"/>
                            <w:szCs w:val="16"/>
                          </w:rPr>
                          <w:t>/202</w:t>
                        </w:r>
                        <w:r w:rsidR="00362223">
                          <w:rPr>
                            <w:rFonts w:ascii="Arial" w:hAnsi="Arial" w:cs="Arial"/>
                            <w:sz w:val="16"/>
                            <w:szCs w:val="16"/>
                          </w:rPr>
                          <w:t>4</w:t>
                        </w:r>
                      </w:p>
                      <w:p w14:paraId="6F643B3E" w14:textId="77777777" w:rsidR="006F6129" w:rsidRPr="00BF0CB7" w:rsidRDefault="006F6129" w:rsidP="003754C3">
                        <w:pPr>
                          <w:spacing w:before="100" w:beforeAutospacing="1" w:after="100" w:afterAutospacing="1"/>
                          <w:rPr>
                            <w:rFonts w:ascii="Arial" w:hAnsi="Arial" w:cs="Arial"/>
                            <w:sz w:val="16"/>
                            <w:szCs w:val="16"/>
                          </w:rPr>
                        </w:pPr>
                      </w:p>
                      <w:p w14:paraId="7341B7A0" w14:textId="77777777" w:rsidR="006F6129" w:rsidRPr="00BF0CB7" w:rsidRDefault="006F6129" w:rsidP="003754C3">
                        <w:pPr>
                          <w:spacing w:after="0" w:line="240" w:lineRule="auto"/>
                          <w:rPr>
                            <w:rFonts w:ascii="Arial" w:hAnsi="Arial" w:cs="Arial"/>
                            <w:sz w:val="16"/>
                            <w:szCs w:val="16"/>
                          </w:rPr>
                        </w:pPr>
                      </w:p>
                    </w:txbxContent>
                  </v:textbox>
                </v:shape>
                <v:shape id="Text Box 20" o:spid="_x0000_s1029" type="#_x0000_t202" style="position:absolute;left:803;top:3230;width:13035;height:1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3B2E69F0" w14:textId="77777777" w:rsidR="006F6129" w:rsidRPr="00BF0CB7" w:rsidRDefault="006F6129" w:rsidP="003754C3">
                        <w:pPr>
                          <w:spacing w:after="120"/>
                          <w:rPr>
                            <w:rFonts w:ascii="Arial" w:hAnsi="Arial" w:cs="Arial"/>
                            <w:b/>
                            <w:sz w:val="16"/>
                            <w:szCs w:val="16"/>
                          </w:rPr>
                        </w:pPr>
                        <w:r w:rsidRPr="00BF0CB7">
                          <w:rPr>
                            <w:rFonts w:ascii="Arial" w:hAnsi="Arial" w:cs="Arial"/>
                            <w:b/>
                            <w:sz w:val="16"/>
                            <w:szCs w:val="16"/>
                          </w:rPr>
                          <w:t>AssetMark, Inc.</w:t>
                        </w:r>
                      </w:p>
                      <w:p w14:paraId="7EA2FCEB" w14:textId="77777777" w:rsidR="006F6129" w:rsidRPr="00BF0CB7" w:rsidRDefault="006F6129" w:rsidP="003754C3">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v:textbox>
                </v:shape>
                <w10:wrap type="topAndBottom" anchorx="margin" anchory="page"/>
              </v:group>
            </w:pict>
          </mc:Fallback>
        </mc:AlternateContent>
      </w:r>
    </w:p>
    <w:sectPr w:rsidR="0040163B" w:rsidRPr="0040163B" w:rsidSect="007B0461">
      <w:type w:val="continuous"/>
      <w:pgSz w:w="12240" w:h="15840"/>
      <w:pgMar w:top="-1656" w:right="1440" w:bottom="1512"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BB1E0" w14:textId="77777777" w:rsidR="00641F50" w:rsidRDefault="00641F50" w:rsidP="005C1D70">
      <w:pPr>
        <w:spacing w:after="0" w:line="240" w:lineRule="auto"/>
      </w:pPr>
      <w:r>
        <w:separator/>
      </w:r>
    </w:p>
  </w:endnote>
  <w:endnote w:type="continuationSeparator" w:id="0">
    <w:p w14:paraId="4512632F" w14:textId="77777777" w:rsidR="00641F50" w:rsidRDefault="00641F50" w:rsidP="005C1D70">
      <w:pPr>
        <w:spacing w:after="0" w:line="240" w:lineRule="auto"/>
      </w:pPr>
      <w:r>
        <w:continuationSeparator/>
      </w:r>
    </w:p>
  </w:endnote>
  <w:endnote w:id="1">
    <w:p w14:paraId="708BDEC3" w14:textId="414CED72" w:rsidR="002C22AE" w:rsidRPr="00362223" w:rsidRDefault="002C22AE">
      <w:pPr>
        <w:pStyle w:val="EndnoteText"/>
        <w:rPr>
          <w:rFonts w:ascii="Arial" w:hAnsi="Arial" w:cs="Arial"/>
          <w:sz w:val="16"/>
          <w:szCs w:val="16"/>
        </w:rPr>
      </w:pPr>
      <w:r w:rsidRPr="00362223">
        <w:rPr>
          <w:rStyle w:val="EndnoteReference"/>
          <w:sz w:val="16"/>
          <w:szCs w:val="16"/>
        </w:rPr>
        <w:endnoteRef/>
      </w:r>
      <w:r w:rsidRPr="00362223">
        <w:rPr>
          <w:sz w:val="16"/>
          <w:szCs w:val="16"/>
        </w:rPr>
        <w:t xml:space="preserve"> </w:t>
      </w:r>
      <w:r w:rsidRPr="00362223">
        <w:rPr>
          <w:rFonts w:ascii="Arial" w:hAnsi="Arial" w:cs="Arial"/>
          <w:sz w:val="16"/>
          <w:szCs w:val="16"/>
        </w:rPr>
        <w:t>AssetMark, FactSet.</w:t>
      </w:r>
    </w:p>
  </w:endnote>
  <w:endnote w:id="2">
    <w:p w14:paraId="483C1528" w14:textId="70FD9773" w:rsidR="00395AC4" w:rsidRPr="00362223" w:rsidRDefault="00395AC4">
      <w:pPr>
        <w:pStyle w:val="EndnoteText"/>
        <w:rPr>
          <w:rFonts w:ascii="Arial" w:hAnsi="Arial" w:cs="Arial"/>
          <w:sz w:val="16"/>
          <w:szCs w:val="16"/>
        </w:rPr>
      </w:pPr>
      <w:r w:rsidRPr="00362223">
        <w:rPr>
          <w:rStyle w:val="EndnoteReference"/>
          <w:rFonts w:ascii="Arial" w:hAnsi="Arial" w:cs="Arial"/>
          <w:sz w:val="16"/>
          <w:szCs w:val="16"/>
        </w:rPr>
        <w:endnoteRef/>
      </w:r>
      <w:r w:rsidRPr="00362223">
        <w:rPr>
          <w:rFonts w:ascii="Arial" w:hAnsi="Arial" w:cs="Arial"/>
          <w:sz w:val="16"/>
          <w:szCs w:val="16"/>
        </w:rPr>
        <w:t xml:space="preserve"> https://www08.wellsfargomedia.com/assets/pdf/personal/investing/investment-institute/chart_of_the_week_ADA.pdf</w:t>
      </w:r>
    </w:p>
  </w:endnote>
  <w:endnote w:id="3">
    <w:p w14:paraId="5DA73B52" w14:textId="1A4D8B13" w:rsidR="00395AC4" w:rsidRPr="00362223" w:rsidRDefault="00395AC4">
      <w:pPr>
        <w:pStyle w:val="EndnoteText"/>
        <w:rPr>
          <w:rFonts w:ascii="Arial" w:hAnsi="Arial" w:cs="Arial"/>
          <w:sz w:val="16"/>
          <w:szCs w:val="16"/>
        </w:rPr>
      </w:pPr>
      <w:r w:rsidRPr="00362223">
        <w:rPr>
          <w:rStyle w:val="EndnoteReference"/>
          <w:rFonts w:ascii="Arial" w:hAnsi="Arial" w:cs="Arial"/>
          <w:sz w:val="16"/>
          <w:szCs w:val="16"/>
        </w:rPr>
        <w:endnoteRef/>
      </w:r>
      <w:r w:rsidRPr="00362223">
        <w:rPr>
          <w:rFonts w:ascii="Arial" w:hAnsi="Arial" w:cs="Arial"/>
          <w:sz w:val="16"/>
          <w:szCs w:val="16"/>
        </w:rPr>
        <w:t xml:space="preserve"> AssetMark, FactSet</w:t>
      </w:r>
    </w:p>
  </w:endnote>
  <w:endnote w:id="4">
    <w:p w14:paraId="40547F7C" w14:textId="0C0C978A" w:rsidR="00395AC4" w:rsidRPr="00362223" w:rsidRDefault="00395AC4">
      <w:pPr>
        <w:pStyle w:val="EndnoteText"/>
        <w:rPr>
          <w:rFonts w:ascii="Arial" w:hAnsi="Arial" w:cs="Arial"/>
          <w:sz w:val="16"/>
          <w:szCs w:val="16"/>
        </w:rPr>
      </w:pPr>
      <w:r w:rsidRPr="00362223">
        <w:rPr>
          <w:rStyle w:val="EndnoteReference"/>
          <w:rFonts w:ascii="Arial" w:hAnsi="Arial" w:cs="Arial"/>
          <w:sz w:val="16"/>
          <w:szCs w:val="16"/>
        </w:rPr>
        <w:endnoteRef/>
      </w:r>
      <w:r w:rsidRPr="00362223">
        <w:rPr>
          <w:rFonts w:ascii="Arial" w:hAnsi="Arial" w:cs="Arial"/>
          <w:sz w:val="16"/>
          <w:szCs w:val="16"/>
        </w:rPr>
        <w:t xml:space="preserve"> NDR: Benchmark Review: Stocks climb ultimate wall of worry</w:t>
      </w:r>
    </w:p>
  </w:endnote>
  <w:endnote w:id="5">
    <w:p w14:paraId="0AC88A09" w14:textId="35FA0020" w:rsidR="00395AC4" w:rsidRPr="00B70C34" w:rsidRDefault="00395AC4">
      <w:pPr>
        <w:pStyle w:val="EndnoteText"/>
        <w:rPr>
          <w:rFonts w:ascii="Arial" w:hAnsi="Arial" w:cs="Arial"/>
        </w:rPr>
      </w:pPr>
      <w:r w:rsidRPr="00362223">
        <w:rPr>
          <w:rStyle w:val="EndnoteReference"/>
          <w:rFonts w:ascii="Arial" w:hAnsi="Arial" w:cs="Arial"/>
          <w:sz w:val="16"/>
          <w:szCs w:val="16"/>
        </w:rPr>
        <w:endnoteRef/>
      </w:r>
      <w:r w:rsidRPr="00362223">
        <w:rPr>
          <w:rFonts w:ascii="Arial" w:hAnsi="Arial" w:cs="Arial"/>
          <w:sz w:val="16"/>
          <w:szCs w:val="16"/>
        </w:rPr>
        <w:t xml:space="preserve"> https://am.jpmorgan.com/us/en/asset-management/adv/insights/market-insights/guide-to-the-markets/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7389587"/>
      <w:docPartObj>
        <w:docPartGallery w:val="Page Numbers (Bottom of Page)"/>
        <w:docPartUnique/>
      </w:docPartObj>
    </w:sdtPr>
    <w:sdtEndPr>
      <w:rPr>
        <w:rStyle w:val="PageNumber"/>
      </w:rPr>
    </w:sdtEndPr>
    <w:sdtContent>
      <w:p w14:paraId="023C6741" w14:textId="78082073" w:rsidR="006F6129" w:rsidRDefault="006F6129"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6F6129" w:rsidRDefault="006F6129"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350649007"/>
      <w:docPartObj>
        <w:docPartGallery w:val="Page Numbers (Bottom of Page)"/>
        <w:docPartUnique/>
      </w:docPartObj>
    </w:sdtPr>
    <w:sdtEndPr>
      <w:rPr>
        <w:rStyle w:val="PageNumber"/>
      </w:rPr>
    </w:sdtEndPr>
    <w:sdtContent>
      <w:p w14:paraId="67D6EB2D" w14:textId="67F339F2" w:rsidR="006F6129" w:rsidRPr="008B4A8A" w:rsidRDefault="006F6129"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61E730C0" w14:textId="5F0D08E4" w:rsidR="006F6129" w:rsidRDefault="006F6129" w:rsidP="007C4C9B">
    <w:pPr>
      <w:pStyle w:val="Footer"/>
      <w:ind w:right="360"/>
    </w:pPr>
    <w:r>
      <w:rPr>
        <w:noProof/>
      </w:rPr>
      <mc:AlternateContent>
        <mc:Choice Requires="wps">
          <w:drawing>
            <wp:anchor distT="0" distB="0" distL="114300" distR="114300" simplePos="0" relativeHeight="251666432"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147B357C" w14:textId="421960C5" w:rsidR="006F6129" w:rsidRPr="008B4A8A" w:rsidRDefault="006F6129"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6F6129" w:rsidRPr="008B4A8A" w:rsidRDefault="006F6129"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0" type="#_x0000_t202" style="position:absolute;margin-left:-36pt;margin-top:6.2pt;width:177.7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" filled="f" stroked="f" strokeweight=".5pt">
              <v:textbox inset="0">
                <w:txbxContent>
                  <w:p w14:paraId="147B357C" w14:textId="421960C5" w:rsidR="006F6129" w:rsidRPr="008B4A8A" w:rsidRDefault="006F6129"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6F6129" w:rsidRPr="008B4A8A" w:rsidRDefault="006F6129"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6F6129" w:rsidRPr="008B4A8A" w:rsidRDefault="006F6129"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1" type="#_x0000_t202" style="position:absolute;margin-left:424.15pt;margin-top:9.25pt;width:69.65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hvLA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CvMPZQnRGdg346vOWbBnt4ZD68MIfjgIBwxMMzLlIB3gUXi5Ia3K+/+WM+qoRRSlocr5L6n0fm&#10;BCXqu0H94iwm43Y6z3HjBu/+vdcc9T3g5E7wEVmezJgb1GBKB/oVX8A63oYhZjjeWdIwmPehH3Z8&#10;QVys1ykJJ8+y8Gi2lsfSkc3I7K57Zc5e6A+o2xMMA8iKDyr0ub0O62MA2SSJIr89mxfacWqTcpcX&#10;Fp/F+33KevsPrH4D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Bo9NhvLAIAAE8EAAAOAAAAAAAAAAAAAAAAAC4CAABkcnMv&#10;ZTJvRG9jLnhtbFBLAQItABQABgAIAAAAIQDEMLrL3QAAAAkBAAAPAAAAAAAAAAAAAAAAAIYEAABk&#10;cnMvZG93bnJldi54bWxQSwUGAAAAAAQABADzAAAAkAUAAAAA&#10;" filled="f" stroked="f" strokeweight=".5pt">
              <v:textbox inset="0,,0">
                <w:txbxContent>
                  <w:p w14:paraId="403A43B5" w14:textId="6A5B0C00" w:rsidR="006F6129" w:rsidRPr="008B4A8A" w:rsidRDefault="006F6129"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D94773" id="Straight Connector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958177908"/>
      <w:docPartObj>
        <w:docPartGallery w:val="Page Numbers (Bottom of Page)"/>
        <w:docPartUnique/>
      </w:docPartObj>
    </w:sdtPr>
    <w:sdtEndPr>
      <w:rPr>
        <w:rStyle w:val="PageNumber"/>
      </w:rPr>
    </w:sdtEndPr>
    <w:sdtContent>
      <w:p w14:paraId="4E33B781" w14:textId="77777777" w:rsidR="006F6129" w:rsidRPr="008B4A8A" w:rsidRDefault="006F6129"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6F2265DA" w14:textId="799955A8" w:rsidR="006F6129" w:rsidRDefault="006F6129" w:rsidP="00996FBD">
    <w:pPr>
      <w:pStyle w:val="Footer"/>
    </w:pPr>
    <w:r w:rsidRPr="00996FBD">
      <w:rPr>
        <w:noProof/>
      </w:rPr>
      <mc:AlternateContent>
        <mc:Choice Requires="wps">
          <w:drawing>
            <wp:anchor distT="0" distB="0" distL="114300" distR="114300" simplePos="0" relativeHeight="251676672" behindDoc="0" locked="0" layoutInCell="1" allowOverlap="1" wp14:anchorId="2EFAE302" wp14:editId="3E512F65">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2D485B03" w14:textId="2AF9F5C7" w:rsidR="006F6129" w:rsidRPr="008B4A8A" w:rsidRDefault="006F6129" w:rsidP="00996FBD">
                          <w:pPr>
                            <w:rPr>
                              <w:rFonts w:ascii="Arial" w:hAnsi="Arial" w:cs="Arial"/>
                              <w:color w:val="767171"/>
                              <w:sz w:val="18"/>
                            </w:rPr>
                          </w:pPr>
                          <w:r w:rsidRPr="008B4A8A">
                            <w:rPr>
                              <w:rFonts w:ascii="Arial" w:hAnsi="Arial" w:cs="Arial"/>
                              <w:color w:val="767171"/>
                              <w:sz w:val="20"/>
                              <w:szCs w:val="36"/>
                            </w:rPr>
                            <w:t>For general public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3" type="#_x0000_t202" style="position:absolute;margin-left:-35.25pt;margin-top:6.2pt;width:182.3pt;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" filled="f" stroked="f" strokeweight=".5pt">
              <v:textbox inset="0">
                <w:txbxContent>
                  <w:p w14:paraId="2D485B03" w14:textId="2AF9F5C7" w:rsidR="006F6129" w:rsidRPr="008B4A8A" w:rsidRDefault="006F6129" w:rsidP="00996FBD">
                    <w:pPr>
                      <w:rPr>
                        <w:rFonts w:ascii="Arial" w:hAnsi="Arial" w:cs="Arial"/>
                        <w:color w:val="767171"/>
                        <w:sz w:val="18"/>
                      </w:rPr>
                    </w:pPr>
                    <w:r w:rsidRPr="008B4A8A">
                      <w:rPr>
                        <w:rFonts w:ascii="Arial" w:hAnsi="Arial" w:cs="Arial"/>
                        <w:color w:val="767171"/>
                        <w:sz w:val="20"/>
                        <w:szCs w:val="36"/>
                      </w:rPr>
                      <w:t>For general public use.</w:t>
                    </w:r>
                  </w:p>
                </w:txbxContent>
              </v:textbox>
            </v:shape>
          </w:pict>
        </mc:Fallback>
      </mc:AlternateContent>
    </w:r>
    <w:r w:rsidRPr="00996FBD">
      <w:t xml:space="preserve"> </w:t>
    </w:r>
    <w:r w:rsidRPr="00996FBD">
      <w:rPr>
        <w:noProof/>
      </w:rPr>
      <mc:AlternateContent>
        <mc:Choice Requires="wps">
          <w:drawing>
            <wp:anchor distT="0" distB="0" distL="114300" distR="114300" simplePos="0" relativeHeight="251675648"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493545" id="Straight Connector 12"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77696"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6F6129" w:rsidRPr="008B4A8A" w:rsidRDefault="006F6129"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4" type="#_x0000_t202" style="position:absolute;margin-left:424.8pt;margin-top:8.85pt;width:69.65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" filled="f" stroked="f" strokeweight=".5pt">
              <v:textbox inset="0,,0">
                <w:txbxContent>
                  <w:p w14:paraId="41AE2049" w14:textId="77777777" w:rsidR="006F6129" w:rsidRPr="008B4A8A" w:rsidRDefault="006F6129"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8CD09" w14:textId="77777777" w:rsidR="00641F50" w:rsidRDefault="00641F50" w:rsidP="005C1D70">
      <w:pPr>
        <w:spacing w:after="0" w:line="240" w:lineRule="auto"/>
      </w:pPr>
      <w:r>
        <w:separator/>
      </w:r>
    </w:p>
  </w:footnote>
  <w:footnote w:type="continuationSeparator" w:id="0">
    <w:p w14:paraId="19FE0260" w14:textId="77777777" w:rsidR="00641F50" w:rsidRDefault="00641F50"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E34A" w14:textId="77777777" w:rsidR="006F6129" w:rsidRDefault="006F6129" w:rsidP="00996FBD">
    <w:pPr>
      <w:pStyle w:val="Header"/>
      <w:ind w:left="-720"/>
    </w:pPr>
  </w:p>
  <w:p w14:paraId="166473A2" w14:textId="77777777" w:rsidR="006F6129" w:rsidRDefault="006F6129" w:rsidP="00996FBD">
    <w:pPr>
      <w:pStyle w:val="Header"/>
      <w:ind w:left="-720"/>
    </w:pPr>
  </w:p>
  <w:p w14:paraId="350B5968" w14:textId="0B1742A5" w:rsidR="006F6129" w:rsidRDefault="006F6129"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947672"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583DD" w14:textId="1304E2E7" w:rsidR="006F6129" w:rsidRDefault="006F6129" w:rsidP="00215F97">
    <w:pPr>
      <w:pStyle w:val="Header"/>
      <w:ind w:left="-1440"/>
    </w:pPr>
    <w:r w:rsidRPr="00996FBD">
      <w:rPr>
        <w:noProof/>
      </w:rPr>
      <mc:AlternateContent>
        <mc:Choice Requires="wps">
          <w:drawing>
            <wp:anchor distT="0" distB="0" distL="114300" distR="114300" simplePos="0" relativeHeight="251673600" behindDoc="0" locked="0" layoutInCell="1" allowOverlap="1" wp14:anchorId="315F954A" wp14:editId="327546BE">
              <wp:simplePos x="0" y="0"/>
              <wp:positionH relativeFrom="column">
                <wp:posOffset>4978400</wp:posOffset>
              </wp:positionH>
              <wp:positionV relativeFrom="paragraph">
                <wp:posOffset>1930401</wp:posOffset>
              </wp:positionV>
              <wp:extent cx="1457960" cy="228600"/>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64C509A4" w14:textId="5E3AA781" w:rsidR="006F6129" w:rsidRDefault="00D15C1D" w:rsidP="009E3EDC">
                          <w:pPr>
                            <w:jc w:val="right"/>
                            <w:rPr>
                              <w:rFonts w:ascii="Arial" w:hAnsi="Arial" w:cs="Arial"/>
                              <w:color w:val="AEAAAA"/>
                              <w:sz w:val="20"/>
                              <w:szCs w:val="36"/>
                            </w:rPr>
                          </w:pPr>
                          <w:r>
                            <w:rPr>
                              <w:rFonts w:ascii="Arial" w:hAnsi="Arial" w:cs="Arial"/>
                              <w:color w:val="AEAAAA"/>
                              <w:sz w:val="20"/>
                              <w:szCs w:val="36"/>
                            </w:rPr>
                            <w:t xml:space="preserve">Special Edition </w:t>
                          </w:r>
                        </w:p>
                        <w:p w14:paraId="156B098E" w14:textId="77777777" w:rsidR="006F6129" w:rsidRPr="008B4A8A" w:rsidRDefault="006F6129"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F954A" id="_x0000_t202" coordsize="21600,21600" o:spt="202" path="m,l,21600r21600,l21600,xe">
              <v:stroke joinstyle="miter"/>
              <v:path gradientshapeok="t" o:connecttype="rect"/>
            </v:shapetype>
            <v:shape id="Text Box 10" o:spid="_x0000_s1032" type="#_x0000_t202" style="position:absolute;left:0;text-align:left;margin-left:392pt;margin-top:152pt;width:114.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" filled="f" stroked="f" strokeweight=".5pt">
              <v:textbox inset="0,0,0,0">
                <w:txbxContent>
                  <w:p w14:paraId="64C509A4" w14:textId="5E3AA781" w:rsidR="006F6129" w:rsidRDefault="00D15C1D" w:rsidP="009E3EDC">
                    <w:pPr>
                      <w:jc w:val="right"/>
                      <w:rPr>
                        <w:rFonts w:ascii="Arial" w:hAnsi="Arial" w:cs="Arial"/>
                        <w:color w:val="AEAAAA"/>
                        <w:sz w:val="20"/>
                        <w:szCs w:val="36"/>
                      </w:rPr>
                    </w:pPr>
                    <w:r>
                      <w:rPr>
                        <w:rFonts w:ascii="Arial" w:hAnsi="Arial" w:cs="Arial"/>
                        <w:color w:val="AEAAAA"/>
                        <w:sz w:val="20"/>
                        <w:szCs w:val="36"/>
                      </w:rPr>
                      <w:t xml:space="preserve">Special Edition </w:t>
                    </w:r>
                  </w:p>
                  <w:p w14:paraId="156B098E" w14:textId="77777777" w:rsidR="006F6129" w:rsidRPr="008B4A8A" w:rsidRDefault="006F6129" w:rsidP="009E3EDC">
                    <w:pPr>
                      <w:jc w:val="right"/>
                      <w:rPr>
                        <w:rFonts w:ascii="Arial" w:hAnsi="Arial" w:cs="Arial"/>
                        <w:color w:val="AEAAAA"/>
                        <w:sz w:val="18"/>
                      </w:rPr>
                    </w:pPr>
                  </w:p>
                </w:txbxContent>
              </v:textbox>
            </v:shape>
          </w:pict>
        </mc:Fallback>
      </mc:AlternateContent>
    </w:r>
    <w:r>
      <w:rPr>
        <w:noProof/>
      </w:rPr>
      <w:drawing>
        <wp:inline distT="0" distB="0" distL="0" distR="0" wp14:anchorId="410F9973" wp14:editId="62AA7521">
          <wp:extent cx="7819247" cy="1839823"/>
          <wp:effectExtent l="0" t="0" r="444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A2FD3"/>
    <w:multiLevelType w:val="multilevel"/>
    <w:tmpl w:val="BD1A1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2A458C"/>
    <w:multiLevelType w:val="hybridMultilevel"/>
    <w:tmpl w:val="B0786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04445"/>
    <w:multiLevelType w:val="hybridMultilevel"/>
    <w:tmpl w:val="5E4CE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17636C"/>
    <w:multiLevelType w:val="hybridMultilevel"/>
    <w:tmpl w:val="E63E7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mirrorMargins/>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70"/>
    <w:rsid w:val="00003C07"/>
    <w:rsid w:val="000043EE"/>
    <w:rsid w:val="00007A7E"/>
    <w:rsid w:val="00010B49"/>
    <w:rsid w:val="00011F27"/>
    <w:rsid w:val="00013C3B"/>
    <w:rsid w:val="00014A86"/>
    <w:rsid w:val="00016B9E"/>
    <w:rsid w:val="000237AA"/>
    <w:rsid w:val="00024EDD"/>
    <w:rsid w:val="00031312"/>
    <w:rsid w:val="00031DB6"/>
    <w:rsid w:val="0003429B"/>
    <w:rsid w:val="00035619"/>
    <w:rsid w:val="000427FA"/>
    <w:rsid w:val="00051DC9"/>
    <w:rsid w:val="0005734C"/>
    <w:rsid w:val="00057CD7"/>
    <w:rsid w:val="00064758"/>
    <w:rsid w:val="00073935"/>
    <w:rsid w:val="00077C58"/>
    <w:rsid w:val="00093973"/>
    <w:rsid w:val="00096A6C"/>
    <w:rsid w:val="000A2233"/>
    <w:rsid w:val="000A4620"/>
    <w:rsid w:val="000A760B"/>
    <w:rsid w:val="000A7E8D"/>
    <w:rsid w:val="000B2085"/>
    <w:rsid w:val="000B3CA3"/>
    <w:rsid w:val="000B6176"/>
    <w:rsid w:val="000C55B3"/>
    <w:rsid w:val="000C674B"/>
    <w:rsid w:val="000C7482"/>
    <w:rsid w:val="000C7933"/>
    <w:rsid w:val="000C7B36"/>
    <w:rsid w:val="000D0E03"/>
    <w:rsid w:val="000D43D0"/>
    <w:rsid w:val="000E2036"/>
    <w:rsid w:val="000E404D"/>
    <w:rsid w:val="000E447D"/>
    <w:rsid w:val="000E4B22"/>
    <w:rsid w:val="000E4CDF"/>
    <w:rsid w:val="000E5951"/>
    <w:rsid w:val="000F2133"/>
    <w:rsid w:val="000F551E"/>
    <w:rsid w:val="000F6A69"/>
    <w:rsid w:val="001047E4"/>
    <w:rsid w:val="00110FFE"/>
    <w:rsid w:val="00112B8A"/>
    <w:rsid w:val="00114651"/>
    <w:rsid w:val="00117B3B"/>
    <w:rsid w:val="00121CF0"/>
    <w:rsid w:val="00123F1D"/>
    <w:rsid w:val="001260CB"/>
    <w:rsid w:val="00126195"/>
    <w:rsid w:val="00127AFA"/>
    <w:rsid w:val="00130B9C"/>
    <w:rsid w:val="0013278D"/>
    <w:rsid w:val="00133187"/>
    <w:rsid w:val="001416DF"/>
    <w:rsid w:val="0014279D"/>
    <w:rsid w:val="00143519"/>
    <w:rsid w:val="00144C3A"/>
    <w:rsid w:val="0014514F"/>
    <w:rsid w:val="00146451"/>
    <w:rsid w:val="00147715"/>
    <w:rsid w:val="00155B0B"/>
    <w:rsid w:val="00156683"/>
    <w:rsid w:val="00156EC5"/>
    <w:rsid w:val="00157C2E"/>
    <w:rsid w:val="00161B4E"/>
    <w:rsid w:val="00162E7B"/>
    <w:rsid w:val="001645A2"/>
    <w:rsid w:val="00164708"/>
    <w:rsid w:val="00165402"/>
    <w:rsid w:val="0016684C"/>
    <w:rsid w:val="00166ABC"/>
    <w:rsid w:val="00170C4F"/>
    <w:rsid w:val="00170E19"/>
    <w:rsid w:val="0017224E"/>
    <w:rsid w:val="0018075C"/>
    <w:rsid w:val="00184150"/>
    <w:rsid w:val="00186E83"/>
    <w:rsid w:val="001926E4"/>
    <w:rsid w:val="001957F2"/>
    <w:rsid w:val="001A040C"/>
    <w:rsid w:val="001A1185"/>
    <w:rsid w:val="001A6491"/>
    <w:rsid w:val="001B551C"/>
    <w:rsid w:val="001B65CA"/>
    <w:rsid w:val="001B76D2"/>
    <w:rsid w:val="001C047B"/>
    <w:rsid w:val="001C243B"/>
    <w:rsid w:val="001C3E90"/>
    <w:rsid w:val="001C477B"/>
    <w:rsid w:val="001D2EE2"/>
    <w:rsid w:val="001D2FA9"/>
    <w:rsid w:val="001D3A38"/>
    <w:rsid w:val="001D4A8D"/>
    <w:rsid w:val="001D4CFE"/>
    <w:rsid w:val="001D5DF3"/>
    <w:rsid w:val="001E2268"/>
    <w:rsid w:val="001E2B7F"/>
    <w:rsid w:val="001F0507"/>
    <w:rsid w:val="001F098B"/>
    <w:rsid w:val="001F0FA4"/>
    <w:rsid w:val="001F45DD"/>
    <w:rsid w:val="0020044D"/>
    <w:rsid w:val="00211BCA"/>
    <w:rsid w:val="00212956"/>
    <w:rsid w:val="00213A9D"/>
    <w:rsid w:val="00214629"/>
    <w:rsid w:val="00214D8B"/>
    <w:rsid w:val="00215CFE"/>
    <w:rsid w:val="00215F97"/>
    <w:rsid w:val="002243D2"/>
    <w:rsid w:val="00226A6D"/>
    <w:rsid w:val="00232F51"/>
    <w:rsid w:val="00233528"/>
    <w:rsid w:val="002339F7"/>
    <w:rsid w:val="00233CEA"/>
    <w:rsid w:val="00234A5C"/>
    <w:rsid w:val="00241176"/>
    <w:rsid w:val="002414FC"/>
    <w:rsid w:val="00241D44"/>
    <w:rsid w:val="00255D97"/>
    <w:rsid w:val="00255EB5"/>
    <w:rsid w:val="00265075"/>
    <w:rsid w:val="002659A6"/>
    <w:rsid w:val="002708C4"/>
    <w:rsid w:val="00281698"/>
    <w:rsid w:val="00290E09"/>
    <w:rsid w:val="002912C5"/>
    <w:rsid w:val="0029314A"/>
    <w:rsid w:val="0029512E"/>
    <w:rsid w:val="002955AA"/>
    <w:rsid w:val="002960FC"/>
    <w:rsid w:val="0029684A"/>
    <w:rsid w:val="00297580"/>
    <w:rsid w:val="00297BB0"/>
    <w:rsid w:val="002A2138"/>
    <w:rsid w:val="002A7DEA"/>
    <w:rsid w:val="002B220F"/>
    <w:rsid w:val="002B31C6"/>
    <w:rsid w:val="002B6D36"/>
    <w:rsid w:val="002C1935"/>
    <w:rsid w:val="002C229B"/>
    <w:rsid w:val="002C22AE"/>
    <w:rsid w:val="002C6432"/>
    <w:rsid w:val="002C7703"/>
    <w:rsid w:val="002C798B"/>
    <w:rsid w:val="002D0F7B"/>
    <w:rsid w:val="002D3388"/>
    <w:rsid w:val="002D46F1"/>
    <w:rsid w:val="002D4BD5"/>
    <w:rsid w:val="002D68F9"/>
    <w:rsid w:val="002D7656"/>
    <w:rsid w:val="002D792A"/>
    <w:rsid w:val="002E0AA7"/>
    <w:rsid w:val="002E2045"/>
    <w:rsid w:val="002E7066"/>
    <w:rsid w:val="002E71A1"/>
    <w:rsid w:val="002F1B79"/>
    <w:rsid w:val="002F2EB0"/>
    <w:rsid w:val="002F2F80"/>
    <w:rsid w:val="002F5DC3"/>
    <w:rsid w:val="00301C1D"/>
    <w:rsid w:val="00302B13"/>
    <w:rsid w:val="00303F38"/>
    <w:rsid w:val="003052C2"/>
    <w:rsid w:val="003070A6"/>
    <w:rsid w:val="00307E75"/>
    <w:rsid w:val="0031343F"/>
    <w:rsid w:val="0031348F"/>
    <w:rsid w:val="00315EC7"/>
    <w:rsid w:val="00322F96"/>
    <w:rsid w:val="00323D0F"/>
    <w:rsid w:val="00323FC2"/>
    <w:rsid w:val="00331075"/>
    <w:rsid w:val="00331D05"/>
    <w:rsid w:val="0033297F"/>
    <w:rsid w:val="00334159"/>
    <w:rsid w:val="00340852"/>
    <w:rsid w:val="0034596F"/>
    <w:rsid w:val="003509EE"/>
    <w:rsid w:val="0035338A"/>
    <w:rsid w:val="003534F5"/>
    <w:rsid w:val="00356D33"/>
    <w:rsid w:val="00357E0E"/>
    <w:rsid w:val="00362223"/>
    <w:rsid w:val="00363D8E"/>
    <w:rsid w:val="003651A6"/>
    <w:rsid w:val="0036558D"/>
    <w:rsid w:val="00366DA7"/>
    <w:rsid w:val="003709E5"/>
    <w:rsid w:val="003742C6"/>
    <w:rsid w:val="003754C3"/>
    <w:rsid w:val="00376588"/>
    <w:rsid w:val="00376E67"/>
    <w:rsid w:val="00377387"/>
    <w:rsid w:val="00380146"/>
    <w:rsid w:val="0038303E"/>
    <w:rsid w:val="003873A0"/>
    <w:rsid w:val="0038787E"/>
    <w:rsid w:val="003907BC"/>
    <w:rsid w:val="00395AC4"/>
    <w:rsid w:val="003974FF"/>
    <w:rsid w:val="003A309F"/>
    <w:rsid w:val="003A3169"/>
    <w:rsid w:val="003A3DC3"/>
    <w:rsid w:val="003B260F"/>
    <w:rsid w:val="003B7A4F"/>
    <w:rsid w:val="003C1DC1"/>
    <w:rsid w:val="003C336F"/>
    <w:rsid w:val="003C3B39"/>
    <w:rsid w:val="003C4FEE"/>
    <w:rsid w:val="003C650F"/>
    <w:rsid w:val="003D0E87"/>
    <w:rsid w:val="003D3D89"/>
    <w:rsid w:val="003D4EDF"/>
    <w:rsid w:val="003D5178"/>
    <w:rsid w:val="003D5BAD"/>
    <w:rsid w:val="003D5CC5"/>
    <w:rsid w:val="003E123B"/>
    <w:rsid w:val="003E3F96"/>
    <w:rsid w:val="003F2AC0"/>
    <w:rsid w:val="003F53A2"/>
    <w:rsid w:val="003F5425"/>
    <w:rsid w:val="003F6739"/>
    <w:rsid w:val="0040163B"/>
    <w:rsid w:val="00402BCD"/>
    <w:rsid w:val="0040338F"/>
    <w:rsid w:val="00406D87"/>
    <w:rsid w:val="00407E87"/>
    <w:rsid w:val="00410B19"/>
    <w:rsid w:val="004206E4"/>
    <w:rsid w:val="00420FAA"/>
    <w:rsid w:val="00423F94"/>
    <w:rsid w:val="00427DDA"/>
    <w:rsid w:val="00434065"/>
    <w:rsid w:val="00434FBC"/>
    <w:rsid w:val="004378DA"/>
    <w:rsid w:val="00437948"/>
    <w:rsid w:val="0044440F"/>
    <w:rsid w:val="00444CF7"/>
    <w:rsid w:val="00445821"/>
    <w:rsid w:val="0044736D"/>
    <w:rsid w:val="00450975"/>
    <w:rsid w:val="00450A25"/>
    <w:rsid w:val="004532EF"/>
    <w:rsid w:val="004537D3"/>
    <w:rsid w:val="004603CA"/>
    <w:rsid w:val="0046213A"/>
    <w:rsid w:val="0046252A"/>
    <w:rsid w:val="00463D78"/>
    <w:rsid w:val="004674A8"/>
    <w:rsid w:val="004710D7"/>
    <w:rsid w:val="00471615"/>
    <w:rsid w:val="004727FE"/>
    <w:rsid w:val="0047452A"/>
    <w:rsid w:val="00474874"/>
    <w:rsid w:val="004763F5"/>
    <w:rsid w:val="00477034"/>
    <w:rsid w:val="004827A8"/>
    <w:rsid w:val="00482AD8"/>
    <w:rsid w:val="00483BB5"/>
    <w:rsid w:val="0048463F"/>
    <w:rsid w:val="0048697A"/>
    <w:rsid w:val="00495D8E"/>
    <w:rsid w:val="004A21C9"/>
    <w:rsid w:val="004A480B"/>
    <w:rsid w:val="004A58E8"/>
    <w:rsid w:val="004B1C5E"/>
    <w:rsid w:val="004B405D"/>
    <w:rsid w:val="004B4C4E"/>
    <w:rsid w:val="004D34D1"/>
    <w:rsid w:val="004D42D8"/>
    <w:rsid w:val="004D61CB"/>
    <w:rsid w:val="004D6FD9"/>
    <w:rsid w:val="004D7522"/>
    <w:rsid w:val="004D7949"/>
    <w:rsid w:val="004E1E91"/>
    <w:rsid w:val="004E1FF3"/>
    <w:rsid w:val="004E2AC7"/>
    <w:rsid w:val="004E48D2"/>
    <w:rsid w:val="004F0430"/>
    <w:rsid w:val="004F3550"/>
    <w:rsid w:val="004F48A9"/>
    <w:rsid w:val="004F48E6"/>
    <w:rsid w:val="004F54B4"/>
    <w:rsid w:val="004F5BA3"/>
    <w:rsid w:val="004F7BEC"/>
    <w:rsid w:val="005127E9"/>
    <w:rsid w:val="0051378D"/>
    <w:rsid w:val="00514508"/>
    <w:rsid w:val="00514888"/>
    <w:rsid w:val="00520C19"/>
    <w:rsid w:val="00522CE9"/>
    <w:rsid w:val="00525999"/>
    <w:rsid w:val="00525FA1"/>
    <w:rsid w:val="00530D3C"/>
    <w:rsid w:val="00531E8F"/>
    <w:rsid w:val="005416C7"/>
    <w:rsid w:val="00547C3B"/>
    <w:rsid w:val="00550B80"/>
    <w:rsid w:val="005515D6"/>
    <w:rsid w:val="00555908"/>
    <w:rsid w:val="005572CF"/>
    <w:rsid w:val="00562245"/>
    <w:rsid w:val="00564BFD"/>
    <w:rsid w:val="005652D2"/>
    <w:rsid w:val="00570E73"/>
    <w:rsid w:val="00571345"/>
    <w:rsid w:val="0057379A"/>
    <w:rsid w:val="00581037"/>
    <w:rsid w:val="0058109B"/>
    <w:rsid w:val="00582149"/>
    <w:rsid w:val="00582BFE"/>
    <w:rsid w:val="00586AAD"/>
    <w:rsid w:val="00590056"/>
    <w:rsid w:val="005916CE"/>
    <w:rsid w:val="0059513C"/>
    <w:rsid w:val="00596070"/>
    <w:rsid w:val="00596876"/>
    <w:rsid w:val="005A253E"/>
    <w:rsid w:val="005A5979"/>
    <w:rsid w:val="005A6887"/>
    <w:rsid w:val="005B09A2"/>
    <w:rsid w:val="005B33D6"/>
    <w:rsid w:val="005B365C"/>
    <w:rsid w:val="005B7780"/>
    <w:rsid w:val="005B7C4C"/>
    <w:rsid w:val="005C1D70"/>
    <w:rsid w:val="005C22FC"/>
    <w:rsid w:val="005C27A1"/>
    <w:rsid w:val="005C2B1F"/>
    <w:rsid w:val="005C2F9E"/>
    <w:rsid w:val="005D5738"/>
    <w:rsid w:val="005D65A6"/>
    <w:rsid w:val="005E4024"/>
    <w:rsid w:val="005F61E2"/>
    <w:rsid w:val="00601835"/>
    <w:rsid w:val="00603925"/>
    <w:rsid w:val="00603D45"/>
    <w:rsid w:val="00613E83"/>
    <w:rsid w:val="006211B4"/>
    <w:rsid w:val="00623B55"/>
    <w:rsid w:val="00623D5A"/>
    <w:rsid w:val="006242E4"/>
    <w:rsid w:val="0063081C"/>
    <w:rsid w:val="00630922"/>
    <w:rsid w:val="00632F74"/>
    <w:rsid w:val="00635259"/>
    <w:rsid w:val="006370DE"/>
    <w:rsid w:val="00641BFD"/>
    <w:rsid w:val="00641F50"/>
    <w:rsid w:val="00645E5D"/>
    <w:rsid w:val="00646820"/>
    <w:rsid w:val="0064788F"/>
    <w:rsid w:val="00651728"/>
    <w:rsid w:val="00663970"/>
    <w:rsid w:val="00663F9A"/>
    <w:rsid w:val="0066505F"/>
    <w:rsid w:val="00665F3D"/>
    <w:rsid w:val="00675FB6"/>
    <w:rsid w:val="00677960"/>
    <w:rsid w:val="00680792"/>
    <w:rsid w:val="006854F9"/>
    <w:rsid w:val="00690366"/>
    <w:rsid w:val="00692877"/>
    <w:rsid w:val="00697FB9"/>
    <w:rsid w:val="006A20D7"/>
    <w:rsid w:val="006A6909"/>
    <w:rsid w:val="006A692C"/>
    <w:rsid w:val="006B1FA0"/>
    <w:rsid w:val="006B764E"/>
    <w:rsid w:val="006C1713"/>
    <w:rsid w:val="006D18A5"/>
    <w:rsid w:val="006D5AD6"/>
    <w:rsid w:val="006D5D51"/>
    <w:rsid w:val="006E0642"/>
    <w:rsid w:val="006E42E2"/>
    <w:rsid w:val="006E5EAE"/>
    <w:rsid w:val="006F1B86"/>
    <w:rsid w:val="006F2D20"/>
    <w:rsid w:val="006F383D"/>
    <w:rsid w:val="006F6129"/>
    <w:rsid w:val="00703AD3"/>
    <w:rsid w:val="00705C3D"/>
    <w:rsid w:val="00706685"/>
    <w:rsid w:val="00707886"/>
    <w:rsid w:val="0071390F"/>
    <w:rsid w:val="00717D73"/>
    <w:rsid w:val="0072228E"/>
    <w:rsid w:val="00724D03"/>
    <w:rsid w:val="0072654A"/>
    <w:rsid w:val="00726D1F"/>
    <w:rsid w:val="00732536"/>
    <w:rsid w:val="00732C2F"/>
    <w:rsid w:val="007343DA"/>
    <w:rsid w:val="00735F86"/>
    <w:rsid w:val="007361B6"/>
    <w:rsid w:val="007400AC"/>
    <w:rsid w:val="007402C1"/>
    <w:rsid w:val="00741A0D"/>
    <w:rsid w:val="00742910"/>
    <w:rsid w:val="00747F8C"/>
    <w:rsid w:val="00751326"/>
    <w:rsid w:val="00755D9E"/>
    <w:rsid w:val="00756238"/>
    <w:rsid w:val="00761689"/>
    <w:rsid w:val="00762787"/>
    <w:rsid w:val="007667FA"/>
    <w:rsid w:val="00766F4E"/>
    <w:rsid w:val="007725C0"/>
    <w:rsid w:val="0077368A"/>
    <w:rsid w:val="00774792"/>
    <w:rsid w:val="007751EB"/>
    <w:rsid w:val="007761D0"/>
    <w:rsid w:val="00776670"/>
    <w:rsid w:val="00777E17"/>
    <w:rsid w:val="00786712"/>
    <w:rsid w:val="00786ABE"/>
    <w:rsid w:val="0079056F"/>
    <w:rsid w:val="00791AA8"/>
    <w:rsid w:val="00793E10"/>
    <w:rsid w:val="007A0788"/>
    <w:rsid w:val="007A1E85"/>
    <w:rsid w:val="007A2FFC"/>
    <w:rsid w:val="007A371C"/>
    <w:rsid w:val="007A42B7"/>
    <w:rsid w:val="007A5E45"/>
    <w:rsid w:val="007B0461"/>
    <w:rsid w:val="007B1224"/>
    <w:rsid w:val="007C16D0"/>
    <w:rsid w:val="007C2762"/>
    <w:rsid w:val="007C326B"/>
    <w:rsid w:val="007C4C9B"/>
    <w:rsid w:val="007C58D3"/>
    <w:rsid w:val="007D13EC"/>
    <w:rsid w:val="007D272C"/>
    <w:rsid w:val="007D33D1"/>
    <w:rsid w:val="007D3FE7"/>
    <w:rsid w:val="007E1FFF"/>
    <w:rsid w:val="007E2D97"/>
    <w:rsid w:val="007E4D14"/>
    <w:rsid w:val="007E4F79"/>
    <w:rsid w:val="007F0C4B"/>
    <w:rsid w:val="007F21C5"/>
    <w:rsid w:val="007F45A8"/>
    <w:rsid w:val="007F7196"/>
    <w:rsid w:val="008014E7"/>
    <w:rsid w:val="0080421B"/>
    <w:rsid w:val="00804869"/>
    <w:rsid w:val="0080562C"/>
    <w:rsid w:val="00807650"/>
    <w:rsid w:val="0081544F"/>
    <w:rsid w:val="0082064B"/>
    <w:rsid w:val="008207A5"/>
    <w:rsid w:val="0082360E"/>
    <w:rsid w:val="00824645"/>
    <w:rsid w:val="00835F3D"/>
    <w:rsid w:val="008402F1"/>
    <w:rsid w:val="0084451F"/>
    <w:rsid w:val="0084584A"/>
    <w:rsid w:val="008471AE"/>
    <w:rsid w:val="00855FA1"/>
    <w:rsid w:val="00860670"/>
    <w:rsid w:val="00862BD2"/>
    <w:rsid w:val="00865135"/>
    <w:rsid w:val="00873BEC"/>
    <w:rsid w:val="00873F82"/>
    <w:rsid w:val="008747C2"/>
    <w:rsid w:val="008761DA"/>
    <w:rsid w:val="00882122"/>
    <w:rsid w:val="0088740F"/>
    <w:rsid w:val="0089452F"/>
    <w:rsid w:val="00895AA6"/>
    <w:rsid w:val="0089725C"/>
    <w:rsid w:val="008A2BAF"/>
    <w:rsid w:val="008A4512"/>
    <w:rsid w:val="008B1467"/>
    <w:rsid w:val="008B2C26"/>
    <w:rsid w:val="008B4A8A"/>
    <w:rsid w:val="008B605A"/>
    <w:rsid w:val="008B6489"/>
    <w:rsid w:val="008C1ABA"/>
    <w:rsid w:val="008C258F"/>
    <w:rsid w:val="008C3C83"/>
    <w:rsid w:val="008C5BA1"/>
    <w:rsid w:val="008D0088"/>
    <w:rsid w:val="008D0482"/>
    <w:rsid w:val="008D0600"/>
    <w:rsid w:val="008D3959"/>
    <w:rsid w:val="008D520B"/>
    <w:rsid w:val="008D5A58"/>
    <w:rsid w:val="008D6032"/>
    <w:rsid w:val="008D7EC1"/>
    <w:rsid w:val="008E4C3C"/>
    <w:rsid w:val="008E64E1"/>
    <w:rsid w:val="008F2A77"/>
    <w:rsid w:val="008F668C"/>
    <w:rsid w:val="00906021"/>
    <w:rsid w:val="009164E6"/>
    <w:rsid w:val="009167C2"/>
    <w:rsid w:val="00917AEB"/>
    <w:rsid w:val="009202CF"/>
    <w:rsid w:val="009235FD"/>
    <w:rsid w:val="00934B0C"/>
    <w:rsid w:val="0093603C"/>
    <w:rsid w:val="009362A1"/>
    <w:rsid w:val="00936F18"/>
    <w:rsid w:val="009419C2"/>
    <w:rsid w:val="00941D41"/>
    <w:rsid w:val="0094288E"/>
    <w:rsid w:val="009568FC"/>
    <w:rsid w:val="0095715B"/>
    <w:rsid w:val="00961F02"/>
    <w:rsid w:val="00967858"/>
    <w:rsid w:val="00970AF3"/>
    <w:rsid w:val="00974997"/>
    <w:rsid w:val="009818B7"/>
    <w:rsid w:val="00987E85"/>
    <w:rsid w:val="00992F22"/>
    <w:rsid w:val="00996FBD"/>
    <w:rsid w:val="00997327"/>
    <w:rsid w:val="009A3546"/>
    <w:rsid w:val="009A5189"/>
    <w:rsid w:val="009A6385"/>
    <w:rsid w:val="009B185F"/>
    <w:rsid w:val="009B1B98"/>
    <w:rsid w:val="009B2983"/>
    <w:rsid w:val="009B73D0"/>
    <w:rsid w:val="009D4CA5"/>
    <w:rsid w:val="009D5606"/>
    <w:rsid w:val="009D7BE7"/>
    <w:rsid w:val="009E2B77"/>
    <w:rsid w:val="009E3EDC"/>
    <w:rsid w:val="00A05ADF"/>
    <w:rsid w:val="00A13199"/>
    <w:rsid w:val="00A21B25"/>
    <w:rsid w:val="00A26FC7"/>
    <w:rsid w:val="00A369E6"/>
    <w:rsid w:val="00A36AEF"/>
    <w:rsid w:val="00A40688"/>
    <w:rsid w:val="00A42CB5"/>
    <w:rsid w:val="00A44356"/>
    <w:rsid w:val="00A52F7D"/>
    <w:rsid w:val="00A53117"/>
    <w:rsid w:val="00A53398"/>
    <w:rsid w:val="00A535CF"/>
    <w:rsid w:val="00A5587C"/>
    <w:rsid w:val="00A5598B"/>
    <w:rsid w:val="00A57D3D"/>
    <w:rsid w:val="00A638EF"/>
    <w:rsid w:val="00A66E9D"/>
    <w:rsid w:val="00A72C1F"/>
    <w:rsid w:val="00A74E95"/>
    <w:rsid w:val="00A765EC"/>
    <w:rsid w:val="00A76662"/>
    <w:rsid w:val="00A808C8"/>
    <w:rsid w:val="00A87FF9"/>
    <w:rsid w:val="00A93709"/>
    <w:rsid w:val="00AA103F"/>
    <w:rsid w:val="00AA3857"/>
    <w:rsid w:val="00AA3D54"/>
    <w:rsid w:val="00AA420E"/>
    <w:rsid w:val="00AA5D81"/>
    <w:rsid w:val="00AA5F6C"/>
    <w:rsid w:val="00AB012A"/>
    <w:rsid w:val="00AB0290"/>
    <w:rsid w:val="00AB79DA"/>
    <w:rsid w:val="00AC22FA"/>
    <w:rsid w:val="00AC50C1"/>
    <w:rsid w:val="00AD126F"/>
    <w:rsid w:val="00AD2DFD"/>
    <w:rsid w:val="00AD531B"/>
    <w:rsid w:val="00AD7654"/>
    <w:rsid w:val="00AE276A"/>
    <w:rsid w:val="00AF61CF"/>
    <w:rsid w:val="00B002DA"/>
    <w:rsid w:val="00B00969"/>
    <w:rsid w:val="00B04F23"/>
    <w:rsid w:val="00B11B9E"/>
    <w:rsid w:val="00B1423B"/>
    <w:rsid w:val="00B14624"/>
    <w:rsid w:val="00B16053"/>
    <w:rsid w:val="00B16567"/>
    <w:rsid w:val="00B21928"/>
    <w:rsid w:val="00B21C93"/>
    <w:rsid w:val="00B22B92"/>
    <w:rsid w:val="00B245BD"/>
    <w:rsid w:val="00B247D9"/>
    <w:rsid w:val="00B2527C"/>
    <w:rsid w:val="00B31891"/>
    <w:rsid w:val="00B3434C"/>
    <w:rsid w:val="00B3576E"/>
    <w:rsid w:val="00B379DC"/>
    <w:rsid w:val="00B44A8B"/>
    <w:rsid w:val="00B45773"/>
    <w:rsid w:val="00B5141C"/>
    <w:rsid w:val="00B51C9A"/>
    <w:rsid w:val="00B52126"/>
    <w:rsid w:val="00B521B9"/>
    <w:rsid w:val="00B52EE0"/>
    <w:rsid w:val="00B5385F"/>
    <w:rsid w:val="00B56DC3"/>
    <w:rsid w:val="00B57AF2"/>
    <w:rsid w:val="00B60431"/>
    <w:rsid w:val="00B63131"/>
    <w:rsid w:val="00B6736E"/>
    <w:rsid w:val="00B6775A"/>
    <w:rsid w:val="00B707F1"/>
    <w:rsid w:val="00B70C34"/>
    <w:rsid w:val="00B7361A"/>
    <w:rsid w:val="00B7598D"/>
    <w:rsid w:val="00B90173"/>
    <w:rsid w:val="00B913DC"/>
    <w:rsid w:val="00B93520"/>
    <w:rsid w:val="00B94A76"/>
    <w:rsid w:val="00BA120B"/>
    <w:rsid w:val="00BA12B0"/>
    <w:rsid w:val="00BA149E"/>
    <w:rsid w:val="00BA57F5"/>
    <w:rsid w:val="00BB373D"/>
    <w:rsid w:val="00BB5F32"/>
    <w:rsid w:val="00BC16A3"/>
    <w:rsid w:val="00BC258E"/>
    <w:rsid w:val="00BD615C"/>
    <w:rsid w:val="00BD6D5F"/>
    <w:rsid w:val="00BE15D1"/>
    <w:rsid w:val="00BE29BB"/>
    <w:rsid w:val="00BE31C1"/>
    <w:rsid w:val="00BE4712"/>
    <w:rsid w:val="00BE7FF2"/>
    <w:rsid w:val="00BF01E8"/>
    <w:rsid w:val="00BF0CB7"/>
    <w:rsid w:val="00BF10C4"/>
    <w:rsid w:val="00BF1DC5"/>
    <w:rsid w:val="00BF3AC5"/>
    <w:rsid w:val="00BF3F3B"/>
    <w:rsid w:val="00C00C54"/>
    <w:rsid w:val="00C01EA8"/>
    <w:rsid w:val="00C03A65"/>
    <w:rsid w:val="00C04751"/>
    <w:rsid w:val="00C05374"/>
    <w:rsid w:val="00C05A4C"/>
    <w:rsid w:val="00C141D9"/>
    <w:rsid w:val="00C2050A"/>
    <w:rsid w:val="00C20D81"/>
    <w:rsid w:val="00C21ED4"/>
    <w:rsid w:val="00C27FFD"/>
    <w:rsid w:val="00C302FA"/>
    <w:rsid w:val="00C324AD"/>
    <w:rsid w:val="00C35CBD"/>
    <w:rsid w:val="00C35F84"/>
    <w:rsid w:val="00C3693A"/>
    <w:rsid w:val="00C405F8"/>
    <w:rsid w:val="00C40AC7"/>
    <w:rsid w:val="00C46F61"/>
    <w:rsid w:val="00C501C7"/>
    <w:rsid w:val="00C51DF6"/>
    <w:rsid w:val="00C56F9B"/>
    <w:rsid w:val="00C5719B"/>
    <w:rsid w:val="00C63B15"/>
    <w:rsid w:val="00C74D6C"/>
    <w:rsid w:val="00C75ACA"/>
    <w:rsid w:val="00C7774D"/>
    <w:rsid w:val="00C777DF"/>
    <w:rsid w:val="00C81374"/>
    <w:rsid w:val="00C869EF"/>
    <w:rsid w:val="00C91248"/>
    <w:rsid w:val="00C92048"/>
    <w:rsid w:val="00C93D42"/>
    <w:rsid w:val="00C967F5"/>
    <w:rsid w:val="00C969B3"/>
    <w:rsid w:val="00C9730F"/>
    <w:rsid w:val="00C97434"/>
    <w:rsid w:val="00CB0811"/>
    <w:rsid w:val="00CB206F"/>
    <w:rsid w:val="00CB562A"/>
    <w:rsid w:val="00CB7A70"/>
    <w:rsid w:val="00CC5C40"/>
    <w:rsid w:val="00CD0272"/>
    <w:rsid w:val="00CD3723"/>
    <w:rsid w:val="00CD7364"/>
    <w:rsid w:val="00CE15E2"/>
    <w:rsid w:val="00CE3E03"/>
    <w:rsid w:val="00CE74A8"/>
    <w:rsid w:val="00CE79E2"/>
    <w:rsid w:val="00CF1BDB"/>
    <w:rsid w:val="00CF22A7"/>
    <w:rsid w:val="00CF261A"/>
    <w:rsid w:val="00CF5F55"/>
    <w:rsid w:val="00CF7245"/>
    <w:rsid w:val="00CF753F"/>
    <w:rsid w:val="00D00F02"/>
    <w:rsid w:val="00D022CB"/>
    <w:rsid w:val="00D15C1D"/>
    <w:rsid w:val="00D202DA"/>
    <w:rsid w:val="00D2037D"/>
    <w:rsid w:val="00D2220F"/>
    <w:rsid w:val="00D23289"/>
    <w:rsid w:val="00D24842"/>
    <w:rsid w:val="00D25674"/>
    <w:rsid w:val="00D303CC"/>
    <w:rsid w:val="00D30715"/>
    <w:rsid w:val="00D34730"/>
    <w:rsid w:val="00D34E3D"/>
    <w:rsid w:val="00D40A27"/>
    <w:rsid w:val="00D41C0B"/>
    <w:rsid w:val="00D43511"/>
    <w:rsid w:val="00D445CA"/>
    <w:rsid w:val="00D47CEF"/>
    <w:rsid w:val="00D528CD"/>
    <w:rsid w:val="00D53F3B"/>
    <w:rsid w:val="00D617CB"/>
    <w:rsid w:val="00D63D67"/>
    <w:rsid w:val="00D736DB"/>
    <w:rsid w:val="00D80954"/>
    <w:rsid w:val="00D82686"/>
    <w:rsid w:val="00D82D3D"/>
    <w:rsid w:val="00D97CDA"/>
    <w:rsid w:val="00DA01D2"/>
    <w:rsid w:val="00DA0CAE"/>
    <w:rsid w:val="00DA46D8"/>
    <w:rsid w:val="00DA5AB8"/>
    <w:rsid w:val="00DA5C98"/>
    <w:rsid w:val="00DB044D"/>
    <w:rsid w:val="00DB15BE"/>
    <w:rsid w:val="00DB4F70"/>
    <w:rsid w:val="00DC03CA"/>
    <w:rsid w:val="00DC0B70"/>
    <w:rsid w:val="00DD0331"/>
    <w:rsid w:val="00DD0E06"/>
    <w:rsid w:val="00DD1280"/>
    <w:rsid w:val="00DE2CAA"/>
    <w:rsid w:val="00DE657A"/>
    <w:rsid w:val="00DF3BBC"/>
    <w:rsid w:val="00DF4221"/>
    <w:rsid w:val="00DF59DC"/>
    <w:rsid w:val="00DF7E4A"/>
    <w:rsid w:val="00E03FBA"/>
    <w:rsid w:val="00E102EF"/>
    <w:rsid w:val="00E1133C"/>
    <w:rsid w:val="00E1471C"/>
    <w:rsid w:val="00E15499"/>
    <w:rsid w:val="00E177E0"/>
    <w:rsid w:val="00E200AE"/>
    <w:rsid w:val="00E22653"/>
    <w:rsid w:val="00E2400A"/>
    <w:rsid w:val="00E268FD"/>
    <w:rsid w:val="00E30509"/>
    <w:rsid w:val="00E33E21"/>
    <w:rsid w:val="00E34484"/>
    <w:rsid w:val="00E358BF"/>
    <w:rsid w:val="00E3601B"/>
    <w:rsid w:val="00E37122"/>
    <w:rsid w:val="00E377F8"/>
    <w:rsid w:val="00E4338D"/>
    <w:rsid w:val="00E462AF"/>
    <w:rsid w:val="00E474BC"/>
    <w:rsid w:val="00E546A3"/>
    <w:rsid w:val="00E547A0"/>
    <w:rsid w:val="00E54EC9"/>
    <w:rsid w:val="00E55650"/>
    <w:rsid w:val="00E56567"/>
    <w:rsid w:val="00E625A8"/>
    <w:rsid w:val="00E65C69"/>
    <w:rsid w:val="00E73A0C"/>
    <w:rsid w:val="00E73B54"/>
    <w:rsid w:val="00E74773"/>
    <w:rsid w:val="00E81C61"/>
    <w:rsid w:val="00E83289"/>
    <w:rsid w:val="00E90872"/>
    <w:rsid w:val="00E90F1D"/>
    <w:rsid w:val="00E93D58"/>
    <w:rsid w:val="00E948E7"/>
    <w:rsid w:val="00E94C4B"/>
    <w:rsid w:val="00EA4649"/>
    <w:rsid w:val="00EB05BF"/>
    <w:rsid w:val="00EB063A"/>
    <w:rsid w:val="00EB45DB"/>
    <w:rsid w:val="00EB5F01"/>
    <w:rsid w:val="00EB6BD1"/>
    <w:rsid w:val="00EB6D68"/>
    <w:rsid w:val="00EC36E9"/>
    <w:rsid w:val="00EC6008"/>
    <w:rsid w:val="00EC69AA"/>
    <w:rsid w:val="00ED2F33"/>
    <w:rsid w:val="00ED43EB"/>
    <w:rsid w:val="00EE032A"/>
    <w:rsid w:val="00EE1EB5"/>
    <w:rsid w:val="00EE303D"/>
    <w:rsid w:val="00EE3BCC"/>
    <w:rsid w:val="00EF11B1"/>
    <w:rsid w:val="00F0039E"/>
    <w:rsid w:val="00F03B13"/>
    <w:rsid w:val="00F06A7B"/>
    <w:rsid w:val="00F07010"/>
    <w:rsid w:val="00F166D3"/>
    <w:rsid w:val="00F20174"/>
    <w:rsid w:val="00F30AA9"/>
    <w:rsid w:val="00F31D49"/>
    <w:rsid w:val="00F42F13"/>
    <w:rsid w:val="00F56A0B"/>
    <w:rsid w:val="00F60983"/>
    <w:rsid w:val="00F61B48"/>
    <w:rsid w:val="00F6243D"/>
    <w:rsid w:val="00F6788D"/>
    <w:rsid w:val="00F70FFB"/>
    <w:rsid w:val="00F75D3D"/>
    <w:rsid w:val="00F7794F"/>
    <w:rsid w:val="00F816FC"/>
    <w:rsid w:val="00F853FB"/>
    <w:rsid w:val="00F87045"/>
    <w:rsid w:val="00FA0133"/>
    <w:rsid w:val="00FA505E"/>
    <w:rsid w:val="00FA52BE"/>
    <w:rsid w:val="00FB2425"/>
    <w:rsid w:val="00FB36A6"/>
    <w:rsid w:val="00FC0184"/>
    <w:rsid w:val="00FC3567"/>
    <w:rsid w:val="00FC4BB6"/>
    <w:rsid w:val="00FC5F6A"/>
    <w:rsid w:val="00FD075A"/>
    <w:rsid w:val="00FD30D0"/>
    <w:rsid w:val="00FD4654"/>
    <w:rsid w:val="00FE05B1"/>
    <w:rsid w:val="00FE3224"/>
    <w:rsid w:val="00FE3FBC"/>
    <w:rsid w:val="00FE688C"/>
    <w:rsid w:val="00FF29E7"/>
    <w:rsid w:val="00FF2F6B"/>
    <w:rsid w:val="00FF59AF"/>
    <w:rsid w:val="00FF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F6A6F6"/>
  <w15:chartTrackingRefBased/>
  <w15:docId w15:val="{26704373-2F7C-4828-8093-904B95DE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666666"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666666"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666666"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272727"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EndnoteText">
    <w:name w:val="endnote text"/>
    <w:basedOn w:val="Normal"/>
    <w:link w:val="EndnoteTextChar"/>
    <w:uiPriority w:val="99"/>
    <w:semiHidden/>
    <w:unhideWhenUsed/>
    <w:rsid w:val="007562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23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756238"/>
    <w:rPr>
      <w:vertAlign w:val="superscript"/>
    </w:rPr>
  </w:style>
  <w:style w:type="character" w:styleId="Hyperlink">
    <w:name w:val="Hyperlink"/>
    <w:basedOn w:val="DefaultParagraphFont"/>
    <w:uiPriority w:val="99"/>
    <w:unhideWhenUsed/>
    <w:rsid w:val="00756238"/>
    <w:rPr>
      <w:color w:val="0000FF"/>
      <w:u w:val="single"/>
    </w:rPr>
  </w:style>
  <w:style w:type="paragraph" w:styleId="ListParagraph">
    <w:name w:val="List Paragraph"/>
    <w:basedOn w:val="Normal"/>
    <w:uiPriority w:val="34"/>
    <w:qFormat/>
    <w:rsid w:val="00726D1F"/>
    <w:pPr>
      <w:ind w:left="720"/>
      <w:contextualSpacing/>
    </w:pPr>
  </w:style>
  <w:style w:type="table" w:styleId="TableGrid">
    <w:name w:val="Table Grid"/>
    <w:basedOn w:val="TableNormal"/>
    <w:uiPriority w:val="39"/>
    <w:rsid w:val="008B4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3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E2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33E21"/>
    <w:rPr>
      <w:vertAlign w:val="superscript"/>
    </w:rPr>
  </w:style>
  <w:style w:type="paragraph" w:styleId="NormalWeb">
    <w:name w:val="Normal (Web)"/>
    <w:basedOn w:val="Normal"/>
    <w:uiPriority w:val="99"/>
    <w:semiHidden/>
    <w:unhideWhenUsed/>
    <w:rsid w:val="00307E75"/>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09397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93973"/>
    <w:rPr>
      <w:rFonts w:ascii="Calibri" w:hAnsi="Calibri"/>
      <w:sz w:val="22"/>
      <w:szCs w:val="21"/>
    </w:rPr>
  </w:style>
  <w:style w:type="character" w:styleId="UnresolvedMention">
    <w:name w:val="Unresolved Mention"/>
    <w:basedOn w:val="DefaultParagraphFont"/>
    <w:uiPriority w:val="99"/>
    <w:rsid w:val="00093973"/>
    <w:rPr>
      <w:color w:val="605E5C"/>
      <w:shd w:val="clear" w:color="auto" w:fill="E1DFDD"/>
    </w:rPr>
  </w:style>
  <w:style w:type="paragraph" w:styleId="Revision">
    <w:name w:val="Revision"/>
    <w:hidden/>
    <w:uiPriority w:val="99"/>
    <w:semiHidden/>
    <w:rsid w:val="00C869EF"/>
    <w:rPr>
      <w:rFonts w:ascii="Calibri" w:eastAsia="Times New Roman" w:hAnsi="Calibri" w:cs="Times New Roman"/>
      <w:sz w:val="22"/>
      <w:szCs w:val="22"/>
    </w:rPr>
  </w:style>
  <w:style w:type="character" w:styleId="IntenseReference">
    <w:name w:val="Intense Reference"/>
    <w:basedOn w:val="DefaultParagraphFont"/>
    <w:uiPriority w:val="32"/>
    <w:qFormat/>
    <w:rsid w:val="00E1133C"/>
    <w:rPr>
      <w:b/>
      <w:bCs/>
      <w:smallCaps/>
      <w:color w:val="175E95" w:themeColor="accent1"/>
      <w:spacing w:val="5"/>
    </w:rPr>
  </w:style>
  <w:style w:type="character" w:styleId="Strong">
    <w:name w:val="Strong"/>
    <w:basedOn w:val="DefaultParagraphFont"/>
    <w:uiPriority w:val="22"/>
    <w:qFormat/>
    <w:rsid w:val="00E1133C"/>
    <w:rPr>
      <w:b/>
      <w:bCs/>
    </w:rPr>
  </w:style>
  <w:style w:type="character" w:styleId="IntenseEmphasis">
    <w:name w:val="Intense Emphasis"/>
    <w:basedOn w:val="DefaultParagraphFont"/>
    <w:uiPriority w:val="21"/>
    <w:qFormat/>
    <w:rsid w:val="003974FF"/>
    <w:rPr>
      <w:i/>
      <w:iCs/>
      <w:color w:val="175E9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66358">
      <w:bodyDiv w:val="1"/>
      <w:marLeft w:val="0"/>
      <w:marRight w:val="0"/>
      <w:marTop w:val="0"/>
      <w:marBottom w:val="0"/>
      <w:divBdr>
        <w:top w:val="none" w:sz="0" w:space="0" w:color="auto"/>
        <w:left w:val="none" w:sz="0" w:space="0" w:color="auto"/>
        <w:bottom w:val="none" w:sz="0" w:space="0" w:color="auto"/>
        <w:right w:val="none" w:sz="0" w:space="0" w:color="auto"/>
      </w:divBdr>
    </w:div>
    <w:div w:id="64694279">
      <w:bodyDiv w:val="1"/>
      <w:marLeft w:val="0"/>
      <w:marRight w:val="0"/>
      <w:marTop w:val="0"/>
      <w:marBottom w:val="0"/>
      <w:divBdr>
        <w:top w:val="none" w:sz="0" w:space="0" w:color="auto"/>
        <w:left w:val="none" w:sz="0" w:space="0" w:color="auto"/>
        <w:bottom w:val="none" w:sz="0" w:space="0" w:color="auto"/>
        <w:right w:val="none" w:sz="0" w:space="0" w:color="auto"/>
      </w:divBdr>
    </w:div>
    <w:div w:id="111292882">
      <w:bodyDiv w:val="1"/>
      <w:marLeft w:val="0"/>
      <w:marRight w:val="0"/>
      <w:marTop w:val="0"/>
      <w:marBottom w:val="0"/>
      <w:divBdr>
        <w:top w:val="none" w:sz="0" w:space="0" w:color="auto"/>
        <w:left w:val="none" w:sz="0" w:space="0" w:color="auto"/>
        <w:bottom w:val="none" w:sz="0" w:space="0" w:color="auto"/>
        <w:right w:val="none" w:sz="0" w:space="0" w:color="auto"/>
      </w:divBdr>
    </w:div>
    <w:div w:id="147749329">
      <w:bodyDiv w:val="1"/>
      <w:marLeft w:val="0"/>
      <w:marRight w:val="0"/>
      <w:marTop w:val="0"/>
      <w:marBottom w:val="0"/>
      <w:divBdr>
        <w:top w:val="none" w:sz="0" w:space="0" w:color="auto"/>
        <w:left w:val="none" w:sz="0" w:space="0" w:color="auto"/>
        <w:bottom w:val="none" w:sz="0" w:space="0" w:color="auto"/>
        <w:right w:val="none" w:sz="0" w:space="0" w:color="auto"/>
      </w:divBdr>
    </w:div>
    <w:div w:id="154762539">
      <w:bodyDiv w:val="1"/>
      <w:marLeft w:val="0"/>
      <w:marRight w:val="0"/>
      <w:marTop w:val="0"/>
      <w:marBottom w:val="0"/>
      <w:divBdr>
        <w:top w:val="none" w:sz="0" w:space="0" w:color="auto"/>
        <w:left w:val="none" w:sz="0" w:space="0" w:color="auto"/>
        <w:bottom w:val="none" w:sz="0" w:space="0" w:color="auto"/>
        <w:right w:val="none" w:sz="0" w:space="0" w:color="auto"/>
      </w:divBdr>
    </w:div>
    <w:div w:id="217786902">
      <w:bodyDiv w:val="1"/>
      <w:marLeft w:val="0"/>
      <w:marRight w:val="0"/>
      <w:marTop w:val="0"/>
      <w:marBottom w:val="0"/>
      <w:divBdr>
        <w:top w:val="none" w:sz="0" w:space="0" w:color="auto"/>
        <w:left w:val="none" w:sz="0" w:space="0" w:color="auto"/>
        <w:bottom w:val="none" w:sz="0" w:space="0" w:color="auto"/>
        <w:right w:val="none" w:sz="0" w:space="0" w:color="auto"/>
      </w:divBdr>
    </w:div>
    <w:div w:id="231933455">
      <w:bodyDiv w:val="1"/>
      <w:marLeft w:val="0"/>
      <w:marRight w:val="0"/>
      <w:marTop w:val="0"/>
      <w:marBottom w:val="0"/>
      <w:divBdr>
        <w:top w:val="none" w:sz="0" w:space="0" w:color="auto"/>
        <w:left w:val="none" w:sz="0" w:space="0" w:color="auto"/>
        <w:bottom w:val="none" w:sz="0" w:space="0" w:color="auto"/>
        <w:right w:val="none" w:sz="0" w:space="0" w:color="auto"/>
      </w:divBdr>
    </w:div>
    <w:div w:id="321281699">
      <w:bodyDiv w:val="1"/>
      <w:marLeft w:val="0"/>
      <w:marRight w:val="0"/>
      <w:marTop w:val="0"/>
      <w:marBottom w:val="0"/>
      <w:divBdr>
        <w:top w:val="none" w:sz="0" w:space="0" w:color="auto"/>
        <w:left w:val="none" w:sz="0" w:space="0" w:color="auto"/>
        <w:bottom w:val="none" w:sz="0" w:space="0" w:color="auto"/>
        <w:right w:val="none" w:sz="0" w:space="0" w:color="auto"/>
      </w:divBdr>
    </w:div>
    <w:div w:id="374041759">
      <w:bodyDiv w:val="1"/>
      <w:marLeft w:val="0"/>
      <w:marRight w:val="0"/>
      <w:marTop w:val="0"/>
      <w:marBottom w:val="0"/>
      <w:divBdr>
        <w:top w:val="none" w:sz="0" w:space="0" w:color="auto"/>
        <w:left w:val="none" w:sz="0" w:space="0" w:color="auto"/>
        <w:bottom w:val="none" w:sz="0" w:space="0" w:color="auto"/>
        <w:right w:val="none" w:sz="0" w:space="0" w:color="auto"/>
      </w:divBdr>
    </w:div>
    <w:div w:id="541752271">
      <w:bodyDiv w:val="1"/>
      <w:marLeft w:val="0"/>
      <w:marRight w:val="0"/>
      <w:marTop w:val="0"/>
      <w:marBottom w:val="0"/>
      <w:divBdr>
        <w:top w:val="none" w:sz="0" w:space="0" w:color="auto"/>
        <w:left w:val="none" w:sz="0" w:space="0" w:color="auto"/>
        <w:bottom w:val="none" w:sz="0" w:space="0" w:color="auto"/>
        <w:right w:val="none" w:sz="0" w:space="0" w:color="auto"/>
      </w:divBdr>
    </w:div>
    <w:div w:id="693307556">
      <w:bodyDiv w:val="1"/>
      <w:marLeft w:val="0"/>
      <w:marRight w:val="0"/>
      <w:marTop w:val="0"/>
      <w:marBottom w:val="0"/>
      <w:divBdr>
        <w:top w:val="none" w:sz="0" w:space="0" w:color="auto"/>
        <w:left w:val="none" w:sz="0" w:space="0" w:color="auto"/>
        <w:bottom w:val="none" w:sz="0" w:space="0" w:color="auto"/>
        <w:right w:val="none" w:sz="0" w:space="0" w:color="auto"/>
      </w:divBdr>
    </w:div>
    <w:div w:id="737822021">
      <w:bodyDiv w:val="1"/>
      <w:marLeft w:val="0"/>
      <w:marRight w:val="0"/>
      <w:marTop w:val="0"/>
      <w:marBottom w:val="0"/>
      <w:divBdr>
        <w:top w:val="none" w:sz="0" w:space="0" w:color="auto"/>
        <w:left w:val="none" w:sz="0" w:space="0" w:color="auto"/>
        <w:bottom w:val="none" w:sz="0" w:space="0" w:color="auto"/>
        <w:right w:val="none" w:sz="0" w:space="0" w:color="auto"/>
      </w:divBdr>
    </w:div>
    <w:div w:id="784428423">
      <w:bodyDiv w:val="1"/>
      <w:marLeft w:val="0"/>
      <w:marRight w:val="0"/>
      <w:marTop w:val="0"/>
      <w:marBottom w:val="0"/>
      <w:divBdr>
        <w:top w:val="none" w:sz="0" w:space="0" w:color="auto"/>
        <w:left w:val="none" w:sz="0" w:space="0" w:color="auto"/>
        <w:bottom w:val="none" w:sz="0" w:space="0" w:color="auto"/>
        <w:right w:val="none" w:sz="0" w:space="0" w:color="auto"/>
      </w:divBdr>
    </w:div>
    <w:div w:id="786895840">
      <w:bodyDiv w:val="1"/>
      <w:marLeft w:val="0"/>
      <w:marRight w:val="0"/>
      <w:marTop w:val="0"/>
      <w:marBottom w:val="0"/>
      <w:divBdr>
        <w:top w:val="none" w:sz="0" w:space="0" w:color="auto"/>
        <w:left w:val="none" w:sz="0" w:space="0" w:color="auto"/>
        <w:bottom w:val="none" w:sz="0" w:space="0" w:color="auto"/>
        <w:right w:val="none" w:sz="0" w:space="0" w:color="auto"/>
      </w:divBdr>
    </w:div>
    <w:div w:id="793713330">
      <w:bodyDiv w:val="1"/>
      <w:marLeft w:val="0"/>
      <w:marRight w:val="0"/>
      <w:marTop w:val="0"/>
      <w:marBottom w:val="0"/>
      <w:divBdr>
        <w:top w:val="none" w:sz="0" w:space="0" w:color="auto"/>
        <w:left w:val="none" w:sz="0" w:space="0" w:color="auto"/>
        <w:bottom w:val="none" w:sz="0" w:space="0" w:color="auto"/>
        <w:right w:val="none" w:sz="0" w:space="0" w:color="auto"/>
      </w:divBdr>
    </w:div>
    <w:div w:id="821628751">
      <w:bodyDiv w:val="1"/>
      <w:marLeft w:val="0"/>
      <w:marRight w:val="0"/>
      <w:marTop w:val="0"/>
      <w:marBottom w:val="0"/>
      <w:divBdr>
        <w:top w:val="none" w:sz="0" w:space="0" w:color="auto"/>
        <w:left w:val="none" w:sz="0" w:space="0" w:color="auto"/>
        <w:bottom w:val="none" w:sz="0" w:space="0" w:color="auto"/>
        <w:right w:val="none" w:sz="0" w:space="0" w:color="auto"/>
      </w:divBdr>
    </w:div>
    <w:div w:id="965814358">
      <w:bodyDiv w:val="1"/>
      <w:marLeft w:val="0"/>
      <w:marRight w:val="0"/>
      <w:marTop w:val="0"/>
      <w:marBottom w:val="0"/>
      <w:divBdr>
        <w:top w:val="none" w:sz="0" w:space="0" w:color="auto"/>
        <w:left w:val="none" w:sz="0" w:space="0" w:color="auto"/>
        <w:bottom w:val="none" w:sz="0" w:space="0" w:color="auto"/>
        <w:right w:val="none" w:sz="0" w:space="0" w:color="auto"/>
      </w:divBdr>
    </w:div>
    <w:div w:id="1000087557">
      <w:bodyDiv w:val="1"/>
      <w:marLeft w:val="0"/>
      <w:marRight w:val="0"/>
      <w:marTop w:val="0"/>
      <w:marBottom w:val="0"/>
      <w:divBdr>
        <w:top w:val="none" w:sz="0" w:space="0" w:color="auto"/>
        <w:left w:val="none" w:sz="0" w:space="0" w:color="auto"/>
        <w:bottom w:val="none" w:sz="0" w:space="0" w:color="auto"/>
        <w:right w:val="none" w:sz="0" w:space="0" w:color="auto"/>
      </w:divBdr>
    </w:div>
    <w:div w:id="1227648609">
      <w:bodyDiv w:val="1"/>
      <w:marLeft w:val="0"/>
      <w:marRight w:val="0"/>
      <w:marTop w:val="0"/>
      <w:marBottom w:val="0"/>
      <w:divBdr>
        <w:top w:val="none" w:sz="0" w:space="0" w:color="auto"/>
        <w:left w:val="none" w:sz="0" w:space="0" w:color="auto"/>
        <w:bottom w:val="none" w:sz="0" w:space="0" w:color="auto"/>
        <w:right w:val="none" w:sz="0" w:space="0" w:color="auto"/>
      </w:divBdr>
    </w:div>
    <w:div w:id="1237782326">
      <w:bodyDiv w:val="1"/>
      <w:marLeft w:val="0"/>
      <w:marRight w:val="0"/>
      <w:marTop w:val="0"/>
      <w:marBottom w:val="0"/>
      <w:divBdr>
        <w:top w:val="none" w:sz="0" w:space="0" w:color="auto"/>
        <w:left w:val="none" w:sz="0" w:space="0" w:color="auto"/>
        <w:bottom w:val="none" w:sz="0" w:space="0" w:color="auto"/>
        <w:right w:val="none" w:sz="0" w:space="0" w:color="auto"/>
      </w:divBdr>
    </w:div>
    <w:div w:id="1242107392">
      <w:bodyDiv w:val="1"/>
      <w:marLeft w:val="0"/>
      <w:marRight w:val="0"/>
      <w:marTop w:val="0"/>
      <w:marBottom w:val="0"/>
      <w:divBdr>
        <w:top w:val="none" w:sz="0" w:space="0" w:color="auto"/>
        <w:left w:val="none" w:sz="0" w:space="0" w:color="auto"/>
        <w:bottom w:val="none" w:sz="0" w:space="0" w:color="auto"/>
        <w:right w:val="none" w:sz="0" w:space="0" w:color="auto"/>
      </w:divBdr>
    </w:div>
    <w:div w:id="1257398649">
      <w:bodyDiv w:val="1"/>
      <w:marLeft w:val="0"/>
      <w:marRight w:val="0"/>
      <w:marTop w:val="0"/>
      <w:marBottom w:val="0"/>
      <w:divBdr>
        <w:top w:val="none" w:sz="0" w:space="0" w:color="auto"/>
        <w:left w:val="none" w:sz="0" w:space="0" w:color="auto"/>
        <w:bottom w:val="none" w:sz="0" w:space="0" w:color="auto"/>
        <w:right w:val="none" w:sz="0" w:space="0" w:color="auto"/>
      </w:divBdr>
    </w:div>
    <w:div w:id="1322655018">
      <w:bodyDiv w:val="1"/>
      <w:marLeft w:val="0"/>
      <w:marRight w:val="0"/>
      <w:marTop w:val="0"/>
      <w:marBottom w:val="0"/>
      <w:divBdr>
        <w:top w:val="none" w:sz="0" w:space="0" w:color="auto"/>
        <w:left w:val="none" w:sz="0" w:space="0" w:color="auto"/>
        <w:bottom w:val="none" w:sz="0" w:space="0" w:color="auto"/>
        <w:right w:val="none" w:sz="0" w:space="0" w:color="auto"/>
      </w:divBdr>
    </w:div>
    <w:div w:id="1333142309">
      <w:bodyDiv w:val="1"/>
      <w:marLeft w:val="0"/>
      <w:marRight w:val="0"/>
      <w:marTop w:val="0"/>
      <w:marBottom w:val="0"/>
      <w:divBdr>
        <w:top w:val="none" w:sz="0" w:space="0" w:color="auto"/>
        <w:left w:val="none" w:sz="0" w:space="0" w:color="auto"/>
        <w:bottom w:val="none" w:sz="0" w:space="0" w:color="auto"/>
        <w:right w:val="none" w:sz="0" w:space="0" w:color="auto"/>
      </w:divBdr>
    </w:div>
    <w:div w:id="1387031130">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398212816">
      <w:bodyDiv w:val="1"/>
      <w:marLeft w:val="0"/>
      <w:marRight w:val="0"/>
      <w:marTop w:val="0"/>
      <w:marBottom w:val="0"/>
      <w:divBdr>
        <w:top w:val="none" w:sz="0" w:space="0" w:color="auto"/>
        <w:left w:val="none" w:sz="0" w:space="0" w:color="auto"/>
        <w:bottom w:val="none" w:sz="0" w:space="0" w:color="auto"/>
        <w:right w:val="none" w:sz="0" w:space="0" w:color="auto"/>
      </w:divBdr>
    </w:div>
    <w:div w:id="1463690512">
      <w:bodyDiv w:val="1"/>
      <w:marLeft w:val="0"/>
      <w:marRight w:val="0"/>
      <w:marTop w:val="0"/>
      <w:marBottom w:val="0"/>
      <w:divBdr>
        <w:top w:val="none" w:sz="0" w:space="0" w:color="auto"/>
        <w:left w:val="none" w:sz="0" w:space="0" w:color="auto"/>
        <w:bottom w:val="none" w:sz="0" w:space="0" w:color="auto"/>
        <w:right w:val="none" w:sz="0" w:space="0" w:color="auto"/>
      </w:divBdr>
    </w:div>
    <w:div w:id="1495991831">
      <w:bodyDiv w:val="1"/>
      <w:marLeft w:val="0"/>
      <w:marRight w:val="0"/>
      <w:marTop w:val="0"/>
      <w:marBottom w:val="0"/>
      <w:divBdr>
        <w:top w:val="none" w:sz="0" w:space="0" w:color="auto"/>
        <w:left w:val="none" w:sz="0" w:space="0" w:color="auto"/>
        <w:bottom w:val="none" w:sz="0" w:space="0" w:color="auto"/>
        <w:right w:val="none" w:sz="0" w:space="0" w:color="auto"/>
      </w:divBdr>
    </w:div>
    <w:div w:id="1522431447">
      <w:bodyDiv w:val="1"/>
      <w:marLeft w:val="0"/>
      <w:marRight w:val="0"/>
      <w:marTop w:val="0"/>
      <w:marBottom w:val="0"/>
      <w:divBdr>
        <w:top w:val="none" w:sz="0" w:space="0" w:color="auto"/>
        <w:left w:val="none" w:sz="0" w:space="0" w:color="auto"/>
        <w:bottom w:val="none" w:sz="0" w:space="0" w:color="auto"/>
        <w:right w:val="none" w:sz="0" w:space="0" w:color="auto"/>
      </w:divBdr>
    </w:div>
    <w:div w:id="1572888198">
      <w:bodyDiv w:val="1"/>
      <w:marLeft w:val="0"/>
      <w:marRight w:val="0"/>
      <w:marTop w:val="0"/>
      <w:marBottom w:val="0"/>
      <w:divBdr>
        <w:top w:val="none" w:sz="0" w:space="0" w:color="auto"/>
        <w:left w:val="none" w:sz="0" w:space="0" w:color="auto"/>
        <w:bottom w:val="none" w:sz="0" w:space="0" w:color="auto"/>
        <w:right w:val="none" w:sz="0" w:space="0" w:color="auto"/>
      </w:divBdr>
    </w:div>
    <w:div w:id="1605917129">
      <w:bodyDiv w:val="1"/>
      <w:marLeft w:val="0"/>
      <w:marRight w:val="0"/>
      <w:marTop w:val="0"/>
      <w:marBottom w:val="0"/>
      <w:divBdr>
        <w:top w:val="none" w:sz="0" w:space="0" w:color="auto"/>
        <w:left w:val="none" w:sz="0" w:space="0" w:color="auto"/>
        <w:bottom w:val="none" w:sz="0" w:space="0" w:color="auto"/>
        <w:right w:val="none" w:sz="0" w:space="0" w:color="auto"/>
      </w:divBdr>
    </w:div>
    <w:div w:id="1623998563">
      <w:bodyDiv w:val="1"/>
      <w:marLeft w:val="0"/>
      <w:marRight w:val="0"/>
      <w:marTop w:val="0"/>
      <w:marBottom w:val="0"/>
      <w:divBdr>
        <w:top w:val="none" w:sz="0" w:space="0" w:color="auto"/>
        <w:left w:val="none" w:sz="0" w:space="0" w:color="auto"/>
        <w:bottom w:val="none" w:sz="0" w:space="0" w:color="auto"/>
        <w:right w:val="none" w:sz="0" w:space="0" w:color="auto"/>
      </w:divBdr>
    </w:div>
    <w:div w:id="1626810275">
      <w:bodyDiv w:val="1"/>
      <w:marLeft w:val="0"/>
      <w:marRight w:val="0"/>
      <w:marTop w:val="0"/>
      <w:marBottom w:val="0"/>
      <w:divBdr>
        <w:top w:val="none" w:sz="0" w:space="0" w:color="auto"/>
        <w:left w:val="none" w:sz="0" w:space="0" w:color="auto"/>
        <w:bottom w:val="none" w:sz="0" w:space="0" w:color="auto"/>
        <w:right w:val="none" w:sz="0" w:space="0" w:color="auto"/>
      </w:divBdr>
    </w:div>
    <w:div w:id="1717847827">
      <w:bodyDiv w:val="1"/>
      <w:marLeft w:val="0"/>
      <w:marRight w:val="0"/>
      <w:marTop w:val="0"/>
      <w:marBottom w:val="0"/>
      <w:divBdr>
        <w:top w:val="none" w:sz="0" w:space="0" w:color="auto"/>
        <w:left w:val="none" w:sz="0" w:space="0" w:color="auto"/>
        <w:bottom w:val="none" w:sz="0" w:space="0" w:color="auto"/>
        <w:right w:val="none" w:sz="0" w:space="0" w:color="auto"/>
      </w:divBdr>
    </w:div>
    <w:div w:id="1794787384">
      <w:bodyDiv w:val="1"/>
      <w:marLeft w:val="0"/>
      <w:marRight w:val="0"/>
      <w:marTop w:val="0"/>
      <w:marBottom w:val="0"/>
      <w:divBdr>
        <w:top w:val="none" w:sz="0" w:space="0" w:color="auto"/>
        <w:left w:val="none" w:sz="0" w:space="0" w:color="auto"/>
        <w:bottom w:val="none" w:sz="0" w:space="0" w:color="auto"/>
        <w:right w:val="none" w:sz="0" w:space="0" w:color="auto"/>
      </w:divBdr>
    </w:div>
    <w:div w:id="1796363935">
      <w:bodyDiv w:val="1"/>
      <w:marLeft w:val="0"/>
      <w:marRight w:val="0"/>
      <w:marTop w:val="0"/>
      <w:marBottom w:val="0"/>
      <w:divBdr>
        <w:top w:val="none" w:sz="0" w:space="0" w:color="auto"/>
        <w:left w:val="none" w:sz="0" w:space="0" w:color="auto"/>
        <w:bottom w:val="none" w:sz="0" w:space="0" w:color="auto"/>
        <w:right w:val="none" w:sz="0" w:space="0" w:color="auto"/>
      </w:divBdr>
    </w:div>
    <w:div w:id="1837765702">
      <w:bodyDiv w:val="1"/>
      <w:marLeft w:val="0"/>
      <w:marRight w:val="0"/>
      <w:marTop w:val="0"/>
      <w:marBottom w:val="0"/>
      <w:divBdr>
        <w:top w:val="none" w:sz="0" w:space="0" w:color="auto"/>
        <w:left w:val="none" w:sz="0" w:space="0" w:color="auto"/>
        <w:bottom w:val="none" w:sz="0" w:space="0" w:color="auto"/>
        <w:right w:val="none" w:sz="0" w:space="0" w:color="auto"/>
      </w:divBdr>
    </w:div>
    <w:div w:id="1967739948">
      <w:bodyDiv w:val="1"/>
      <w:marLeft w:val="0"/>
      <w:marRight w:val="0"/>
      <w:marTop w:val="0"/>
      <w:marBottom w:val="0"/>
      <w:divBdr>
        <w:top w:val="none" w:sz="0" w:space="0" w:color="auto"/>
        <w:left w:val="none" w:sz="0" w:space="0" w:color="auto"/>
        <w:bottom w:val="none" w:sz="0" w:space="0" w:color="auto"/>
        <w:right w:val="none" w:sz="0" w:space="0" w:color="auto"/>
      </w:divBdr>
    </w:div>
    <w:div w:id="1978105804">
      <w:bodyDiv w:val="1"/>
      <w:marLeft w:val="0"/>
      <w:marRight w:val="0"/>
      <w:marTop w:val="0"/>
      <w:marBottom w:val="0"/>
      <w:divBdr>
        <w:top w:val="none" w:sz="0" w:space="0" w:color="auto"/>
        <w:left w:val="none" w:sz="0" w:space="0" w:color="auto"/>
        <w:bottom w:val="none" w:sz="0" w:space="0" w:color="auto"/>
        <w:right w:val="none" w:sz="0" w:space="0" w:color="auto"/>
      </w:divBdr>
    </w:div>
    <w:div w:id="20762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 Custom">
      <a:dk1>
        <a:srgbClr val="272727"/>
      </a:dk1>
      <a:lt1>
        <a:srgbClr val="FFFFFF"/>
      </a:lt1>
      <a:dk2>
        <a:srgbClr val="272727"/>
      </a:dk2>
      <a:lt2>
        <a:srgbClr val="CCCCCC"/>
      </a:lt2>
      <a:accent1>
        <a:srgbClr val="175E95"/>
      </a:accent1>
      <a:accent2>
        <a:srgbClr val="1F8FC1"/>
      </a:accent2>
      <a:accent3>
        <a:srgbClr val="69ACC7"/>
      </a:accent3>
      <a:accent4>
        <a:srgbClr val="95C6DF"/>
      </a:accent4>
      <a:accent5>
        <a:srgbClr val="DFA536"/>
      </a:accent5>
      <a:accent6>
        <a:srgbClr val="E07423"/>
      </a:accent6>
      <a:hlink>
        <a:srgbClr val="1F37B1"/>
      </a:hlink>
      <a:folHlink>
        <a:srgbClr val="1542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C38F59EE9A634286BA8691B18D1796" ma:contentTypeVersion="13" ma:contentTypeDescription="Create a new document." ma:contentTypeScope="" ma:versionID="727c036d7bc32b1e51d820446ab61b71">
  <xsd:schema xmlns:xsd="http://www.w3.org/2001/XMLSchema" xmlns:xs="http://www.w3.org/2001/XMLSchema" xmlns:p="http://schemas.microsoft.com/office/2006/metadata/properties" xmlns:ns3="19929a56-2e7e-441b-97ae-0acdcf76fc27" xmlns:ns4="8f95687c-7f2e-4dbc-baff-1eacb9adf4eb" targetNamespace="http://schemas.microsoft.com/office/2006/metadata/properties" ma:root="true" ma:fieldsID="755ffef407047ac123d369caa1a607af" ns3:_="" ns4:_="">
    <xsd:import namespace="19929a56-2e7e-441b-97ae-0acdcf76fc27"/>
    <xsd:import namespace="8f95687c-7f2e-4dbc-baff-1eacb9adf4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29a56-2e7e-441b-97ae-0acdcf76f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5687c-7f2e-4dbc-baff-1eacb9adf4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55F9C-E9D9-4CBF-81FE-CA164B505378}">
  <ds:schemaRefs>
    <ds:schemaRef ds:uri="http://schemas.microsoft.com/sharepoint/v3/contenttype/forms"/>
  </ds:schemaRefs>
</ds:datastoreItem>
</file>

<file path=customXml/itemProps2.xml><?xml version="1.0" encoding="utf-8"?>
<ds:datastoreItem xmlns:ds="http://schemas.openxmlformats.org/officeDocument/2006/customXml" ds:itemID="{BDFB4CA8-4289-4A18-BC84-F5A56059E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29a56-2e7e-441b-97ae-0acdcf76fc27"/>
    <ds:schemaRef ds:uri="8f95687c-7f2e-4dbc-baff-1eacb9adf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41C9D4-3910-46D5-8552-F0244E51A548}">
  <ds:schemaRefs>
    <ds:schemaRef ds:uri="http://purl.org/dc/terms/"/>
    <ds:schemaRef ds:uri="http://purl.org/dc/elements/1.1/"/>
    <ds:schemaRef ds:uri="http://schemas.openxmlformats.org/package/2006/metadata/core-properties"/>
    <ds:schemaRef ds:uri="8f95687c-7f2e-4dbc-baff-1eacb9adf4eb"/>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19929a56-2e7e-441b-97ae-0acdcf76fc27"/>
    <ds:schemaRef ds:uri="http://purl.org/dc/dcmitype/"/>
  </ds:schemaRefs>
</ds:datastoreItem>
</file>

<file path=customXml/itemProps4.xml><?xml version="1.0" encoding="utf-8"?>
<ds:datastoreItem xmlns:ds="http://schemas.openxmlformats.org/officeDocument/2006/customXml" ds:itemID="{60625D29-FA2C-42B0-A963-CED83E727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3276</Characters>
  <Application>Microsoft Office Word</Application>
  <DocSecurity>0</DocSecurity>
  <Lines>52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Brown, Brittney (AssetMark)</cp:lastModifiedBy>
  <cp:revision>3</cp:revision>
  <cp:lastPrinted>2018-06-28T23:05:00Z</cp:lastPrinted>
  <dcterms:created xsi:type="dcterms:W3CDTF">2022-01-25T21:05:00Z</dcterms:created>
  <dcterms:modified xsi:type="dcterms:W3CDTF">2022-01-25T23:29:00Z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0x01010024C38F59EE9A634286BA8691B18D1796</vt:lpwstr>
  </property>
</Properties>
</file>