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text" w:horzAnchor="page" w:tblpX="8641" w:tblpY="-791"/>
        <w:tblW w:w="2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96"/>
      </w:tblGrid>
      <w:tr w:rsidR="00331D05" w:rsidRPr="008B4A8A" w14:paraId="5013F86E" w14:textId="77777777" w:rsidTr="003C650F">
        <w:trPr>
          <w:trHeight w:val="1610"/>
        </w:trPr>
        <w:tc>
          <w:tcPr>
            <w:tcW w:w="2896" w:type="dxa"/>
          </w:tcPr>
          <w:p w14:paraId="4939F90B" w14:textId="4B9B2E96" w:rsidR="00331D05" w:rsidRPr="008B4A8A" w:rsidRDefault="00DA0C06" w:rsidP="006B71AD">
            <w:pPr>
              <w:pStyle w:val="NoSpacing"/>
            </w:pPr>
            <w:sdt>
              <w:sdtPr>
                <w:id w:val="-1100404251"/>
                <w:showingPlcHdr/>
                <w:picture/>
              </w:sdtPr>
              <w:sdtEndPr/>
              <w:sdtContent>
                <w:r w:rsidR="00331D05" w:rsidRPr="008B4A8A">
                  <w:rPr>
                    <w:noProof/>
                  </w:rPr>
                  <w:drawing>
                    <wp:inline distT="0" distB="0" distL="0" distR="0" wp14:anchorId="292E8135" wp14:editId="781FA1A5">
                      <wp:extent cx="1828800" cy="91440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sdtContent>
            </w:sdt>
          </w:p>
        </w:tc>
      </w:tr>
    </w:tbl>
    <w:p w14:paraId="0CC3231F" w14:textId="7D45EB37" w:rsidR="004B1C5E" w:rsidRDefault="004B1C5E" w:rsidP="00996FBD">
      <w:pPr>
        <w:spacing w:after="0"/>
        <w:ind w:left="-720" w:right="-720"/>
        <w:rPr>
          <w:rFonts w:ascii="Arial" w:hAnsi="Arial" w:cs="Arial"/>
          <w:b/>
          <w:color w:val="0070C0"/>
          <w:sz w:val="20"/>
          <w:szCs w:val="20"/>
        </w:rPr>
      </w:pPr>
    </w:p>
    <w:p w14:paraId="35272551" w14:textId="1121D204" w:rsidR="004B1C5E" w:rsidRDefault="004B1C5E" w:rsidP="00996FBD">
      <w:pPr>
        <w:spacing w:after="0"/>
        <w:ind w:left="-720" w:right="-720"/>
        <w:rPr>
          <w:rFonts w:ascii="Arial" w:hAnsi="Arial" w:cs="Arial"/>
          <w:b/>
          <w:color w:val="0070C0"/>
          <w:sz w:val="20"/>
          <w:szCs w:val="20"/>
        </w:rPr>
      </w:pPr>
    </w:p>
    <w:p w14:paraId="39CF7216" w14:textId="39F1FB55" w:rsidR="004B1C5E" w:rsidRDefault="004B1C5E" w:rsidP="00996FBD">
      <w:pPr>
        <w:spacing w:after="0"/>
        <w:ind w:left="-720" w:right="-720"/>
        <w:rPr>
          <w:rFonts w:ascii="Arial" w:hAnsi="Arial" w:cs="Arial"/>
          <w:b/>
          <w:color w:val="0070C0"/>
          <w:sz w:val="20"/>
          <w:szCs w:val="20"/>
        </w:rPr>
      </w:pPr>
    </w:p>
    <w:p w14:paraId="665891C7" w14:textId="456F761D" w:rsidR="004B1C5E" w:rsidRDefault="004B1C5E" w:rsidP="00B11B9E">
      <w:pPr>
        <w:spacing w:after="0"/>
        <w:ind w:right="-720"/>
        <w:rPr>
          <w:rFonts w:ascii="Arial" w:hAnsi="Arial" w:cs="Arial"/>
          <w:b/>
          <w:color w:val="0070C0"/>
          <w:sz w:val="20"/>
          <w:szCs w:val="20"/>
        </w:rPr>
      </w:pPr>
    </w:p>
    <w:p w14:paraId="6EDD6CB0" w14:textId="05A8D33C" w:rsidR="004B1C5E" w:rsidRDefault="004B1C5E" w:rsidP="00996FBD">
      <w:pPr>
        <w:spacing w:after="0"/>
        <w:ind w:left="-720" w:right="-720"/>
        <w:rPr>
          <w:rFonts w:ascii="Arial" w:hAnsi="Arial" w:cs="Arial"/>
          <w:b/>
          <w:color w:val="0070C0"/>
          <w:sz w:val="20"/>
          <w:szCs w:val="20"/>
        </w:rPr>
      </w:pPr>
    </w:p>
    <w:p w14:paraId="2D4D09DF" w14:textId="0293DE33" w:rsidR="0017224E" w:rsidRPr="00586AAD" w:rsidRDefault="004D224E" w:rsidP="003754C3">
      <w:pPr>
        <w:tabs>
          <w:tab w:val="left" w:pos="8895"/>
          <w:tab w:val="left" w:pos="9135"/>
        </w:tabs>
        <w:spacing w:after="240"/>
        <w:ind w:left="-360" w:right="-720" w:hanging="360"/>
        <w:rPr>
          <w:rFonts w:ascii="Arial" w:hAnsi="Arial" w:cs="Arial"/>
          <w:color w:val="175E95" w:themeColor="accent1"/>
          <w:sz w:val="48"/>
          <w:szCs w:val="20"/>
        </w:rPr>
        <w:sectPr w:rsidR="0017224E" w:rsidRPr="00586AAD" w:rsidSect="00445821">
          <w:headerReference w:type="default" r:id="rId12"/>
          <w:footerReference w:type="even" r:id="rId13"/>
          <w:footerReference w:type="default" r:id="rId14"/>
          <w:headerReference w:type="first" r:id="rId15"/>
          <w:footerReference w:type="first" r:id="rId16"/>
          <w:pgSz w:w="12240" w:h="15840"/>
          <w:pgMar w:top="-1656" w:right="1440" w:bottom="1512" w:left="1440" w:header="0" w:footer="720" w:gutter="0"/>
          <w:cols w:space="720"/>
          <w:titlePg/>
          <w:docGrid w:linePitch="360"/>
        </w:sectPr>
      </w:pPr>
      <w:r>
        <w:rPr>
          <w:rFonts w:ascii="Arial" w:hAnsi="Arial" w:cs="Arial"/>
          <w:color w:val="175E95" w:themeColor="accent1"/>
          <w:sz w:val="48"/>
          <w:szCs w:val="20"/>
        </w:rPr>
        <w:t>Is t</w:t>
      </w:r>
      <w:r w:rsidR="00702D6A">
        <w:rPr>
          <w:rFonts w:ascii="Arial" w:hAnsi="Arial" w:cs="Arial"/>
          <w:color w:val="175E95" w:themeColor="accent1"/>
          <w:sz w:val="48"/>
          <w:szCs w:val="20"/>
        </w:rPr>
        <w:t>he</w:t>
      </w:r>
      <w:r>
        <w:rPr>
          <w:rFonts w:ascii="Arial" w:hAnsi="Arial" w:cs="Arial"/>
          <w:color w:val="175E95" w:themeColor="accent1"/>
          <w:sz w:val="48"/>
          <w:szCs w:val="20"/>
        </w:rPr>
        <w:t xml:space="preserve"> 60/40 </w:t>
      </w:r>
      <w:r w:rsidR="00532BDB">
        <w:rPr>
          <w:rFonts w:ascii="Arial" w:hAnsi="Arial" w:cs="Arial"/>
          <w:color w:val="175E95" w:themeColor="accent1"/>
          <w:sz w:val="48"/>
          <w:szCs w:val="20"/>
        </w:rPr>
        <w:t xml:space="preserve">Portfolio Dead </w:t>
      </w:r>
      <w:r>
        <w:rPr>
          <w:rFonts w:ascii="Arial" w:hAnsi="Arial" w:cs="Arial"/>
          <w:color w:val="175E95" w:themeColor="accent1"/>
          <w:sz w:val="48"/>
          <w:szCs w:val="20"/>
        </w:rPr>
        <w:t xml:space="preserve">or </w:t>
      </w:r>
      <w:r w:rsidR="00532BDB">
        <w:rPr>
          <w:rFonts w:ascii="Arial" w:hAnsi="Arial" w:cs="Arial"/>
          <w:color w:val="175E95" w:themeColor="accent1"/>
          <w:sz w:val="48"/>
          <w:szCs w:val="20"/>
        </w:rPr>
        <w:t>Just Dazed</w:t>
      </w:r>
      <w:r>
        <w:rPr>
          <w:rFonts w:ascii="Arial" w:hAnsi="Arial" w:cs="Arial"/>
          <w:color w:val="175E95" w:themeColor="accent1"/>
          <w:sz w:val="48"/>
          <w:szCs w:val="20"/>
        </w:rPr>
        <w:t>?</w:t>
      </w:r>
    </w:p>
    <w:p w14:paraId="2627FE5D" w14:textId="77777777" w:rsidR="00E45291" w:rsidRDefault="00E45291" w:rsidP="00E45291">
      <w:pPr>
        <w:spacing w:before="120" w:after="0"/>
        <w:ind w:left="-360" w:right="-720" w:hanging="360"/>
        <w:rPr>
          <w:rFonts w:ascii="Arial" w:hAnsi="Arial" w:cs="Arial"/>
          <w:b/>
          <w:color w:val="1F8FC1" w:themeColor="accent2"/>
          <w:sz w:val="32"/>
          <w:szCs w:val="20"/>
        </w:rPr>
      </w:pPr>
      <w:r w:rsidRPr="002E0AA7">
        <w:rPr>
          <w:rFonts w:ascii="Arial" w:hAnsi="Arial" w:cs="Arial"/>
          <w:b/>
          <w:color w:val="1F8FC1" w:themeColor="accent2"/>
          <w:sz w:val="32"/>
          <w:szCs w:val="20"/>
        </w:rPr>
        <w:t>Key Takeaways</w:t>
      </w:r>
    </w:p>
    <w:p w14:paraId="74067AD6" w14:textId="40B947A5" w:rsidR="00F7788F" w:rsidRPr="009C31EB" w:rsidRDefault="00F7788F" w:rsidP="00463A82">
      <w:pPr>
        <w:numPr>
          <w:ilvl w:val="0"/>
          <w:numId w:val="2"/>
        </w:numPr>
        <w:autoSpaceDE w:val="0"/>
        <w:autoSpaceDN w:val="0"/>
        <w:spacing w:after="240"/>
        <w:ind w:left="-360" w:right="-720"/>
        <w:rPr>
          <w:rFonts w:ascii="Arial" w:hAnsi="Arial" w:cs="Arial"/>
          <w:sz w:val="20"/>
          <w:szCs w:val="20"/>
        </w:rPr>
      </w:pPr>
      <w:r w:rsidRPr="009C31EB">
        <w:rPr>
          <w:rFonts w:ascii="Arial" w:hAnsi="Arial" w:cs="Arial"/>
          <w:sz w:val="20"/>
          <w:szCs w:val="20"/>
        </w:rPr>
        <w:t>2022 has dealt a blow to the 60/40 portfolio</w:t>
      </w:r>
      <w:r w:rsidR="00E45291" w:rsidRPr="009C31EB">
        <w:rPr>
          <w:rFonts w:ascii="Arial" w:hAnsi="Arial" w:cs="Arial"/>
          <w:sz w:val="20"/>
          <w:szCs w:val="20"/>
        </w:rPr>
        <w:t>.</w:t>
      </w:r>
      <w:r w:rsidRPr="009C31EB">
        <w:rPr>
          <w:rFonts w:ascii="Arial" w:hAnsi="Arial" w:cs="Arial"/>
          <w:sz w:val="20"/>
          <w:szCs w:val="20"/>
        </w:rPr>
        <w:t xml:space="preserve"> </w:t>
      </w:r>
      <w:r w:rsidRPr="00F7788F">
        <w:rPr>
          <w:rFonts w:ascii="Arial" w:hAnsi="Arial" w:cs="Arial"/>
          <w:sz w:val="20"/>
          <w:szCs w:val="20"/>
        </w:rPr>
        <w:t xml:space="preserve">While losses in </w:t>
      </w:r>
      <w:r w:rsidR="00532BDB">
        <w:rPr>
          <w:rFonts w:ascii="Arial" w:hAnsi="Arial" w:cs="Arial"/>
          <w:sz w:val="20"/>
          <w:szCs w:val="20"/>
        </w:rPr>
        <w:t xml:space="preserve">a </w:t>
      </w:r>
      <w:r w:rsidRPr="00F7788F">
        <w:rPr>
          <w:rFonts w:ascii="Arial" w:hAnsi="Arial" w:cs="Arial"/>
          <w:sz w:val="20"/>
          <w:szCs w:val="20"/>
        </w:rPr>
        <w:t xml:space="preserve">60/40 portfolio are not unusual, losses in stocks and bonds simultaneously are </w:t>
      </w:r>
      <w:r w:rsidR="008F73D1" w:rsidRPr="00F7788F">
        <w:rPr>
          <w:rFonts w:ascii="Arial" w:hAnsi="Arial" w:cs="Arial"/>
          <w:sz w:val="20"/>
          <w:szCs w:val="20"/>
        </w:rPr>
        <w:t>unusual</w:t>
      </w:r>
      <w:r w:rsidRPr="00F7788F">
        <w:rPr>
          <w:rFonts w:ascii="Arial" w:hAnsi="Arial" w:cs="Arial"/>
          <w:sz w:val="20"/>
          <w:szCs w:val="20"/>
        </w:rPr>
        <w:t>.</w:t>
      </w:r>
    </w:p>
    <w:p w14:paraId="758B7F1A" w14:textId="43BA0252" w:rsidR="00F7788F" w:rsidRPr="009C31EB" w:rsidRDefault="008351CE" w:rsidP="00463A82">
      <w:pPr>
        <w:numPr>
          <w:ilvl w:val="0"/>
          <w:numId w:val="2"/>
        </w:numPr>
        <w:autoSpaceDE w:val="0"/>
        <w:autoSpaceDN w:val="0"/>
        <w:spacing w:after="240"/>
        <w:ind w:left="-360" w:right="-720"/>
        <w:rPr>
          <w:rFonts w:ascii="Arial" w:hAnsi="Arial" w:cs="Arial"/>
          <w:sz w:val="20"/>
          <w:szCs w:val="20"/>
        </w:rPr>
      </w:pPr>
      <w:r w:rsidRPr="009C31EB">
        <w:rPr>
          <w:rFonts w:ascii="Arial" w:hAnsi="Arial" w:cs="Arial"/>
          <w:sz w:val="20"/>
          <w:szCs w:val="20"/>
        </w:rPr>
        <w:t xml:space="preserve">Since 1928, with nearly 100 years of track record, the 60/40 </w:t>
      </w:r>
      <w:r w:rsidR="00075B54" w:rsidRPr="009C31EB">
        <w:rPr>
          <w:rFonts w:ascii="Arial" w:hAnsi="Arial" w:cs="Arial"/>
          <w:sz w:val="20"/>
          <w:szCs w:val="20"/>
        </w:rPr>
        <w:t xml:space="preserve">portfolio </w:t>
      </w:r>
      <w:r w:rsidRPr="009C31EB">
        <w:rPr>
          <w:rFonts w:ascii="Arial" w:hAnsi="Arial" w:cs="Arial"/>
          <w:sz w:val="20"/>
          <w:szCs w:val="20"/>
        </w:rPr>
        <w:t xml:space="preserve">has never had a negative </w:t>
      </w:r>
      <w:r w:rsidR="008F73D1" w:rsidRPr="009C31EB">
        <w:rPr>
          <w:rFonts w:ascii="Arial" w:hAnsi="Arial" w:cs="Arial"/>
          <w:sz w:val="20"/>
          <w:szCs w:val="20"/>
        </w:rPr>
        <w:t xml:space="preserve">return </w:t>
      </w:r>
      <w:r w:rsidRPr="009C31EB">
        <w:rPr>
          <w:rFonts w:ascii="Arial" w:hAnsi="Arial" w:cs="Arial"/>
          <w:sz w:val="20"/>
          <w:szCs w:val="20"/>
        </w:rPr>
        <w:t>in any 10-year period.</w:t>
      </w:r>
    </w:p>
    <w:p w14:paraId="6710536E" w14:textId="51F7CABF" w:rsidR="00E45291" w:rsidRPr="009C31EB" w:rsidRDefault="008351CE" w:rsidP="00E45291">
      <w:pPr>
        <w:numPr>
          <w:ilvl w:val="0"/>
          <w:numId w:val="2"/>
        </w:numPr>
        <w:autoSpaceDE w:val="0"/>
        <w:autoSpaceDN w:val="0"/>
        <w:spacing w:after="240"/>
        <w:ind w:left="-360" w:right="-720"/>
        <w:rPr>
          <w:rFonts w:ascii="Arial" w:hAnsi="Arial" w:cs="Arial"/>
          <w:sz w:val="20"/>
          <w:szCs w:val="20"/>
        </w:rPr>
      </w:pPr>
      <w:r>
        <w:rPr>
          <w:rFonts w:ascii="Arial" w:hAnsi="Arial" w:cs="Arial"/>
          <w:sz w:val="20"/>
          <w:szCs w:val="20"/>
        </w:rPr>
        <w:t>Diversification benefits of a 60/40 portfolio are not dead</w:t>
      </w:r>
      <w:r w:rsidR="00075B54">
        <w:rPr>
          <w:rFonts w:ascii="Arial" w:hAnsi="Arial" w:cs="Arial"/>
          <w:sz w:val="20"/>
          <w:szCs w:val="20"/>
        </w:rPr>
        <w:t>,</w:t>
      </w:r>
      <w:r>
        <w:rPr>
          <w:rFonts w:ascii="Arial" w:hAnsi="Arial" w:cs="Arial"/>
          <w:sz w:val="20"/>
          <w:szCs w:val="20"/>
        </w:rPr>
        <w:t xml:space="preserve"> even if they are not working right now</w:t>
      </w:r>
      <w:r w:rsidR="00E45291">
        <w:rPr>
          <w:rFonts w:ascii="Arial" w:hAnsi="Arial" w:cs="Arial"/>
          <w:sz w:val="20"/>
          <w:szCs w:val="20"/>
        </w:rPr>
        <w:t>.</w:t>
      </w:r>
      <w:r>
        <w:rPr>
          <w:rFonts w:ascii="Arial" w:hAnsi="Arial" w:cs="Arial"/>
          <w:sz w:val="20"/>
          <w:szCs w:val="20"/>
        </w:rPr>
        <w:t xml:space="preserve"> </w:t>
      </w:r>
      <w:r w:rsidR="008F73D1">
        <w:rPr>
          <w:rFonts w:ascii="Arial" w:hAnsi="Arial" w:cs="Arial"/>
          <w:sz w:val="20"/>
          <w:szCs w:val="20"/>
        </w:rPr>
        <w:t>Today’s dislocations also offer opportunities for investors going forward.</w:t>
      </w:r>
    </w:p>
    <w:p w14:paraId="5D0CA8FE" w14:textId="2A06449F" w:rsidR="00283318" w:rsidRDefault="00CF32A4" w:rsidP="00283318">
      <w:pPr>
        <w:spacing w:after="120"/>
        <w:ind w:left="-720" w:right="-720"/>
        <w:rPr>
          <w:rFonts w:ascii="Arial" w:hAnsi="Arial" w:cs="Arial"/>
          <w:sz w:val="20"/>
          <w:szCs w:val="20"/>
        </w:rPr>
      </w:pPr>
      <w:r>
        <w:rPr>
          <w:rFonts w:ascii="Arial" w:hAnsi="Arial" w:cs="Arial"/>
          <w:sz w:val="20"/>
          <w:szCs w:val="20"/>
        </w:rPr>
        <w:t>2022 has</w:t>
      </w:r>
      <w:r w:rsidR="00702D6A">
        <w:rPr>
          <w:rFonts w:ascii="Arial" w:hAnsi="Arial" w:cs="Arial"/>
          <w:sz w:val="20"/>
          <w:szCs w:val="20"/>
        </w:rPr>
        <w:t xml:space="preserve"> been a tough year </w:t>
      </w:r>
      <w:r w:rsidR="00700399">
        <w:rPr>
          <w:rFonts w:ascii="Arial" w:hAnsi="Arial" w:cs="Arial"/>
          <w:sz w:val="20"/>
          <w:szCs w:val="20"/>
        </w:rPr>
        <w:t>for both stocks and bonds</w:t>
      </w:r>
      <w:r w:rsidR="00A41649">
        <w:rPr>
          <w:rFonts w:ascii="Arial" w:hAnsi="Arial" w:cs="Arial"/>
          <w:sz w:val="20"/>
          <w:szCs w:val="20"/>
        </w:rPr>
        <w:t>.</w:t>
      </w:r>
      <w:r w:rsidR="004E53B1">
        <w:rPr>
          <w:rFonts w:ascii="Arial" w:hAnsi="Arial" w:cs="Arial"/>
          <w:sz w:val="20"/>
          <w:szCs w:val="20"/>
        </w:rPr>
        <w:t xml:space="preserve"> </w:t>
      </w:r>
      <w:r w:rsidR="00700399">
        <w:rPr>
          <w:rFonts w:ascii="Arial" w:hAnsi="Arial" w:cs="Arial"/>
          <w:sz w:val="20"/>
          <w:szCs w:val="20"/>
        </w:rPr>
        <w:t>This synchronized selloff in stocks and bonds has dealt a blow to one of the most popular strategies for long-term investors: the 60/40 portfolio.</w:t>
      </w:r>
      <w:r w:rsidR="00EF6BC7">
        <w:rPr>
          <w:rStyle w:val="EndnoteReference"/>
          <w:rFonts w:ascii="Arial" w:hAnsi="Arial" w:cs="Arial"/>
          <w:sz w:val="20"/>
          <w:szCs w:val="20"/>
        </w:rPr>
        <w:endnoteReference w:id="1"/>
      </w:r>
      <w:r w:rsidR="00EF6BC7">
        <w:rPr>
          <w:rFonts w:ascii="Arial" w:hAnsi="Arial" w:cs="Arial"/>
          <w:sz w:val="20"/>
          <w:szCs w:val="20"/>
        </w:rPr>
        <w:t xml:space="preserve"> </w:t>
      </w:r>
      <w:r w:rsidR="001378C6">
        <w:rPr>
          <w:rFonts w:ascii="Arial" w:hAnsi="Arial" w:cs="Arial"/>
          <w:sz w:val="20"/>
          <w:szCs w:val="20"/>
        </w:rPr>
        <w:t>This</w:t>
      </w:r>
      <w:r w:rsidR="00700399">
        <w:rPr>
          <w:rFonts w:ascii="Arial" w:hAnsi="Arial" w:cs="Arial"/>
          <w:sz w:val="20"/>
          <w:szCs w:val="20"/>
        </w:rPr>
        <w:t xml:space="preserve"> portfolio is a mix of 60% stocks</w:t>
      </w:r>
      <w:r w:rsidR="00A41649">
        <w:rPr>
          <w:rFonts w:ascii="Arial" w:hAnsi="Arial" w:cs="Arial"/>
          <w:sz w:val="20"/>
          <w:szCs w:val="20"/>
        </w:rPr>
        <w:t xml:space="preserve"> </w:t>
      </w:r>
      <w:r w:rsidR="00700399">
        <w:rPr>
          <w:rFonts w:ascii="Arial" w:hAnsi="Arial" w:cs="Arial"/>
          <w:sz w:val="20"/>
          <w:szCs w:val="20"/>
        </w:rPr>
        <w:t>and 40% bonds</w:t>
      </w:r>
      <w:r w:rsidR="00EF6BC7">
        <w:rPr>
          <w:rFonts w:ascii="Arial" w:hAnsi="Arial" w:cs="Arial"/>
          <w:sz w:val="20"/>
          <w:szCs w:val="20"/>
        </w:rPr>
        <w:t xml:space="preserve">. </w:t>
      </w:r>
      <w:r w:rsidR="00283318">
        <w:rPr>
          <w:rFonts w:ascii="Arial" w:hAnsi="Arial" w:cs="Arial"/>
          <w:sz w:val="20"/>
          <w:szCs w:val="20"/>
        </w:rPr>
        <w:t>The pop</w:t>
      </w:r>
      <w:r w:rsidR="008351CE">
        <w:rPr>
          <w:rFonts w:ascii="Arial" w:hAnsi="Arial" w:cs="Arial"/>
          <w:sz w:val="20"/>
          <w:szCs w:val="20"/>
        </w:rPr>
        <w:t>u</w:t>
      </w:r>
      <w:r w:rsidR="00283318">
        <w:rPr>
          <w:rFonts w:ascii="Arial" w:hAnsi="Arial" w:cs="Arial"/>
          <w:sz w:val="20"/>
          <w:szCs w:val="20"/>
        </w:rPr>
        <w:t>larity behind the 60/40 portfolio stems from the key principle of diversification</w:t>
      </w:r>
      <w:r w:rsidR="00840365">
        <w:rPr>
          <w:rFonts w:ascii="Arial" w:hAnsi="Arial" w:cs="Arial"/>
          <w:sz w:val="20"/>
          <w:szCs w:val="20"/>
        </w:rPr>
        <w:t xml:space="preserve"> to</w:t>
      </w:r>
      <w:r w:rsidR="00283318">
        <w:rPr>
          <w:rFonts w:ascii="Arial" w:hAnsi="Arial" w:cs="Arial"/>
          <w:sz w:val="20"/>
          <w:szCs w:val="20"/>
        </w:rPr>
        <w:t xml:space="preserve"> seek growth potential from stocks while adding protection from conservative bonds</w:t>
      </w:r>
      <w:r w:rsidR="005C29C1">
        <w:rPr>
          <w:rFonts w:ascii="Arial" w:hAnsi="Arial" w:cs="Arial"/>
          <w:sz w:val="20"/>
          <w:szCs w:val="20"/>
        </w:rPr>
        <w:t xml:space="preserve"> for a more stable outcome over the long</w:t>
      </w:r>
      <w:r w:rsidR="00532BDB">
        <w:rPr>
          <w:rFonts w:ascii="Arial" w:hAnsi="Arial" w:cs="Arial"/>
          <w:sz w:val="20"/>
          <w:szCs w:val="20"/>
        </w:rPr>
        <w:t xml:space="preserve"> </w:t>
      </w:r>
      <w:r w:rsidR="005C29C1">
        <w:rPr>
          <w:rFonts w:ascii="Arial" w:hAnsi="Arial" w:cs="Arial"/>
          <w:sz w:val="20"/>
          <w:szCs w:val="20"/>
        </w:rPr>
        <w:t>term</w:t>
      </w:r>
      <w:r w:rsidR="00283318">
        <w:rPr>
          <w:rFonts w:ascii="Arial" w:hAnsi="Arial" w:cs="Arial"/>
          <w:sz w:val="20"/>
          <w:szCs w:val="20"/>
        </w:rPr>
        <w:t xml:space="preserve">. </w:t>
      </w:r>
    </w:p>
    <w:p w14:paraId="6480340A" w14:textId="5671B381" w:rsidR="00DE3493" w:rsidRDefault="00A41649" w:rsidP="000A760B">
      <w:pPr>
        <w:spacing w:after="120"/>
        <w:ind w:left="-720" w:right="-720"/>
        <w:rPr>
          <w:rFonts w:ascii="Arial" w:hAnsi="Arial" w:cs="Arial"/>
          <w:sz w:val="20"/>
          <w:szCs w:val="20"/>
        </w:rPr>
      </w:pPr>
      <w:r>
        <w:rPr>
          <w:rFonts w:ascii="Arial" w:hAnsi="Arial" w:cs="Arial"/>
          <w:sz w:val="20"/>
          <w:szCs w:val="20"/>
        </w:rPr>
        <w:t>Through the end of September 30, 2022, this portfolio</w:t>
      </w:r>
      <w:r w:rsidR="00692B59">
        <w:rPr>
          <w:rFonts w:ascii="Arial" w:hAnsi="Arial" w:cs="Arial"/>
          <w:sz w:val="20"/>
          <w:szCs w:val="20"/>
        </w:rPr>
        <w:t xml:space="preserve"> using 60% in S&amp;P 500 index and 40% in </w:t>
      </w:r>
      <w:bookmarkStart w:id="0" w:name="_Hlk116342221"/>
      <w:r w:rsidR="00692B59">
        <w:rPr>
          <w:rFonts w:ascii="Arial" w:hAnsi="Arial" w:cs="Arial"/>
          <w:sz w:val="20"/>
          <w:szCs w:val="20"/>
        </w:rPr>
        <w:t>Bloomberg US Aggregate Bond Index</w:t>
      </w:r>
      <w:bookmarkEnd w:id="0"/>
      <w:r w:rsidR="005C29C1">
        <w:rPr>
          <w:rFonts w:ascii="Arial" w:hAnsi="Arial" w:cs="Arial"/>
          <w:sz w:val="20"/>
          <w:szCs w:val="20"/>
        </w:rPr>
        <w:t>, the most commonly used bond index</w:t>
      </w:r>
      <w:r w:rsidR="00075B54">
        <w:rPr>
          <w:rFonts w:ascii="Arial" w:hAnsi="Arial" w:cs="Arial"/>
          <w:sz w:val="20"/>
          <w:szCs w:val="20"/>
        </w:rPr>
        <w:t>,</w:t>
      </w:r>
      <w:r>
        <w:rPr>
          <w:rFonts w:ascii="Arial" w:hAnsi="Arial" w:cs="Arial"/>
          <w:sz w:val="20"/>
          <w:szCs w:val="20"/>
        </w:rPr>
        <w:t xml:space="preserve"> </w:t>
      </w:r>
      <w:r w:rsidR="00700399">
        <w:rPr>
          <w:rFonts w:ascii="Arial" w:hAnsi="Arial" w:cs="Arial"/>
          <w:sz w:val="20"/>
          <w:szCs w:val="20"/>
        </w:rPr>
        <w:t xml:space="preserve">is down </w:t>
      </w:r>
      <w:r w:rsidR="004E53B1">
        <w:rPr>
          <w:rFonts w:ascii="Arial" w:hAnsi="Arial" w:cs="Arial"/>
          <w:sz w:val="20"/>
          <w:szCs w:val="20"/>
        </w:rPr>
        <w:t>roughly</w:t>
      </w:r>
      <w:r w:rsidR="00700399">
        <w:rPr>
          <w:rFonts w:ascii="Arial" w:hAnsi="Arial" w:cs="Arial"/>
          <w:sz w:val="20"/>
          <w:szCs w:val="20"/>
        </w:rPr>
        <w:t xml:space="preserve"> 20%</w:t>
      </w:r>
      <w:r w:rsidR="001378C6">
        <w:rPr>
          <w:rFonts w:ascii="Arial" w:hAnsi="Arial" w:cs="Arial"/>
          <w:sz w:val="20"/>
          <w:szCs w:val="20"/>
        </w:rPr>
        <w:t>.</w:t>
      </w:r>
      <w:r w:rsidR="00EF6BC7">
        <w:rPr>
          <w:rStyle w:val="EndnoteReference"/>
          <w:rFonts w:ascii="Arial" w:hAnsi="Arial" w:cs="Arial"/>
          <w:sz w:val="20"/>
          <w:szCs w:val="20"/>
        </w:rPr>
        <w:endnoteReference w:id="2"/>
      </w:r>
      <w:r w:rsidR="00B47A4C">
        <w:rPr>
          <w:rFonts w:ascii="Arial" w:hAnsi="Arial" w:cs="Arial"/>
          <w:sz w:val="20"/>
          <w:szCs w:val="20"/>
        </w:rPr>
        <w:t xml:space="preserve"> </w:t>
      </w:r>
      <w:r w:rsidR="004E53B1">
        <w:rPr>
          <w:rFonts w:ascii="Arial" w:hAnsi="Arial" w:cs="Arial"/>
          <w:sz w:val="20"/>
          <w:szCs w:val="20"/>
        </w:rPr>
        <w:t xml:space="preserve">With such a devasting year,  we explore if this is normal, </w:t>
      </w:r>
      <w:r w:rsidR="00CF32A4">
        <w:rPr>
          <w:rFonts w:ascii="Arial" w:hAnsi="Arial" w:cs="Arial"/>
          <w:sz w:val="20"/>
          <w:szCs w:val="20"/>
        </w:rPr>
        <w:t xml:space="preserve">just how bad </w:t>
      </w:r>
      <w:r w:rsidR="00532BDB">
        <w:rPr>
          <w:rFonts w:ascii="Arial" w:hAnsi="Arial" w:cs="Arial"/>
          <w:sz w:val="20"/>
          <w:szCs w:val="20"/>
        </w:rPr>
        <w:t>it can</w:t>
      </w:r>
      <w:r w:rsidR="00CF32A4">
        <w:rPr>
          <w:rFonts w:ascii="Arial" w:hAnsi="Arial" w:cs="Arial"/>
          <w:sz w:val="20"/>
          <w:szCs w:val="20"/>
        </w:rPr>
        <w:t xml:space="preserve"> get</w:t>
      </w:r>
      <w:r w:rsidR="00532BDB">
        <w:rPr>
          <w:rFonts w:ascii="Arial" w:hAnsi="Arial" w:cs="Arial"/>
          <w:sz w:val="20"/>
          <w:szCs w:val="20"/>
        </w:rPr>
        <w:t>,</w:t>
      </w:r>
      <w:r w:rsidR="00283318">
        <w:rPr>
          <w:rFonts w:ascii="Arial" w:hAnsi="Arial" w:cs="Arial"/>
          <w:sz w:val="20"/>
          <w:szCs w:val="20"/>
        </w:rPr>
        <w:t xml:space="preserve"> </w:t>
      </w:r>
      <w:r w:rsidR="004E53B1">
        <w:rPr>
          <w:rFonts w:ascii="Arial" w:hAnsi="Arial" w:cs="Arial"/>
          <w:sz w:val="20"/>
          <w:szCs w:val="20"/>
        </w:rPr>
        <w:t xml:space="preserve">and </w:t>
      </w:r>
      <w:r w:rsidR="008F73D1">
        <w:rPr>
          <w:rFonts w:ascii="Arial" w:hAnsi="Arial" w:cs="Arial"/>
          <w:sz w:val="20"/>
          <w:szCs w:val="20"/>
        </w:rPr>
        <w:t>what’s</w:t>
      </w:r>
      <w:r w:rsidR="004E53B1">
        <w:rPr>
          <w:rFonts w:ascii="Arial" w:hAnsi="Arial" w:cs="Arial"/>
          <w:sz w:val="20"/>
          <w:szCs w:val="20"/>
        </w:rPr>
        <w:t xml:space="preserve"> next for investors.</w:t>
      </w:r>
    </w:p>
    <w:p w14:paraId="47384083" w14:textId="3C6697FE" w:rsidR="002F5A6A" w:rsidRPr="00FA2601" w:rsidRDefault="004E53B1" w:rsidP="002F5A6A">
      <w:pPr>
        <w:spacing w:after="120"/>
        <w:ind w:left="-720" w:right="-720"/>
        <w:rPr>
          <w:rStyle w:val="IntenseEmphasis"/>
          <w:rFonts w:ascii="Arial" w:hAnsi="Arial" w:cs="Arial"/>
        </w:rPr>
      </w:pPr>
      <w:r>
        <w:rPr>
          <w:rStyle w:val="IntenseEmphasis"/>
          <w:rFonts w:ascii="Arial" w:hAnsi="Arial" w:cs="Arial"/>
        </w:rPr>
        <w:t xml:space="preserve">Is </w:t>
      </w:r>
      <w:r w:rsidR="009C31EB">
        <w:rPr>
          <w:rStyle w:val="IntenseEmphasis"/>
          <w:rFonts w:ascii="Arial" w:hAnsi="Arial" w:cs="Arial"/>
        </w:rPr>
        <w:t>T</w:t>
      </w:r>
      <w:r>
        <w:rPr>
          <w:rStyle w:val="IntenseEmphasis"/>
          <w:rFonts w:ascii="Arial" w:hAnsi="Arial" w:cs="Arial"/>
        </w:rPr>
        <w:t xml:space="preserve">his </w:t>
      </w:r>
      <w:r w:rsidR="009C31EB">
        <w:rPr>
          <w:rStyle w:val="IntenseEmphasis"/>
          <w:rFonts w:ascii="Arial" w:hAnsi="Arial" w:cs="Arial"/>
        </w:rPr>
        <w:t>N</w:t>
      </w:r>
      <w:r>
        <w:rPr>
          <w:rStyle w:val="IntenseEmphasis"/>
          <w:rFonts w:ascii="Arial" w:hAnsi="Arial" w:cs="Arial"/>
        </w:rPr>
        <w:t>ormal?</w:t>
      </w:r>
    </w:p>
    <w:p w14:paraId="0BAED9F1" w14:textId="022DD988" w:rsidR="004D224E" w:rsidRDefault="00692B59" w:rsidP="000A760B">
      <w:pPr>
        <w:spacing w:after="120"/>
        <w:ind w:left="-720" w:right="-720"/>
        <w:rPr>
          <w:rFonts w:ascii="Arial" w:hAnsi="Arial" w:cs="Arial"/>
          <w:sz w:val="20"/>
          <w:szCs w:val="20"/>
        </w:rPr>
      </w:pPr>
      <w:r>
        <w:rPr>
          <w:rFonts w:ascii="Arial" w:hAnsi="Arial" w:cs="Arial"/>
          <w:sz w:val="20"/>
          <w:szCs w:val="20"/>
        </w:rPr>
        <w:t xml:space="preserve">First, losses in the 60/40 portfolio are not </w:t>
      </w:r>
      <w:r w:rsidR="008F73D1">
        <w:rPr>
          <w:rFonts w:ascii="Arial" w:hAnsi="Arial" w:cs="Arial"/>
          <w:sz w:val="20"/>
          <w:szCs w:val="20"/>
        </w:rPr>
        <w:t>unusual</w:t>
      </w:r>
      <w:r>
        <w:rPr>
          <w:rFonts w:ascii="Arial" w:hAnsi="Arial" w:cs="Arial"/>
          <w:sz w:val="20"/>
          <w:szCs w:val="20"/>
        </w:rPr>
        <w:t>.</w:t>
      </w:r>
      <w:r w:rsidR="00EF6BC7">
        <w:rPr>
          <w:rFonts w:ascii="Arial" w:hAnsi="Arial" w:cs="Arial"/>
          <w:sz w:val="20"/>
          <w:szCs w:val="20"/>
        </w:rPr>
        <w:t xml:space="preserve"> </w:t>
      </w:r>
      <w:r>
        <w:rPr>
          <w:rFonts w:ascii="Arial" w:hAnsi="Arial" w:cs="Arial"/>
          <w:sz w:val="20"/>
          <w:szCs w:val="20"/>
        </w:rPr>
        <w:t xml:space="preserve">Since 1976, </w:t>
      </w:r>
      <w:r w:rsidR="00716ACB">
        <w:rPr>
          <w:rFonts w:ascii="Arial" w:hAnsi="Arial" w:cs="Arial"/>
          <w:sz w:val="20"/>
          <w:szCs w:val="20"/>
        </w:rPr>
        <w:t>l</w:t>
      </w:r>
      <w:r w:rsidR="004D224E">
        <w:rPr>
          <w:rFonts w:ascii="Arial" w:hAnsi="Arial" w:cs="Arial"/>
          <w:sz w:val="20"/>
          <w:szCs w:val="20"/>
        </w:rPr>
        <w:t xml:space="preserve">ooking </w:t>
      </w:r>
      <w:r w:rsidR="005B5A79">
        <w:rPr>
          <w:rFonts w:ascii="Arial" w:hAnsi="Arial" w:cs="Arial"/>
          <w:sz w:val="20"/>
          <w:szCs w:val="20"/>
        </w:rPr>
        <w:t>a</w:t>
      </w:r>
      <w:r w:rsidR="00CF64EC">
        <w:rPr>
          <w:rFonts w:ascii="Arial" w:hAnsi="Arial" w:cs="Arial"/>
          <w:sz w:val="20"/>
          <w:szCs w:val="20"/>
        </w:rPr>
        <w:t>t a</w:t>
      </w:r>
      <w:r w:rsidR="005B5A79">
        <w:rPr>
          <w:rFonts w:ascii="Arial" w:hAnsi="Arial" w:cs="Arial"/>
          <w:sz w:val="20"/>
          <w:szCs w:val="20"/>
        </w:rPr>
        <w:t xml:space="preserve"> </w:t>
      </w:r>
      <w:r w:rsidR="008F73D1">
        <w:rPr>
          <w:rFonts w:ascii="Arial" w:hAnsi="Arial" w:cs="Arial"/>
          <w:sz w:val="20"/>
          <w:szCs w:val="20"/>
        </w:rPr>
        <w:t>one-year</w:t>
      </w:r>
      <w:r w:rsidR="005B5A79">
        <w:rPr>
          <w:rFonts w:ascii="Arial" w:hAnsi="Arial" w:cs="Arial"/>
          <w:sz w:val="20"/>
          <w:szCs w:val="20"/>
        </w:rPr>
        <w:t xml:space="preserve"> time period, about 14% of the time (once every seven years or so)</w:t>
      </w:r>
      <w:r w:rsidR="00532BDB">
        <w:rPr>
          <w:rFonts w:ascii="Arial" w:hAnsi="Arial" w:cs="Arial"/>
          <w:sz w:val="20"/>
          <w:szCs w:val="20"/>
        </w:rPr>
        <w:t>,</w:t>
      </w:r>
      <w:r w:rsidR="005B5A79">
        <w:rPr>
          <w:rFonts w:ascii="Arial" w:hAnsi="Arial" w:cs="Arial"/>
          <w:sz w:val="20"/>
          <w:szCs w:val="20"/>
        </w:rPr>
        <w:t xml:space="preserve"> this portfolio had negative returns</w:t>
      </w:r>
      <w:r w:rsidR="004D224E">
        <w:rPr>
          <w:rFonts w:ascii="Arial" w:hAnsi="Arial" w:cs="Arial"/>
          <w:sz w:val="20"/>
          <w:szCs w:val="20"/>
        </w:rPr>
        <w:t>.</w:t>
      </w:r>
      <w:r w:rsidR="00EF6BC7">
        <w:rPr>
          <w:rStyle w:val="EndnoteReference"/>
          <w:rFonts w:ascii="Arial" w:hAnsi="Arial" w:cs="Arial"/>
          <w:sz w:val="20"/>
          <w:szCs w:val="20"/>
        </w:rPr>
        <w:endnoteReference w:id="3"/>
      </w:r>
    </w:p>
    <w:p w14:paraId="58ACE68F" w14:textId="33FEED68" w:rsidR="00B21B90" w:rsidRDefault="00B21B90" w:rsidP="000A760B">
      <w:pPr>
        <w:spacing w:after="120"/>
        <w:ind w:left="-720" w:right="-720"/>
        <w:rPr>
          <w:rFonts w:ascii="Arial" w:hAnsi="Arial" w:cs="Arial"/>
          <w:sz w:val="20"/>
          <w:szCs w:val="20"/>
        </w:rPr>
      </w:pPr>
      <w:r>
        <w:rPr>
          <w:rFonts w:ascii="Arial" w:hAnsi="Arial" w:cs="Arial"/>
          <w:sz w:val="20"/>
          <w:szCs w:val="20"/>
        </w:rPr>
        <w:t>However, what is noteworthy is that losses in stocks and bonds simultaneously are less common. While the 60/40 portfolio experience</w:t>
      </w:r>
      <w:r w:rsidR="00532BDB">
        <w:rPr>
          <w:rFonts w:ascii="Arial" w:hAnsi="Arial" w:cs="Arial"/>
          <w:sz w:val="20"/>
          <w:szCs w:val="20"/>
        </w:rPr>
        <w:t>s</w:t>
      </w:r>
      <w:r>
        <w:rPr>
          <w:rFonts w:ascii="Arial" w:hAnsi="Arial" w:cs="Arial"/>
          <w:sz w:val="20"/>
          <w:szCs w:val="20"/>
        </w:rPr>
        <w:t xml:space="preserve"> losses roughly 14% of the time for </w:t>
      </w:r>
      <w:r>
        <w:rPr>
          <w:rFonts w:ascii="Arial" w:hAnsi="Arial" w:cs="Arial"/>
          <w:sz w:val="20"/>
          <w:szCs w:val="20"/>
        </w:rPr>
        <w:t xml:space="preserve">the </w:t>
      </w:r>
      <w:r w:rsidR="008F73D1">
        <w:rPr>
          <w:rFonts w:ascii="Arial" w:hAnsi="Arial" w:cs="Arial"/>
          <w:sz w:val="20"/>
          <w:szCs w:val="20"/>
        </w:rPr>
        <w:t>one-year</w:t>
      </w:r>
      <w:r>
        <w:rPr>
          <w:rFonts w:ascii="Arial" w:hAnsi="Arial" w:cs="Arial"/>
          <w:sz w:val="20"/>
          <w:szCs w:val="20"/>
        </w:rPr>
        <w:t xml:space="preserve"> period, losses in stocks and bonds for the same time period occurs only 0.4% of the time.</w:t>
      </w:r>
      <w:r w:rsidR="00EF6BC7">
        <w:rPr>
          <w:rStyle w:val="EndnoteReference"/>
          <w:rFonts w:ascii="Arial" w:hAnsi="Arial" w:cs="Arial"/>
          <w:sz w:val="20"/>
          <w:szCs w:val="20"/>
        </w:rPr>
        <w:endnoteReference w:id="4"/>
      </w:r>
    </w:p>
    <w:p w14:paraId="47C15559" w14:textId="72AE9F47" w:rsidR="00F925FE" w:rsidRDefault="00B21B90" w:rsidP="000A760B">
      <w:pPr>
        <w:spacing w:after="120"/>
        <w:ind w:left="-720" w:right="-720"/>
        <w:rPr>
          <w:rFonts w:ascii="Arial" w:hAnsi="Arial" w:cs="Arial"/>
          <w:sz w:val="20"/>
          <w:szCs w:val="20"/>
        </w:rPr>
      </w:pPr>
      <w:r>
        <w:rPr>
          <w:noProof/>
        </w:rPr>
        <w:drawing>
          <wp:inline distT="0" distB="0" distL="0" distR="0" wp14:anchorId="20AD6854" wp14:editId="0BC6DE68">
            <wp:extent cx="3430310" cy="1792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94137" cy="1825572"/>
                    </a:xfrm>
                    <a:prstGeom prst="rect">
                      <a:avLst/>
                    </a:prstGeom>
                  </pic:spPr>
                </pic:pic>
              </a:graphicData>
            </a:graphic>
          </wp:inline>
        </w:drawing>
      </w:r>
      <w:r w:rsidRPr="00BA149E">
        <w:rPr>
          <w:rFonts w:ascii="Arial" w:hAnsi="Arial" w:cs="Arial"/>
          <w:color w:val="666666" w:themeColor="background2" w:themeShade="80"/>
          <w:sz w:val="16"/>
          <w:szCs w:val="16"/>
        </w:rPr>
        <w:t xml:space="preserve">Source: </w:t>
      </w:r>
      <w:r>
        <w:rPr>
          <w:rFonts w:ascii="Arial" w:hAnsi="Arial" w:cs="Arial"/>
          <w:color w:val="666666" w:themeColor="background2" w:themeShade="80"/>
          <w:sz w:val="16"/>
          <w:szCs w:val="16"/>
        </w:rPr>
        <w:t>Vanguard. Data from Feb</w:t>
      </w:r>
      <w:r w:rsidR="00541DF6">
        <w:rPr>
          <w:rFonts w:ascii="Arial" w:hAnsi="Arial" w:cs="Arial"/>
          <w:color w:val="666666" w:themeColor="background2" w:themeShade="80"/>
          <w:sz w:val="16"/>
          <w:szCs w:val="16"/>
        </w:rPr>
        <w:t>’</w:t>
      </w:r>
      <w:r>
        <w:rPr>
          <w:rFonts w:ascii="Arial" w:hAnsi="Arial" w:cs="Arial"/>
          <w:color w:val="666666" w:themeColor="background2" w:themeShade="80"/>
          <w:sz w:val="16"/>
          <w:szCs w:val="16"/>
        </w:rPr>
        <w:t>76-Apr</w:t>
      </w:r>
      <w:r w:rsidR="00541DF6">
        <w:rPr>
          <w:rFonts w:ascii="Arial" w:hAnsi="Arial" w:cs="Arial"/>
          <w:color w:val="666666" w:themeColor="background2" w:themeShade="80"/>
          <w:sz w:val="16"/>
          <w:szCs w:val="16"/>
        </w:rPr>
        <w:t>’</w:t>
      </w:r>
      <w:r>
        <w:rPr>
          <w:rFonts w:ascii="Arial" w:hAnsi="Arial" w:cs="Arial"/>
          <w:color w:val="666666" w:themeColor="background2" w:themeShade="80"/>
          <w:sz w:val="16"/>
          <w:szCs w:val="16"/>
        </w:rPr>
        <w:t>22.</w:t>
      </w:r>
    </w:p>
    <w:p w14:paraId="42480416" w14:textId="297C29F5" w:rsidR="00B51934" w:rsidRDefault="00CF64EC" w:rsidP="000A760B">
      <w:pPr>
        <w:spacing w:after="120"/>
        <w:ind w:left="-720" w:right="-720"/>
        <w:rPr>
          <w:rFonts w:ascii="Arial" w:hAnsi="Arial" w:cs="Arial"/>
          <w:sz w:val="20"/>
          <w:szCs w:val="20"/>
        </w:rPr>
      </w:pPr>
      <w:r>
        <w:rPr>
          <w:rFonts w:ascii="Arial" w:hAnsi="Arial" w:cs="Arial"/>
          <w:sz w:val="20"/>
          <w:szCs w:val="20"/>
        </w:rPr>
        <w:t xml:space="preserve">In fact, since 1976 investors have never encountered a three-year span of losses in both stocks and bonds even when the 60/40 </w:t>
      </w:r>
      <w:r w:rsidR="00075B54">
        <w:rPr>
          <w:rFonts w:ascii="Arial" w:hAnsi="Arial" w:cs="Arial"/>
          <w:sz w:val="20"/>
          <w:szCs w:val="20"/>
        </w:rPr>
        <w:t xml:space="preserve">portfolio </w:t>
      </w:r>
      <w:r>
        <w:rPr>
          <w:rFonts w:ascii="Arial" w:hAnsi="Arial" w:cs="Arial"/>
          <w:sz w:val="20"/>
          <w:szCs w:val="20"/>
        </w:rPr>
        <w:t>saw losses 6.5%</w:t>
      </w:r>
      <w:r w:rsidR="00392632">
        <w:rPr>
          <w:rFonts w:ascii="Arial" w:hAnsi="Arial" w:cs="Arial"/>
          <w:sz w:val="20"/>
          <w:szCs w:val="20"/>
        </w:rPr>
        <w:t xml:space="preserve"> </w:t>
      </w:r>
      <w:r>
        <w:rPr>
          <w:rFonts w:ascii="Arial" w:hAnsi="Arial" w:cs="Arial"/>
          <w:sz w:val="20"/>
          <w:szCs w:val="20"/>
        </w:rPr>
        <w:t>of the time</w:t>
      </w:r>
      <w:r w:rsidR="00840365">
        <w:rPr>
          <w:rFonts w:ascii="Arial" w:hAnsi="Arial" w:cs="Arial"/>
          <w:sz w:val="20"/>
          <w:szCs w:val="20"/>
        </w:rPr>
        <w:t xml:space="preserve"> for a </w:t>
      </w:r>
      <w:r w:rsidR="008F73D1">
        <w:rPr>
          <w:rFonts w:ascii="Arial" w:hAnsi="Arial" w:cs="Arial"/>
          <w:sz w:val="20"/>
          <w:szCs w:val="20"/>
        </w:rPr>
        <w:t>three-year</w:t>
      </w:r>
      <w:r w:rsidR="00840365">
        <w:rPr>
          <w:rFonts w:ascii="Arial" w:hAnsi="Arial" w:cs="Arial"/>
          <w:sz w:val="20"/>
          <w:szCs w:val="20"/>
        </w:rPr>
        <w:t xml:space="preserve"> period</w:t>
      </w:r>
      <w:r w:rsidR="002502D2">
        <w:rPr>
          <w:rStyle w:val="EndnoteReference"/>
          <w:rFonts w:ascii="Arial" w:hAnsi="Arial" w:cs="Arial"/>
          <w:sz w:val="20"/>
          <w:szCs w:val="20"/>
        </w:rPr>
        <w:endnoteReference w:id="5"/>
      </w:r>
      <w:r>
        <w:rPr>
          <w:rFonts w:ascii="Arial" w:hAnsi="Arial" w:cs="Arial"/>
          <w:sz w:val="20"/>
          <w:szCs w:val="20"/>
        </w:rPr>
        <w:t>. The reason is simple, g</w:t>
      </w:r>
      <w:r w:rsidR="006E49AA">
        <w:rPr>
          <w:rFonts w:ascii="Arial" w:hAnsi="Arial" w:cs="Arial"/>
          <w:sz w:val="20"/>
          <w:szCs w:val="20"/>
        </w:rPr>
        <w:t>enerally</w:t>
      </w:r>
      <w:r w:rsidR="004D224E">
        <w:rPr>
          <w:rFonts w:ascii="Arial" w:hAnsi="Arial" w:cs="Arial"/>
          <w:sz w:val="20"/>
          <w:szCs w:val="20"/>
        </w:rPr>
        <w:t>, t</w:t>
      </w:r>
      <w:r w:rsidR="005B5A79">
        <w:rPr>
          <w:rFonts w:ascii="Arial" w:hAnsi="Arial" w:cs="Arial"/>
          <w:sz w:val="20"/>
          <w:szCs w:val="20"/>
        </w:rPr>
        <w:t>he losses are often driven by the higher allocation to stocks which are riskier</w:t>
      </w:r>
      <w:r w:rsidR="00392632">
        <w:rPr>
          <w:rFonts w:ascii="Arial" w:hAnsi="Arial" w:cs="Arial"/>
          <w:sz w:val="20"/>
          <w:szCs w:val="20"/>
        </w:rPr>
        <w:t>.</w:t>
      </w:r>
      <w:r w:rsidR="00B51934">
        <w:rPr>
          <w:rFonts w:ascii="Arial" w:hAnsi="Arial" w:cs="Arial"/>
          <w:sz w:val="20"/>
          <w:szCs w:val="20"/>
        </w:rPr>
        <w:t xml:space="preserve"> </w:t>
      </w:r>
    </w:p>
    <w:p w14:paraId="7417EC42" w14:textId="60F583D7" w:rsidR="00AF25F5" w:rsidRPr="00FA2601" w:rsidRDefault="005C29C1" w:rsidP="00AF25F5">
      <w:pPr>
        <w:spacing w:after="120"/>
        <w:ind w:left="-720" w:right="-720"/>
        <w:rPr>
          <w:rStyle w:val="IntenseEmphasis"/>
          <w:rFonts w:ascii="Arial" w:hAnsi="Arial" w:cs="Arial"/>
        </w:rPr>
      </w:pPr>
      <w:r>
        <w:rPr>
          <w:rStyle w:val="IntenseEmphasis"/>
          <w:rFonts w:ascii="Arial" w:hAnsi="Arial" w:cs="Arial"/>
        </w:rPr>
        <w:t xml:space="preserve">Is </w:t>
      </w:r>
      <w:r w:rsidR="009C31EB">
        <w:rPr>
          <w:rStyle w:val="IntenseEmphasis"/>
          <w:rFonts w:ascii="Arial" w:hAnsi="Arial" w:cs="Arial"/>
        </w:rPr>
        <w:t>T</w:t>
      </w:r>
      <w:r>
        <w:rPr>
          <w:rStyle w:val="IntenseEmphasis"/>
          <w:rFonts w:ascii="Arial" w:hAnsi="Arial" w:cs="Arial"/>
        </w:rPr>
        <w:t xml:space="preserve">his the </w:t>
      </w:r>
      <w:r w:rsidR="009C31EB">
        <w:rPr>
          <w:rStyle w:val="IntenseEmphasis"/>
          <w:rFonts w:ascii="Arial" w:hAnsi="Arial" w:cs="Arial"/>
        </w:rPr>
        <w:t>W</w:t>
      </w:r>
      <w:r>
        <w:rPr>
          <w:rStyle w:val="IntenseEmphasis"/>
          <w:rFonts w:ascii="Arial" w:hAnsi="Arial" w:cs="Arial"/>
        </w:rPr>
        <w:t xml:space="preserve">orst </w:t>
      </w:r>
      <w:r w:rsidR="009C31EB">
        <w:rPr>
          <w:rStyle w:val="IntenseEmphasis"/>
          <w:rFonts w:ascii="Arial" w:hAnsi="Arial" w:cs="Arial"/>
        </w:rPr>
        <w:t>Y</w:t>
      </w:r>
      <w:r>
        <w:rPr>
          <w:rStyle w:val="IntenseEmphasis"/>
          <w:rFonts w:ascii="Arial" w:hAnsi="Arial" w:cs="Arial"/>
        </w:rPr>
        <w:t>ear for the 60/40</w:t>
      </w:r>
      <w:r w:rsidR="00AF25F5">
        <w:rPr>
          <w:rStyle w:val="IntenseEmphasis"/>
          <w:rFonts w:ascii="Arial" w:hAnsi="Arial" w:cs="Arial"/>
        </w:rPr>
        <w:t>?</w:t>
      </w:r>
    </w:p>
    <w:p w14:paraId="641C5B54" w14:textId="55E66EB2" w:rsidR="002502D2" w:rsidRDefault="008351CE" w:rsidP="000A760B">
      <w:pPr>
        <w:spacing w:after="120"/>
        <w:ind w:left="-720" w:right="-720"/>
        <w:rPr>
          <w:rFonts w:ascii="Arial" w:hAnsi="Arial" w:cs="Arial"/>
          <w:sz w:val="20"/>
          <w:szCs w:val="20"/>
        </w:rPr>
      </w:pPr>
      <w:r>
        <w:rPr>
          <w:noProof/>
        </w:rPr>
        <w:drawing>
          <wp:anchor distT="0" distB="0" distL="114300" distR="114300" simplePos="0" relativeHeight="251676672" behindDoc="0" locked="0" layoutInCell="1" allowOverlap="1" wp14:anchorId="68BAF1EE" wp14:editId="31ADA742">
            <wp:simplePos x="0" y="0"/>
            <wp:positionH relativeFrom="column">
              <wp:posOffset>-61265</wp:posOffset>
            </wp:positionH>
            <wp:positionV relativeFrom="paragraph">
              <wp:posOffset>1141832</wp:posOffset>
            </wp:positionV>
            <wp:extent cx="2635885" cy="1660525"/>
            <wp:effectExtent l="0" t="0" r="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35885" cy="166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5972">
        <w:rPr>
          <w:rFonts w:ascii="Arial" w:hAnsi="Arial" w:cs="Arial"/>
          <w:sz w:val="20"/>
          <w:szCs w:val="20"/>
        </w:rPr>
        <w:t>A</w:t>
      </w:r>
      <w:r w:rsidR="00AF25F5">
        <w:rPr>
          <w:rFonts w:ascii="Arial" w:hAnsi="Arial" w:cs="Arial"/>
          <w:sz w:val="20"/>
          <w:szCs w:val="20"/>
        </w:rPr>
        <w:t xml:space="preserve"> look at the worst calendar years for the 60/40</w:t>
      </w:r>
      <w:r w:rsidR="00075B54">
        <w:rPr>
          <w:rFonts w:ascii="Arial" w:hAnsi="Arial" w:cs="Arial"/>
          <w:sz w:val="20"/>
          <w:szCs w:val="20"/>
        </w:rPr>
        <w:t xml:space="preserve"> portfolio</w:t>
      </w:r>
      <w:r w:rsidR="005C29C1">
        <w:rPr>
          <w:rStyle w:val="EndnoteReference"/>
          <w:rFonts w:ascii="Arial" w:hAnsi="Arial" w:cs="Arial"/>
          <w:sz w:val="20"/>
          <w:szCs w:val="20"/>
        </w:rPr>
        <w:endnoteReference w:id="6"/>
      </w:r>
      <w:r w:rsidR="00AF25F5">
        <w:rPr>
          <w:rFonts w:ascii="Arial" w:hAnsi="Arial" w:cs="Arial"/>
          <w:sz w:val="20"/>
          <w:szCs w:val="20"/>
        </w:rPr>
        <w:t xml:space="preserve"> shows</w:t>
      </w:r>
      <w:r w:rsidR="00CF32A4">
        <w:rPr>
          <w:rFonts w:ascii="Arial" w:hAnsi="Arial" w:cs="Arial"/>
          <w:sz w:val="20"/>
          <w:szCs w:val="20"/>
        </w:rPr>
        <w:t xml:space="preserve"> if the year were to end as of September 30, 2022, the r</w:t>
      </w:r>
      <w:r w:rsidR="003F583E">
        <w:rPr>
          <w:rFonts w:ascii="Arial" w:hAnsi="Arial" w:cs="Arial"/>
          <w:sz w:val="20"/>
          <w:szCs w:val="20"/>
        </w:rPr>
        <w:t>eturns would mark the third worst in history</w:t>
      </w:r>
      <w:r w:rsidR="00532BDB">
        <w:rPr>
          <w:rFonts w:ascii="Arial" w:hAnsi="Arial" w:cs="Arial"/>
          <w:sz w:val="20"/>
          <w:szCs w:val="20"/>
        </w:rPr>
        <w:t>,</w:t>
      </w:r>
      <w:r w:rsidR="003F583E">
        <w:rPr>
          <w:rFonts w:ascii="Arial" w:hAnsi="Arial" w:cs="Arial"/>
          <w:sz w:val="20"/>
          <w:szCs w:val="20"/>
        </w:rPr>
        <w:t xml:space="preserve"> only after the </w:t>
      </w:r>
      <w:r w:rsidR="003F1E52">
        <w:rPr>
          <w:rFonts w:ascii="Arial" w:hAnsi="Arial" w:cs="Arial"/>
          <w:sz w:val="20"/>
          <w:szCs w:val="20"/>
        </w:rPr>
        <w:t xml:space="preserve">worst of the Great Depression and the </w:t>
      </w:r>
      <w:r w:rsidR="00B45631">
        <w:rPr>
          <w:rFonts w:ascii="Arial" w:hAnsi="Arial" w:cs="Arial"/>
          <w:sz w:val="20"/>
          <w:szCs w:val="20"/>
        </w:rPr>
        <w:t>1937 Crash</w:t>
      </w:r>
      <w:r w:rsidR="003F583E">
        <w:rPr>
          <w:rFonts w:ascii="Arial" w:hAnsi="Arial" w:cs="Arial"/>
          <w:sz w:val="20"/>
          <w:szCs w:val="20"/>
        </w:rPr>
        <w:t>.</w:t>
      </w:r>
      <w:r w:rsidR="00EF6BC7">
        <w:rPr>
          <w:rStyle w:val="EndnoteReference"/>
          <w:rFonts w:ascii="Arial" w:hAnsi="Arial" w:cs="Arial"/>
          <w:sz w:val="20"/>
          <w:szCs w:val="20"/>
        </w:rPr>
        <w:endnoteReference w:id="7"/>
      </w:r>
      <w:r w:rsidR="003F583E">
        <w:rPr>
          <w:rFonts w:ascii="Arial" w:hAnsi="Arial" w:cs="Arial"/>
          <w:sz w:val="20"/>
          <w:szCs w:val="20"/>
        </w:rPr>
        <w:t xml:space="preserve"> </w:t>
      </w:r>
      <w:r w:rsidR="00B47A4C">
        <w:rPr>
          <w:rFonts w:ascii="Arial" w:hAnsi="Arial" w:cs="Arial"/>
          <w:sz w:val="20"/>
          <w:szCs w:val="20"/>
        </w:rPr>
        <w:t xml:space="preserve">Clearly, </w:t>
      </w:r>
      <w:r w:rsidR="00096370">
        <w:rPr>
          <w:rFonts w:ascii="Arial" w:hAnsi="Arial" w:cs="Arial"/>
          <w:sz w:val="20"/>
          <w:szCs w:val="20"/>
        </w:rPr>
        <w:t>that is not a prize any portfolio wants to win,</w:t>
      </w:r>
      <w:r w:rsidR="00B47A4C">
        <w:rPr>
          <w:rFonts w:ascii="Arial" w:hAnsi="Arial" w:cs="Arial"/>
          <w:sz w:val="20"/>
          <w:szCs w:val="20"/>
        </w:rPr>
        <w:t xml:space="preserve"> </w:t>
      </w:r>
      <w:r w:rsidR="00B47A4C">
        <w:rPr>
          <w:rFonts w:ascii="Arial" w:hAnsi="Arial" w:cs="Arial"/>
          <w:sz w:val="20"/>
          <w:szCs w:val="20"/>
        </w:rPr>
        <w:lastRenderedPageBreak/>
        <w:t xml:space="preserve">especially when returns are compared to periods like the </w:t>
      </w:r>
      <w:r w:rsidR="003F1E52">
        <w:rPr>
          <w:rFonts w:ascii="Arial" w:hAnsi="Arial" w:cs="Arial"/>
          <w:sz w:val="20"/>
          <w:szCs w:val="20"/>
        </w:rPr>
        <w:t>G</w:t>
      </w:r>
      <w:r w:rsidR="00B47A4C">
        <w:rPr>
          <w:rFonts w:ascii="Arial" w:hAnsi="Arial" w:cs="Arial"/>
          <w:sz w:val="20"/>
          <w:szCs w:val="20"/>
        </w:rPr>
        <w:t xml:space="preserve">reat </w:t>
      </w:r>
      <w:r w:rsidR="003F1E52">
        <w:rPr>
          <w:rFonts w:ascii="Arial" w:hAnsi="Arial" w:cs="Arial"/>
          <w:sz w:val="20"/>
          <w:szCs w:val="20"/>
        </w:rPr>
        <w:t>D</w:t>
      </w:r>
      <w:r w:rsidR="00B47A4C">
        <w:rPr>
          <w:rFonts w:ascii="Arial" w:hAnsi="Arial" w:cs="Arial"/>
          <w:sz w:val="20"/>
          <w:szCs w:val="20"/>
        </w:rPr>
        <w:t>epression.</w:t>
      </w:r>
      <w:r w:rsidR="00AC33C0">
        <w:rPr>
          <w:rFonts w:ascii="Arial" w:hAnsi="Arial" w:cs="Arial"/>
          <w:sz w:val="20"/>
          <w:szCs w:val="20"/>
        </w:rPr>
        <w:t xml:space="preserve">                                                                                                    </w:t>
      </w:r>
      <w:r w:rsidR="00B47A4C">
        <w:rPr>
          <w:rFonts w:ascii="Arial" w:hAnsi="Arial" w:cs="Arial"/>
          <w:sz w:val="20"/>
          <w:szCs w:val="20"/>
        </w:rPr>
        <w:t xml:space="preserve"> </w:t>
      </w:r>
    </w:p>
    <w:p w14:paraId="0257C5E3" w14:textId="3023F2F7" w:rsidR="006C44ED" w:rsidRDefault="002502D2" w:rsidP="000A760B">
      <w:pPr>
        <w:spacing w:after="120"/>
        <w:ind w:left="-720" w:right="-720"/>
        <w:rPr>
          <w:rFonts w:ascii="Arial" w:hAnsi="Arial" w:cs="Arial"/>
          <w:sz w:val="20"/>
          <w:szCs w:val="20"/>
        </w:rPr>
      </w:pPr>
      <w:r>
        <w:rPr>
          <w:noProof/>
        </w:rPr>
        <w:drawing>
          <wp:anchor distT="0" distB="0" distL="114300" distR="114300" simplePos="0" relativeHeight="251677696" behindDoc="0" locked="0" layoutInCell="1" allowOverlap="1" wp14:anchorId="70ACF9E9" wp14:editId="4BFD2A75">
            <wp:simplePos x="0" y="0"/>
            <wp:positionH relativeFrom="column">
              <wp:align>right</wp:align>
            </wp:positionH>
            <wp:positionV relativeFrom="paragraph">
              <wp:posOffset>2052701</wp:posOffset>
            </wp:positionV>
            <wp:extent cx="2349500" cy="2000885"/>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9500" cy="2000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6370">
        <w:rPr>
          <w:rFonts w:ascii="Arial" w:hAnsi="Arial" w:cs="Arial"/>
          <w:sz w:val="20"/>
          <w:szCs w:val="20"/>
        </w:rPr>
        <w:t>O</w:t>
      </w:r>
      <w:r w:rsidR="00B47A4C">
        <w:rPr>
          <w:rFonts w:ascii="Arial" w:hAnsi="Arial" w:cs="Arial"/>
          <w:sz w:val="20"/>
          <w:szCs w:val="20"/>
        </w:rPr>
        <w:t xml:space="preserve">nce </w:t>
      </w:r>
      <w:r w:rsidR="008F73D1">
        <w:rPr>
          <w:rFonts w:ascii="Arial" w:hAnsi="Arial" w:cs="Arial"/>
          <w:sz w:val="20"/>
          <w:szCs w:val="20"/>
        </w:rPr>
        <w:t>again,</w:t>
      </w:r>
      <w:r w:rsidR="00B47A4C">
        <w:rPr>
          <w:rFonts w:ascii="Arial" w:hAnsi="Arial" w:cs="Arial"/>
          <w:sz w:val="20"/>
          <w:szCs w:val="20"/>
        </w:rPr>
        <w:t xml:space="preserve"> </w:t>
      </w:r>
      <w:r w:rsidR="00532BDB">
        <w:rPr>
          <w:rFonts w:ascii="Arial" w:hAnsi="Arial" w:cs="Arial"/>
          <w:sz w:val="20"/>
          <w:szCs w:val="20"/>
        </w:rPr>
        <w:t>looking</w:t>
      </w:r>
      <w:r w:rsidR="00B47A4C">
        <w:rPr>
          <w:rFonts w:ascii="Arial" w:hAnsi="Arial" w:cs="Arial"/>
          <w:sz w:val="20"/>
          <w:szCs w:val="20"/>
        </w:rPr>
        <w:t xml:space="preserve"> at </w:t>
      </w:r>
      <w:r w:rsidR="00EF6BC7">
        <w:rPr>
          <w:rFonts w:ascii="Arial" w:hAnsi="Arial" w:cs="Arial"/>
          <w:sz w:val="20"/>
          <w:szCs w:val="20"/>
        </w:rPr>
        <w:t>the</w:t>
      </w:r>
      <w:r w:rsidR="00B45631">
        <w:rPr>
          <w:rFonts w:ascii="Arial" w:hAnsi="Arial" w:cs="Arial"/>
          <w:sz w:val="20"/>
          <w:szCs w:val="20"/>
        </w:rPr>
        <w:t xml:space="preserve"> worst 5-year or 10-year </w:t>
      </w:r>
      <w:r w:rsidR="003F1E52">
        <w:rPr>
          <w:rFonts w:ascii="Arial" w:hAnsi="Arial" w:cs="Arial"/>
          <w:sz w:val="20"/>
          <w:szCs w:val="20"/>
        </w:rPr>
        <w:t xml:space="preserve">periods </w:t>
      </w:r>
      <w:r w:rsidR="00B45631">
        <w:rPr>
          <w:rFonts w:ascii="Arial" w:hAnsi="Arial" w:cs="Arial"/>
          <w:sz w:val="20"/>
          <w:szCs w:val="20"/>
        </w:rPr>
        <w:t>provides some perspective and solace for the 60/40</w:t>
      </w:r>
      <w:r w:rsidR="003F1E52">
        <w:rPr>
          <w:rFonts w:ascii="Arial" w:hAnsi="Arial" w:cs="Arial"/>
          <w:sz w:val="20"/>
          <w:szCs w:val="20"/>
        </w:rPr>
        <w:t xml:space="preserve"> portfolio</w:t>
      </w:r>
      <w:r w:rsidR="00B45631">
        <w:rPr>
          <w:rFonts w:ascii="Arial" w:hAnsi="Arial" w:cs="Arial"/>
          <w:sz w:val="20"/>
          <w:szCs w:val="20"/>
        </w:rPr>
        <w:t xml:space="preserve"> </w:t>
      </w:r>
      <w:r w:rsidR="00EF6BC7">
        <w:rPr>
          <w:rFonts w:ascii="Arial" w:hAnsi="Arial" w:cs="Arial"/>
          <w:sz w:val="20"/>
          <w:szCs w:val="20"/>
        </w:rPr>
        <w:t>investor</w:t>
      </w:r>
      <w:r w:rsidR="00B45631">
        <w:rPr>
          <w:rFonts w:ascii="Arial" w:hAnsi="Arial" w:cs="Arial"/>
          <w:sz w:val="20"/>
          <w:szCs w:val="20"/>
        </w:rPr>
        <w:t>.</w:t>
      </w:r>
      <w:r w:rsidR="00EF6BC7">
        <w:rPr>
          <w:rStyle w:val="EndnoteReference"/>
          <w:rFonts w:ascii="Arial" w:hAnsi="Arial" w:cs="Arial"/>
          <w:sz w:val="20"/>
          <w:szCs w:val="20"/>
        </w:rPr>
        <w:endnoteReference w:id="8"/>
      </w:r>
      <w:r w:rsidR="00EF6BC7">
        <w:rPr>
          <w:rFonts w:ascii="Arial" w:hAnsi="Arial" w:cs="Arial"/>
          <w:sz w:val="20"/>
          <w:szCs w:val="20"/>
        </w:rPr>
        <w:t xml:space="preserve"> </w:t>
      </w:r>
      <w:r w:rsidR="00B45631">
        <w:rPr>
          <w:rFonts w:ascii="Arial" w:hAnsi="Arial" w:cs="Arial"/>
          <w:sz w:val="20"/>
          <w:szCs w:val="20"/>
        </w:rPr>
        <w:t xml:space="preserve">For the worst 5-years, </w:t>
      </w:r>
      <w:r w:rsidR="00096370">
        <w:rPr>
          <w:rFonts w:ascii="Arial" w:hAnsi="Arial" w:cs="Arial"/>
          <w:sz w:val="20"/>
          <w:szCs w:val="20"/>
        </w:rPr>
        <w:t xml:space="preserve">outside of the </w:t>
      </w:r>
      <w:r w:rsidR="008F73D1">
        <w:rPr>
          <w:rFonts w:ascii="Arial" w:hAnsi="Arial" w:cs="Arial"/>
          <w:sz w:val="20"/>
          <w:szCs w:val="20"/>
        </w:rPr>
        <w:t>4-time</w:t>
      </w:r>
      <w:r w:rsidR="00F62F7D">
        <w:rPr>
          <w:rFonts w:ascii="Arial" w:hAnsi="Arial" w:cs="Arial"/>
          <w:sz w:val="20"/>
          <w:szCs w:val="20"/>
        </w:rPr>
        <w:t xml:space="preserve"> period</w:t>
      </w:r>
      <w:r w:rsidR="00532BDB">
        <w:rPr>
          <w:rFonts w:ascii="Arial" w:hAnsi="Arial" w:cs="Arial"/>
          <w:sz w:val="20"/>
          <w:szCs w:val="20"/>
        </w:rPr>
        <w:t>s</w:t>
      </w:r>
      <w:r w:rsidR="00F62F7D">
        <w:rPr>
          <w:rFonts w:ascii="Arial" w:hAnsi="Arial" w:cs="Arial"/>
          <w:sz w:val="20"/>
          <w:szCs w:val="20"/>
        </w:rPr>
        <w:t xml:space="preserve"> during the </w:t>
      </w:r>
      <w:r w:rsidR="003F1E52">
        <w:rPr>
          <w:rFonts w:ascii="Arial" w:hAnsi="Arial" w:cs="Arial"/>
          <w:sz w:val="20"/>
          <w:szCs w:val="20"/>
        </w:rPr>
        <w:t>G</w:t>
      </w:r>
      <w:r w:rsidR="00096370">
        <w:rPr>
          <w:rFonts w:ascii="Arial" w:hAnsi="Arial" w:cs="Arial"/>
          <w:sz w:val="20"/>
          <w:szCs w:val="20"/>
        </w:rPr>
        <w:t xml:space="preserve">reat </w:t>
      </w:r>
      <w:r w:rsidR="003F1E52">
        <w:rPr>
          <w:rFonts w:ascii="Arial" w:hAnsi="Arial" w:cs="Arial"/>
          <w:sz w:val="20"/>
          <w:szCs w:val="20"/>
        </w:rPr>
        <w:t>D</w:t>
      </w:r>
      <w:r w:rsidR="00096370">
        <w:rPr>
          <w:rFonts w:ascii="Arial" w:hAnsi="Arial" w:cs="Arial"/>
          <w:sz w:val="20"/>
          <w:szCs w:val="20"/>
        </w:rPr>
        <w:t xml:space="preserve">epression, there have been no instances where a 60/40 portfolio suffered losses over a </w:t>
      </w:r>
      <w:r w:rsidR="008F73D1">
        <w:rPr>
          <w:rFonts w:ascii="Arial" w:hAnsi="Arial" w:cs="Arial"/>
          <w:sz w:val="20"/>
          <w:szCs w:val="20"/>
        </w:rPr>
        <w:t>five-year</w:t>
      </w:r>
      <w:r w:rsidR="00096370">
        <w:rPr>
          <w:rFonts w:ascii="Arial" w:hAnsi="Arial" w:cs="Arial"/>
          <w:sz w:val="20"/>
          <w:szCs w:val="20"/>
        </w:rPr>
        <w:t xml:space="preserve"> period. The news gets better as you look at the ten-year returns for 60/40</w:t>
      </w:r>
      <w:r w:rsidR="003F1E52">
        <w:rPr>
          <w:rFonts w:ascii="Arial" w:hAnsi="Arial" w:cs="Arial"/>
          <w:sz w:val="20"/>
          <w:szCs w:val="20"/>
        </w:rPr>
        <w:t xml:space="preserve"> portfolio</w:t>
      </w:r>
      <w:r w:rsidR="00096370">
        <w:rPr>
          <w:rFonts w:ascii="Arial" w:hAnsi="Arial" w:cs="Arial"/>
          <w:sz w:val="20"/>
          <w:szCs w:val="20"/>
        </w:rPr>
        <w:t xml:space="preserve">. In the nearly 100 years of data, which includes the </w:t>
      </w:r>
      <w:r w:rsidR="003F1E52">
        <w:rPr>
          <w:rFonts w:ascii="Arial" w:hAnsi="Arial" w:cs="Arial"/>
          <w:sz w:val="20"/>
          <w:szCs w:val="20"/>
        </w:rPr>
        <w:t>G</w:t>
      </w:r>
      <w:r w:rsidR="00096370">
        <w:rPr>
          <w:rFonts w:ascii="Arial" w:hAnsi="Arial" w:cs="Arial"/>
          <w:sz w:val="20"/>
          <w:szCs w:val="20"/>
        </w:rPr>
        <w:t xml:space="preserve">reat </w:t>
      </w:r>
      <w:r w:rsidR="003F1E52">
        <w:rPr>
          <w:rFonts w:ascii="Arial" w:hAnsi="Arial" w:cs="Arial"/>
          <w:sz w:val="20"/>
          <w:szCs w:val="20"/>
        </w:rPr>
        <w:t>D</w:t>
      </w:r>
      <w:r w:rsidR="00096370">
        <w:rPr>
          <w:rFonts w:ascii="Arial" w:hAnsi="Arial" w:cs="Arial"/>
          <w:sz w:val="20"/>
          <w:szCs w:val="20"/>
        </w:rPr>
        <w:t>epression,</w:t>
      </w:r>
      <w:r w:rsidR="00596790">
        <w:rPr>
          <w:rFonts w:ascii="Arial" w:hAnsi="Arial" w:cs="Arial"/>
          <w:sz w:val="20"/>
          <w:szCs w:val="20"/>
        </w:rPr>
        <w:t xml:space="preserve"> </w:t>
      </w:r>
      <w:r w:rsidR="003F1E52">
        <w:rPr>
          <w:rFonts w:ascii="Arial" w:hAnsi="Arial" w:cs="Arial"/>
          <w:sz w:val="20"/>
          <w:szCs w:val="20"/>
        </w:rPr>
        <w:t>W</w:t>
      </w:r>
      <w:r w:rsidR="00596790">
        <w:rPr>
          <w:rFonts w:ascii="Arial" w:hAnsi="Arial" w:cs="Arial"/>
          <w:sz w:val="20"/>
          <w:szCs w:val="20"/>
        </w:rPr>
        <w:t xml:space="preserve">orld </w:t>
      </w:r>
      <w:r w:rsidR="003F1E52">
        <w:rPr>
          <w:rFonts w:ascii="Arial" w:hAnsi="Arial" w:cs="Arial"/>
          <w:sz w:val="20"/>
          <w:szCs w:val="20"/>
        </w:rPr>
        <w:t>W</w:t>
      </w:r>
      <w:r w:rsidR="00596790">
        <w:rPr>
          <w:rFonts w:ascii="Arial" w:hAnsi="Arial" w:cs="Arial"/>
          <w:sz w:val="20"/>
          <w:szCs w:val="20"/>
        </w:rPr>
        <w:t xml:space="preserve">ar II, </w:t>
      </w:r>
      <w:r w:rsidR="00096370">
        <w:rPr>
          <w:rFonts w:ascii="Arial" w:hAnsi="Arial" w:cs="Arial"/>
          <w:sz w:val="20"/>
          <w:szCs w:val="20"/>
        </w:rPr>
        <w:t xml:space="preserve">the </w:t>
      </w:r>
      <w:r w:rsidR="003F1E52">
        <w:rPr>
          <w:rFonts w:ascii="Arial" w:hAnsi="Arial" w:cs="Arial"/>
          <w:sz w:val="20"/>
          <w:szCs w:val="20"/>
        </w:rPr>
        <w:t>G</w:t>
      </w:r>
      <w:r w:rsidR="00096370">
        <w:rPr>
          <w:rFonts w:ascii="Arial" w:hAnsi="Arial" w:cs="Arial"/>
          <w:sz w:val="20"/>
          <w:szCs w:val="20"/>
        </w:rPr>
        <w:t xml:space="preserve">reat </w:t>
      </w:r>
      <w:r w:rsidR="003F1E52">
        <w:rPr>
          <w:rFonts w:ascii="Arial" w:hAnsi="Arial" w:cs="Arial"/>
          <w:sz w:val="20"/>
          <w:szCs w:val="20"/>
        </w:rPr>
        <w:t>I</w:t>
      </w:r>
      <w:r w:rsidR="00096370">
        <w:rPr>
          <w:rFonts w:ascii="Arial" w:hAnsi="Arial" w:cs="Arial"/>
          <w:sz w:val="20"/>
          <w:szCs w:val="20"/>
        </w:rPr>
        <w:t xml:space="preserve">nflation of </w:t>
      </w:r>
      <w:r w:rsidR="00532BDB">
        <w:rPr>
          <w:rFonts w:ascii="Arial" w:hAnsi="Arial" w:cs="Arial"/>
          <w:sz w:val="20"/>
          <w:szCs w:val="20"/>
        </w:rPr>
        <w:t xml:space="preserve">the </w:t>
      </w:r>
      <w:r w:rsidR="00096370">
        <w:rPr>
          <w:rFonts w:ascii="Arial" w:hAnsi="Arial" w:cs="Arial"/>
          <w:sz w:val="20"/>
          <w:szCs w:val="20"/>
        </w:rPr>
        <w:t xml:space="preserve">1970s, </w:t>
      </w:r>
      <w:r w:rsidR="003F1E52">
        <w:rPr>
          <w:rFonts w:ascii="Arial" w:hAnsi="Arial" w:cs="Arial"/>
          <w:sz w:val="20"/>
          <w:szCs w:val="20"/>
        </w:rPr>
        <w:t xml:space="preserve">and </w:t>
      </w:r>
      <w:r w:rsidR="00096370">
        <w:rPr>
          <w:rFonts w:ascii="Arial" w:hAnsi="Arial" w:cs="Arial"/>
          <w:sz w:val="20"/>
          <w:szCs w:val="20"/>
        </w:rPr>
        <w:t xml:space="preserve">the </w:t>
      </w:r>
      <w:r w:rsidR="003F1E52">
        <w:rPr>
          <w:rFonts w:ascii="Arial" w:hAnsi="Arial" w:cs="Arial"/>
          <w:sz w:val="20"/>
          <w:szCs w:val="20"/>
        </w:rPr>
        <w:t>G</w:t>
      </w:r>
      <w:r w:rsidR="00096370">
        <w:rPr>
          <w:rFonts w:ascii="Arial" w:hAnsi="Arial" w:cs="Arial"/>
          <w:sz w:val="20"/>
          <w:szCs w:val="20"/>
        </w:rPr>
        <w:t xml:space="preserve">reat </w:t>
      </w:r>
      <w:r w:rsidR="003F1E52">
        <w:rPr>
          <w:rFonts w:ascii="Arial" w:hAnsi="Arial" w:cs="Arial"/>
          <w:sz w:val="20"/>
          <w:szCs w:val="20"/>
        </w:rPr>
        <w:t>F</w:t>
      </w:r>
      <w:r w:rsidR="00096370">
        <w:rPr>
          <w:rFonts w:ascii="Arial" w:hAnsi="Arial" w:cs="Arial"/>
          <w:sz w:val="20"/>
          <w:szCs w:val="20"/>
        </w:rPr>
        <w:t>inancial crisis of 2008</w:t>
      </w:r>
      <w:r w:rsidR="00596790">
        <w:rPr>
          <w:rFonts w:ascii="Arial" w:hAnsi="Arial" w:cs="Arial"/>
          <w:sz w:val="20"/>
          <w:szCs w:val="20"/>
        </w:rPr>
        <w:t xml:space="preserve">, there has never been a time period with negative returns for the 60/40 portfolio over a 10-year period. </w:t>
      </w:r>
    </w:p>
    <w:p w14:paraId="66976F1C" w14:textId="63A41D0B" w:rsidR="00A92042" w:rsidRDefault="00AC33C0" w:rsidP="000A760B">
      <w:pPr>
        <w:spacing w:after="120"/>
        <w:ind w:left="-720" w:right="-720"/>
        <w:rPr>
          <w:rFonts w:ascii="Arial" w:hAnsi="Arial" w:cs="Arial"/>
          <w:sz w:val="20"/>
          <w:szCs w:val="20"/>
        </w:rPr>
      </w:pPr>
      <w:r>
        <w:rPr>
          <w:rFonts w:ascii="Arial" w:hAnsi="Arial" w:cs="Arial"/>
          <w:color w:val="666666" w:themeColor="background2" w:themeShade="80"/>
          <w:sz w:val="16"/>
          <w:szCs w:val="16"/>
        </w:rPr>
        <w:tab/>
      </w:r>
      <w:r>
        <w:rPr>
          <w:rFonts w:ascii="Arial" w:hAnsi="Arial" w:cs="Arial"/>
          <w:color w:val="666666" w:themeColor="background2" w:themeShade="80"/>
          <w:sz w:val="16"/>
          <w:szCs w:val="16"/>
        </w:rPr>
        <w:tab/>
        <w:t xml:space="preserve">         </w:t>
      </w:r>
      <w:r w:rsidR="005C29C1">
        <w:rPr>
          <w:rFonts w:ascii="Arial" w:hAnsi="Arial" w:cs="Arial"/>
          <w:color w:val="666666" w:themeColor="background2" w:themeShade="80"/>
          <w:sz w:val="16"/>
          <w:szCs w:val="16"/>
        </w:rPr>
        <w:t xml:space="preserve">   </w:t>
      </w:r>
      <w:r w:rsidR="008351CE">
        <w:rPr>
          <w:rFonts w:ascii="Arial" w:hAnsi="Arial" w:cs="Arial"/>
          <w:color w:val="666666" w:themeColor="background2" w:themeShade="80"/>
          <w:sz w:val="16"/>
          <w:szCs w:val="16"/>
        </w:rPr>
        <w:t xml:space="preserve">           </w:t>
      </w:r>
    </w:p>
    <w:p w14:paraId="3333CFA5" w14:textId="45924D7D" w:rsidR="002B0CD0" w:rsidRPr="00FA2601" w:rsidRDefault="00B51934" w:rsidP="002B0CD0">
      <w:pPr>
        <w:spacing w:after="120"/>
        <w:ind w:left="-720" w:right="-720"/>
        <w:rPr>
          <w:rStyle w:val="IntenseEmphasis"/>
          <w:rFonts w:ascii="Arial" w:hAnsi="Arial" w:cs="Arial"/>
        </w:rPr>
      </w:pPr>
      <w:r>
        <w:rPr>
          <w:rStyle w:val="IntenseEmphasis"/>
          <w:rFonts w:ascii="Arial" w:hAnsi="Arial" w:cs="Arial"/>
        </w:rPr>
        <w:t>What</w:t>
      </w:r>
      <w:r w:rsidR="00B47A4C">
        <w:rPr>
          <w:rStyle w:val="IntenseEmphasis"/>
          <w:rFonts w:ascii="Arial" w:hAnsi="Arial" w:cs="Arial"/>
        </w:rPr>
        <w:t xml:space="preserve"> </w:t>
      </w:r>
      <w:r w:rsidR="009C31EB">
        <w:rPr>
          <w:rStyle w:val="IntenseEmphasis"/>
          <w:rFonts w:ascii="Arial" w:hAnsi="Arial" w:cs="Arial"/>
        </w:rPr>
        <w:t>N</w:t>
      </w:r>
      <w:r w:rsidR="002502D2">
        <w:rPr>
          <w:rStyle w:val="IntenseEmphasis"/>
          <w:rFonts w:ascii="Arial" w:hAnsi="Arial" w:cs="Arial"/>
        </w:rPr>
        <w:t xml:space="preserve">ext for the 60/40 </w:t>
      </w:r>
      <w:r w:rsidR="009C31EB">
        <w:rPr>
          <w:rStyle w:val="IntenseEmphasis"/>
          <w:rFonts w:ascii="Arial" w:hAnsi="Arial" w:cs="Arial"/>
        </w:rPr>
        <w:t>P</w:t>
      </w:r>
      <w:r w:rsidR="002502D2">
        <w:rPr>
          <w:rStyle w:val="IntenseEmphasis"/>
          <w:rFonts w:ascii="Arial" w:hAnsi="Arial" w:cs="Arial"/>
        </w:rPr>
        <w:t>ortfolio</w:t>
      </w:r>
      <w:r>
        <w:rPr>
          <w:rStyle w:val="IntenseEmphasis"/>
          <w:rFonts w:ascii="Arial" w:hAnsi="Arial" w:cs="Arial"/>
        </w:rPr>
        <w:t>?</w:t>
      </w:r>
      <w:r w:rsidR="002B0CD0">
        <w:rPr>
          <w:rStyle w:val="IntenseEmphasis"/>
          <w:rFonts w:ascii="Arial" w:hAnsi="Arial" w:cs="Arial"/>
        </w:rPr>
        <w:t xml:space="preserve"> </w:t>
      </w:r>
    </w:p>
    <w:p w14:paraId="4D7C28F5" w14:textId="3FF4A140" w:rsidR="000B0253" w:rsidRDefault="00B47A4C" w:rsidP="000B0253">
      <w:pPr>
        <w:spacing w:after="120"/>
        <w:ind w:left="-720" w:right="-720"/>
        <w:rPr>
          <w:rFonts w:ascii="Arial" w:hAnsi="Arial" w:cs="Arial"/>
          <w:sz w:val="20"/>
          <w:szCs w:val="20"/>
        </w:rPr>
      </w:pPr>
      <w:r>
        <w:rPr>
          <w:rFonts w:ascii="Arial" w:hAnsi="Arial" w:cs="Arial"/>
          <w:sz w:val="20"/>
          <w:szCs w:val="20"/>
        </w:rPr>
        <w:t>First, d</w:t>
      </w:r>
      <w:r w:rsidR="00CF32A4">
        <w:rPr>
          <w:rFonts w:ascii="Arial" w:hAnsi="Arial" w:cs="Arial"/>
          <w:sz w:val="20"/>
          <w:szCs w:val="20"/>
        </w:rPr>
        <w:t>iversification is not dead</w:t>
      </w:r>
      <w:r w:rsidR="003F1E52">
        <w:rPr>
          <w:rFonts w:ascii="Arial" w:hAnsi="Arial" w:cs="Arial"/>
          <w:sz w:val="20"/>
          <w:szCs w:val="20"/>
        </w:rPr>
        <w:t>,</w:t>
      </w:r>
      <w:r>
        <w:rPr>
          <w:rFonts w:ascii="Arial" w:hAnsi="Arial" w:cs="Arial"/>
          <w:sz w:val="20"/>
          <w:szCs w:val="20"/>
        </w:rPr>
        <w:t xml:space="preserve"> even if </w:t>
      </w:r>
      <w:r w:rsidR="008F73D1">
        <w:rPr>
          <w:rFonts w:ascii="Arial" w:hAnsi="Arial" w:cs="Arial"/>
          <w:sz w:val="20"/>
          <w:szCs w:val="20"/>
        </w:rPr>
        <w:t>it’s</w:t>
      </w:r>
      <w:r>
        <w:rPr>
          <w:rFonts w:ascii="Arial" w:hAnsi="Arial" w:cs="Arial"/>
          <w:sz w:val="20"/>
          <w:szCs w:val="20"/>
        </w:rPr>
        <w:t xml:space="preserve"> not working </w:t>
      </w:r>
      <w:r w:rsidR="00F62F7D">
        <w:rPr>
          <w:rFonts w:ascii="Arial" w:hAnsi="Arial" w:cs="Arial"/>
          <w:sz w:val="20"/>
          <w:szCs w:val="20"/>
        </w:rPr>
        <w:t xml:space="preserve">right </w:t>
      </w:r>
      <w:r>
        <w:rPr>
          <w:rFonts w:ascii="Arial" w:hAnsi="Arial" w:cs="Arial"/>
          <w:sz w:val="20"/>
          <w:szCs w:val="20"/>
        </w:rPr>
        <w:t>now</w:t>
      </w:r>
      <w:r w:rsidR="00CF32A4">
        <w:rPr>
          <w:rFonts w:ascii="Arial" w:hAnsi="Arial" w:cs="Arial"/>
          <w:sz w:val="20"/>
          <w:szCs w:val="20"/>
        </w:rPr>
        <w:t>. In 2022, inflation has been the most important concern. The Fed’s effort to tame inflation drove interest rates sharply higher.</w:t>
      </w:r>
      <w:r w:rsidR="00EF6BC7">
        <w:rPr>
          <w:rFonts w:ascii="Arial" w:hAnsi="Arial" w:cs="Arial"/>
          <w:sz w:val="20"/>
          <w:szCs w:val="20"/>
        </w:rPr>
        <w:t xml:space="preserve"> </w:t>
      </w:r>
      <w:r w:rsidR="00CF32A4">
        <w:rPr>
          <w:rFonts w:ascii="Arial" w:hAnsi="Arial" w:cs="Arial"/>
          <w:sz w:val="20"/>
          <w:szCs w:val="20"/>
        </w:rPr>
        <w:t xml:space="preserve">This caused both stocks and bonds to fall sharply. </w:t>
      </w:r>
      <w:r w:rsidR="00704ED8">
        <w:rPr>
          <w:rFonts w:ascii="Arial" w:hAnsi="Arial" w:cs="Arial"/>
          <w:sz w:val="20"/>
          <w:szCs w:val="20"/>
        </w:rPr>
        <w:t>Given the Fed’s action</w:t>
      </w:r>
      <w:r w:rsidR="00704ED8" w:rsidRPr="00C775DF">
        <w:rPr>
          <w:rFonts w:ascii="Arial" w:hAnsi="Arial" w:cs="Arial"/>
          <w:sz w:val="20"/>
          <w:szCs w:val="20"/>
        </w:rPr>
        <w:t xml:space="preserve">, </w:t>
      </w:r>
      <w:r w:rsidR="00CF32A4" w:rsidRPr="00C775DF">
        <w:rPr>
          <w:rFonts w:ascii="Arial" w:hAnsi="Arial" w:cs="Arial"/>
          <w:sz w:val="20"/>
          <w:szCs w:val="20"/>
        </w:rPr>
        <w:t>negative return</w:t>
      </w:r>
      <w:r w:rsidR="00704ED8" w:rsidRPr="00C775DF">
        <w:rPr>
          <w:rFonts w:ascii="Arial" w:hAnsi="Arial" w:cs="Arial"/>
          <w:sz w:val="20"/>
          <w:szCs w:val="20"/>
        </w:rPr>
        <w:t>s</w:t>
      </w:r>
      <w:r w:rsidR="00CF32A4" w:rsidRPr="00C775DF">
        <w:rPr>
          <w:rFonts w:ascii="Arial" w:hAnsi="Arial" w:cs="Arial"/>
          <w:sz w:val="20"/>
          <w:szCs w:val="20"/>
        </w:rPr>
        <w:t xml:space="preserve"> for stocks </w:t>
      </w:r>
      <w:r w:rsidR="00704ED8" w:rsidRPr="00C775DF">
        <w:rPr>
          <w:rFonts w:ascii="Arial" w:hAnsi="Arial" w:cs="Arial"/>
          <w:sz w:val="20"/>
          <w:szCs w:val="20"/>
        </w:rPr>
        <w:t>are</w:t>
      </w:r>
      <w:r w:rsidR="00CF32A4" w:rsidRPr="00C775DF">
        <w:rPr>
          <w:rFonts w:ascii="Arial" w:hAnsi="Arial" w:cs="Arial"/>
          <w:sz w:val="20"/>
          <w:szCs w:val="20"/>
        </w:rPr>
        <w:t xml:space="preserve"> not surprising</w:t>
      </w:r>
      <w:r w:rsidR="00704ED8" w:rsidRPr="00C775DF">
        <w:rPr>
          <w:rFonts w:ascii="Arial" w:hAnsi="Arial" w:cs="Arial"/>
          <w:sz w:val="20"/>
          <w:szCs w:val="20"/>
        </w:rPr>
        <w:t>.</w:t>
      </w:r>
      <w:r w:rsidR="00CF32A4" w:rsidRPr="00C775DF">
        <w:rPr>
          <w:rFonts w:ascii="Arial" w:hAnsi="Arial" w:cs="Arial"/>
          <w:sz w:val="20"/>
          <w:szCs w:val="20"/>
        </w:rPr>
        <w:t xml:space="preserve"> </w:t>
      </w:r>
      <w:r w:rsidR="00704ED8" w:rsidRPr="00C775DF">
        <w:rPr>
          <w:rFonts w:ascii="Arial" w:hAnsi="Arial" w:cs="Arial"/>
          <w:sz w:val="20"/>
          <w:szCs w:val="20"/>
        </w:rPr>
        <w:t>M</w:t>
      </w:r>
      <w:r w:rsidR="00CF32A4" w:rsidRPr="00C775DF">
        <w:rPr>
          <w:rFonts w:ascii="Arial" w:hAnsi="Arial" w:cs="Arial"/>
          <w:sz w:val="20"/>
          <w:szCs w:val="20"/>
        </w:rPr>
        <w:t>uch of the pain in bonds stems from starting at near zero yields in 2021</w:t>
      </w:r>
      <w:r w:rsidR="003F1E52" w:rsidRPr="00C775DF">
        <w:rPr>
          <w:rFonts w:ascii="Arial" w:hAnsi="Arial" w:cs="Arial"/>
          <w:sz w:val="20"/>
          <w:szCs w:val="20"/>
        </w:rPr>
        <w:t>,</w:t>
      </w:r>
      <w:r w:rsidR="00CF32A4">
        <w:rPr>
          <w:rFonts w:ascii="Arial" w:hAnsi="Arial" w:cs="Arial"/>
          <w:sz w:val="20"/>
          <w:szCs w:val="20"/>
        </w:rPr>
        <w:t xml:space="preserve"> which provided bond investors with no cushion from price hits as interest rates rose. Looking to the future</w:t>
      </w:r>
      <w:r w:rsidR="00532BDB">
        <w:rPr>
          <w:rFonts w:ascii="Arial" w:hAnsi="Arial" w:cs="Arial"/>
          <w:sz w:val="20"/>
          <w:szCs w:val="20"/>
        </w:rPr>
        <w:t>,</w:t>
      </w:r>
      <w:r w:rsidR="00CF32A4">
        <w:rPr>
          <w:rFonts w:ascii="Arial" w:hAnsi="Arial" w:cs="Arial"/>
          <w:sz w:val="20"/>
          <w:szCs w:val="20"/>
        </w:rPr>
        <w:t xml:space="preserve"> however, when the fear shifts from inflation to recession and growth, the traditional </w:t>
      </w:r>
      <w:r w:rsidR="00CF32A4">
        <w:rPr>
          <w:rFonts w:ascii="Arial" w:hAnsi="Arial" w:cs="Arial"/>
          <w:sz w:val="20"/>
          <w:szCs w:val="20"/>
        </w:rPr>
        <w:t xml:space="preserve">diversification benefits across stocks and bonds will come back </w:t>
      </w:r>
      <w:r w:rsidR="003F1E52">
        <w:rPr>
          <w:rFonts w:ascii="Arial" w:hAnsi="Arial" w:cs="Arial"/>
          <w:sz w:val="20"/>
          <w:szCs w:val="20"/>
        </w:rPr>
        <w:t>in</w:t>
      </w:r>
      <w:r w:rsidR="00CF32A4">
        <w:rPr>
          <w:rFonts w:ascii="Arial" w:hAnsi="Arial" w:cs="Arial"/>
          <w:sz w:val="20"/>
          <w:szCs w:val="20"/>
        </w:rPr>
        <w:t>to play</w:t>
      </w:r>
      <w:r w:rsidR="003E7F10">
        <w:rPr>
          <w:rFonts w:ascii="Arial" w:hAnsi="Arial" w:cs="Arial"/>
          <w:sz w:val="20"/>
          <w:szCs w:val="20"/>
        </w:rPr>
        <w:t>.</w:t>
      </w:r>
      <w:r w:rsidR="008002B1">
        <w:rPr>
          <w:rFonts w:ascii="Arial" w:hAnsi="Arial" w:cs="Arial"/>
          <w:sz w:val="20"/>
          <w:szCs w:val="20"/>
        </w:rPr>
        <w:t xml:space="preserve"> </w:t>
      </w:r>
    </w:p>
    <w:p w14:paraId="58F3DD18" w14:textId="349CC02E" w:rsidR="00F925FE" w:rsidRDefault="003F1E52" w:rsidP="000B0253">
      <w:pPr>
        <w:spacing w:after="120"/>
        <w:ind w:left="-720" w:right="-720"/>
        <w:rPr>
          <w:rFonts w:ascii="Arial" w:hAnsi="Arial" w:cs="Arial"/>
          <w:sz w:val="20"/>
          <w:szCs w:val="20"/>
        </w:rPr>
      </w:pPr>
      <w:r>
        <w:rPr>
          <w:rFonts w:ascii="Arial" w:hAnsi="Arial" w:cs="Arial"/>
          <w:noProof/>
          <w:sz w:val="20"/>
          <w:szCs w:val="20"/>
        </w:rPr>
        <w:drawing>
          <wp:anchor distT="0" distB="0" distL="114300" distR="114300" simplePos="0" relativeHeight="251678720" behindDoc="0" locked="0" layoutInCell="1" allowOverlap="1" wp14:anchorId="416CD3B3" wp14:editId="3B7B4E97">
            <wp:simplePos x="0" y="0"/>
            <wp:positionH relativeFrom="column">
              <wp:posOffset>-354178</wp:posOffset>
            </wp:positionH>
            <wp:positionV relativeFrom="paragraph">
              <wp:posOffset>964590</wp:posOffset>
            </wp:positionV>
            <wp:extent cx="2898140" cy="1597660"/>
            <wp:effectExtent l="0" t="0" r="0" b="254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8140" cy="1597660"/>
                    </a:xfrm>
                    <a:prstGeom prst="rect">
                      <a:avLst/>
                    </a:prstGeom>
                    <a:noFill/>
                  </pic:spPr>
                </pic:pic>
              </a:graphicData>
            </a:graphic>
            <wp14:sizeRelH relativeFrom="margin">
              <wp14:pctWidth>0</wp14:pctWidth>
            </wp14:sizeRelH>
          </wp:anchor>
        </w:drawing>
      </w:r>
      <w:r w:rsidR="00596790">
        <w:rPr>
          <w:rFonts w:ascii="Arial" w:hAnsi="Arial" w:cs="Arial"/>
          <w:sz w:val="20"/>
          <w:szCs w:val="20"/>
        </w:rPr>
        <w:t>Second, the selloff in markets provide</w:t>
      </w:r>
      <w:r w:rsidR="00385A2C">
        <w:rPr>
          <w:rFonts w:ascii="Arial" w:hAnsi="Arial" w:cs="Arial"/>
          <w:sz w:val="20"/>
          <w:szCs w:val="20"/>
        </w:rPr>
        <w:t>s</w:t>
      </w:r>
      <w:r w:rsidR="00596790">
        <w:rPr>
          <w:rFonts w:ascii="Arial" w:hAnsi="Arial" w:cs="Arial"/>
          <w:sz w:val="20"/>
          <w:szCs w:val="20"/>
        </w:rPr>
        <w:t xml:space="preserve"> greater return potential over the long</w:t>
      </w:r>
      <w:r w:rsidR="00532BDB">
        <w:rPr>
          <w:rFonts w:ascii="Arial" w:hAnsi="Arial" w:cs="Arial"/>
          <w:sz w:val="20"/>
          <w:szCs w:val="20"/>
        </w:rPr>
        <w:t xml:space="preserve"> </w:t>
      </w:r>
      <w:r w:rsidR="00596790">
        <w:rPr>
          <w:rFonts w:ascii="Arial" w:hAnsi="Arial" w:cs="Arial"/>
          <w:sz w:val="20"/>
          <w:szCs w:val="20"/>
        </w:rPr>
        <w:t xml:space="preserve">term. Historically, after </w:t>
      </w:r>
      <w:r w:rsidR="00385A2C">
        <w:rPr>
          <w:rFonts w:ascii="Arial" w:hAnsi="Arial" w:cs="Arial"/>
          <w:sz w:val="20"/>
          <w:szCs w:val="20"/>
        </w:rPr>
        <w:t>a</w:t>
      </w:r>
      <w:r w:rsidR="00D54686">
        <w:rPr>
          <w:rFonts w:ascii="Arial" w:hAnsi="Arial" w:cs="Arial"/>
          <w:sz w:val="20"/>
          <w:szCs w:val="20"/>
        </w:rPr>
        <w:t>n equity</w:t>
      </w:r>
      <w:r w:rsidR="00385A2C">
        <w:rPr>
          <w:rFonts w:ascii="Arial" w:hAnsi="Arial" w:cs="Arial"/>
          <w:sz w:val="20"/>
          <w:szCs w:val="20"/>
        </w:rPr>
        <w:t xml:space="preserve"> </w:t>
      </w:r>
      <w:r w:rsidR="00596790">
        <w:rPr>
          <w:rFonts w:ascii="Arial" w:hAnsi="Arial" w:cs="Arial"/>
          <w:sz w:val="20"/>
          <w:szCs w:val="20"/>
        </w:rPr>
        <w:t>bear market (</w:t>
      </w:r>
      <w:r w:rsidR="00385A2C">
        <w:rPr>
          <w:rFonts w:ascii="Arial" w:hAnsi="Arial" w:cs="Arial"/>
          <w:sz w:val="20"/>
          <w:szCs w:val="20"/>
        </w:rPr>
        <w:t xml:space="preserve">a </w:t>
      </w:r>
      <w:r w:rsidR="00596790">
        <w:rPr>
          <w:rFonts w:ascii="Arial" w:hAnsi="Arial" w:cs="Arial"/>
          <w:sz w:val="20"/>
          <w:szCs w:val="20"/>
        </w:rPr>
        <w:t>drop of 20% or more), the subsequent</w:t>
      </w:r>
      <w:r w:rsidR="00F62F7D">
        <w:rPr>
          <w:rFonts w:ascii="Arial" w:hAnsi="Arial" w:cs="Arial"/>
          <w:sz w:val="20"/>
          <w:szCs w:val="20"/>
        </w:rPr>
        <w:t xml:space="preserve"> 1</w:t>
      </w:r>
      <w:r w:rsidR="00532BDB">
        <w:rPr>
          <w:rFonts w:ascii="Arial" w:hAnsi="Arial" w:cs="Arial"/>
          <w:sz w:val="20"/>
          <w:szCs w:val="20"/>
        </w:rPr>
        <w:t>-</w:t>
      </w:r>
      <w:r w:rsidR="00F62F7D">
        <w:rPr>
          <w:rFonts w:ascii="Arial" w:hAnsi="Arial" w:cs="Arial"/>
          <w:sz w:val="20"/>
          <w:szCs w:val="20"/>
        </w:rPr>
        <w:t>, 5</w:t>
      </w:r>
      <w:r w:rsidR="00532BDB">
        <w:rPr>
          <w:rFonts w:ascii="Arial" w:hAnsi="Arial" w:cs="Arial"/>
          <w:sz w:val="20"/>
          <w:szCs w:val="20"/>
        </w:rPr>
        <w:t>-</w:t>
      </w:r>
      <w:r w:rsidR="00F62F7D">
        <w:rPr>
          <w:rFonts w:ascii="Arial" w:hAnsi="Arial" w:cs="Arial"/>
          <w:sz w:val="20"/>
          <w:szCs w:val="20"/>
        </w:rPr>
        <w:t xml:space="preserve"> and 10-year</w:t>
      </w:r>
      <w:r w:rsidR="00596790">
        <w:rPr>
          <w:rFonts w:ascii="Arial" w:hAnsi="Arial" w:cs="Arial"/>
          <w:sz w:val="20"/>
          <w:szCs w:val="20"/>
        </w:rPr>
        <w:t xml:space="preserve"> </w:t>
      </w:r>
      <w:r w:rsidR="00BC5E3C">
        <w:rPr>
          <w:rFonts w:ascii="Arial" w:hAnsi="Arial" w:cs="Arial"/>
          <w:sz w:val="20"/>
          <w:szCs w:val="20"/>
        </w:rPr>
        <w:t xml:space="preserve">cumulative </w:t>
      </w:r>
      <w:r w:rsidR="00596790">
        <w:rPr>
          <w:rFonts w:ascii="Arial" w:hAnsi="Arial" w:cs="Arial"/>
          <w:sz w:val="20"/>
          <w:szCs w:val="20"/>
        </w:rPr>
        <w:t>returns for</w:t>
      </w:r>
      <w:r>
        <w:rPr>
          <w:rFonts w:ascii="Arial" w:hAnsi="Arial" w:cs="Arial"/>
          <w:sz w:val="20"/>
          <w:szCs w:val="20"/>
        </w:rPr>
        <w:t xml:space="preserve"> the equity markets</w:t>
      </w:r>
      <w:r w:rsidR="00596790">
        <w:rPr>
          <w:rFonts w:ascii="Arial" w:hAnsi="Arial" w:cs="Arial"/>
          <w:sz w:val="20"/>
          <w:szCs w:val="20"/>
        </w:rPr>
        <w:t xml:space="preserve"> have been </w:t>
      </w:r>
      <w:r w:rsidR="00F925FE">
        <w:rPr>
          <w:rFonts w:ascii="Arial" w:hAnsi="Arial" w:cs="Arial"/>
          <w:sz w:val="20"/>
          <w:szCs w:val="20"/>
        </w:rPr>
        <w:t>strong</w:t>
      </w:r>
      <w:r w:rsidR="00596790">
        <w:rPr>
          <w:rFonts w:ascii="Arial" w:hAnsi="Arial" w:cs="Arial"/>
          <w:sz w:val="20"/>
          <w:szCs w:val="20"/>
        </w:rPr>
        <w:t>.</w:t>
      </w:r>
      <w:r w:rsidR="00EF6BC7">
        <w:rPr>
          <w:rStyle w:val="EndnoteReference"/>
          <w:rFonts w:ascii="Arial" w:hAnsi="Arial" w:cs="Arial"/>
          <w:sz w:val="20"/>
          <w:szCs w:val="20"/>
        </w:rPr>
        <w:endnoteReference w:id="9"/>
      </w:r>
      <w:r w:rsidR="00596790">
        <w:rPr>
          <w:rFonts w:ascii="Arial" w:hAnsi="Arial" w:cs="Arial"/>
          <w:sz w:val="20"/>
          <w:szCs w:val="20"/>
        </w:rPr>
        <w:t xml:space="preserve"> </w:t>
      </w:r>
    </w:p>
    <w:p w14:paraId="70C77FC9" w14:textId="320C3392" w:rsidR="00541DF6" w:rsidRDefault="00541DF6" w:rsidP="000B0253">
      <w:pPr>
        <w:spacing w:after="120"/>
        <w:ind w:left="-720" w:right="-720"/>
        <w:rPr>
          <w:rFonts w:ascii="Arial" w:hAnsi="Arial" w:cs="Arial"/>
          <w:sz w:val="20"/>
          <w:szCs w:val="20"/>
        </w:rPr>
      </w:pPr>
    </w:p>
    <w:p w14:paraId="34457336" w14:textId="267A6E3C" w:rsidR="00A63703" w:rsidRDefault="00596790" w:rsidP="000A760B">
      <w:pPr>
        <w:spacing w:after="120"/>
        <w:ind w:left="-720" w:right="-720"/>
        <w:rPr>
          <w:rFonts w:ascii="Arial" w:hAnsi="Arial" w:cs="Arial"/>
          <w:sz w:val="20"/>
          <w:szCs w:val="20"/>
        </w:rPr>
      </w:pPr>
      <w:r>
        <w:rPr>
          <w:rFonts w:ascii="Arial" w:hAnsi="Arial" w:cs="Arial"/>
          <w:sz w:val="20"/>
          <w:szCs w:val="20"/>
        </w:rPr>
        <w:t xml:space="preserve">Similarly, bond yields </w:t>
      </w:r>
      <w:r w:rsidR="00F62F7D">
        <w:rPr>
          <w:rFonts w:ascii="Arial" w:hAnsi="Arial" w:cs="Arial"/>
          <w:sz w:val="20"/>
          <w:szCs w:val="20"/>
        </w:rPr>
        <w:t xml:space="preserve">have improved dramatically too. The yield on the </w:t>
      </w:r>
      <w:r w:rsidR="003F1E52" w:rsidRPr="003F1E52">
        <w:rPr>
          <w:rFonts w:ascii="Arial" w:hAnsi="Arial" w:cs="Arial"/>
          <w:sz w:val="20"/>
          <w:szCs w:val="20"/>
        </w:rPr>
        <w:t>Bloomberg US Aggregate Bond Index</w:t>
      </w:r>
      <w:r w:rsidR="003F1E52">
        <w:rPr>
          <w:rFonts w:ascii="Arial" w:hAnsi="Arial" w:cs="Arial"/>
          <w:sz w:val="20"/>
          <w:szCs w:val="20"/>
        </w:rPr>
        <w:t>,</w:t>
      </w:r>
      <w:r w:rsidR="003F1E52" w:rsidRPr="003F1E52">
        <w:rPr>
          <w:rFonts w:ascii="Arial" w:hAnsi="Arial" w:cs="Arial"/>
          <w:sz w:val="20"/>
          <w:szCs w:val="20"/>
        </w:rPr>
        <w:t xml:space="preserve"> </w:t>
      </w:r>
      <w:r w:rsidR="00F62F7D">
        <w:rPr>
          <w:rFonts w:ascii="Arial" w:hAnsi="Arial" w:cs="Arial"/>
          <w:sz w:val="20"/>
          <w:szCs w:val="20"/>
        </w:rPr>
        <w:t>as of September 30, 2022</w:t>
      </w:r>
      <w:r w:rsidR="003F1E52">
        <w:rPr>
          <w:rFonts w:ascii="Arial" w:hAnsi="Arial" w:cs="Arial"/>
          <w:sz w:val="20"/>
          <w:szCs w:val="20"/>
        </w:rPr>
        <w:t>,</w:t>
      </w:r>
      <w:r w:rsidR="00F62F7D">
        <w:rPr>
          <w:rFonts w:ascii="Arial" w:hAnsi="Arial" w:cs="Arial"/>
          <w:sz w:val="20"/>
          <w:szCs w:val="20"/>
        </w:rPr>
        <w:t xml:space="preserve"> stood at 4.8%</w:t>
      </w:r>
      <w:r w:rsidR="00F925FE">
        <w:rPr>
          <w:rFonts w:ascii="Arial" w:hAnsi="Arial" w:cs="Arial"/>
          <w:sz w:val="20"/>
          <w:szCs w:val="20"/>
        </w:rPr>
        <w:t xml:space="preserve">, a 3x gain </w:t>
      </w:r>
      <w:r w:rsidR="00F62F7D">
        <w:rPr>
          <w:rFonts w:ascii="Arial" w:hAnsi="Arial" w:cs="Arial"/>
          <w:sz w:val="20"/>
          <w:szCs w:val="20"/>
        </w:rPr>
        <w:t>from 1.6% a year ago.</w:t>
      </w:r>
      <w:r w:rsidR="00EF6BC7">
        <w:rPr>
          <w:rStyle w:val="EndnoteReference"/>
          <w:rFonts w:ascii="Arial" w:hAnsi="Arial" w:cs="Arial"/>
          <w:sz w:val="20"/>
          <w:szCs w:val="20"/>
        </w:rPr>
        <w:endnoteReference w:id="10"/>
      </w:r>
      <w:r w:rsidR="00F62F7D">
        <w:rPr>
          <w:rFonts w:ascii="Arial" w:hAnsi="Arial" w:cs="Arial"/>
          <w:sz w:val="20"/>
          <w:szCs w:val="20"/>
        </w:rPr>
        <w:t xml:space="preserve"> </w:t>
      </w:r>
      <w:r w:rsidR="00C74C41">
        <w:rPr>
          <w:rFonts w:ascii="Arial" w:hAnsi="Arial" w:cs="Arial"/>
          <w:sz w:val="20"/>
          <w:szCs w:val="20"/>
        </w:rPr>
        <w:t xml:space="preserve"> </w:t>
      </w:r>
      <w:r w:rsidR="00F925FE">
        <w:rPr>
          <w:rFonts w:ascii="Arial" w:hAnsi="Arial" w:cs="Arial"/>
          <w:sz w:val="20"/>
          <w:szCs w:val="20"/>
        </w:rPr>
        <w:t xml:space="preserve">Rising interest rates have been a source of short-term pain this year, but today’s higher yields have significantly boosted the outlook for future </w:t>
      </w:r>
      <w:r w:rsidR="00532BDB">
        <w:rPr>
          <w:rFonts w:ascii="Arial" w:hAnsi="Arial" w:cs="Arial"/>
          <w:sz w:val="20"/>
          <w:szCs w:val="20"/>
        </w:rPr>
        <w:t>fixed-</w:t>
      </w:r>
      <w:r w:rsidR="00F925FE">
        <w:rPr>
          <w:rFonts w:ascii="Arial" w:hAnsi="Arial" w:cs="Arial"/>
          <w:sz w:val="20"/>
          <w:szCs w:val="20"/>
        </w:rPr>
        <w:t>income returns.</w:t>
      </w:r>
    </w:p>
    <w:p w14:paraId="3172F46C" w14:textId="39FB9EF0" w:rsidR="002502D2" w:rsidRDefault="002502D2" w:rsidP="000A760B">
      <w:pPr>
        <w:spacing w:after="120"/>
        <w:ind w:left="-720" w:right="-720"/>
        <w:rPr>
          <w:rFonts w:ascii="Arial" w:hAnsi="Arial" w:cs="Arial"/>
          <w:sz w:val="20"/>
          <w:szCs w:val="20"/>
        </w:rPr>
      </w:pPr>
      <w:r>
        <w:rPr>
          <w:rStyle w:val="IntenseEmphasis"/>
          <w:rFonts w:ascii="Arial" w:hAnsi="Arial" w:cs="Arial"/>
        </w:rPr>
        <w:t>Conclusion</w:t>
      </w:r>
    </w:p>
    <w:p w14:paraId="7915FDE2" w14:textId="442A2FD2" w:rsidR="007A192B" w:rsidRPr="00A63703" w:rsidRDefault="00541DF6" w:rsidP="000A760B">
      <w:pPr>
        <w:spacing w:after="120"/>
        <w:ind w:left="-720" w:right="-720"/>
        <w:rPr>
          <w:rFonts w:ascii="Arial" w:hAnsi="Arial" w:cs="Arial"/>
          <w:sz w:val="20"/>
          <w:szCs w:val="20"/>
        </w:rPr>
      </w:pPr>
      <w:r>
        <w:rPr>
          <w:rFonts w:ascii="Arial" w:hAnsi="Arial" w:cs="Arial"/>
          <w:sz w:val="20"/>
          <w:szCs w:val="20"/>
        </w:rPr>
        <w:t xml:space="preserve">The </w:t>
      </w:r>
      <w:r w:rsidR="005A219A">
        <w:rPr>
          <w:rFonts w:ascii="Arial" w:hAnsi="Arial" w:cs="Arial"/>
          <w:sz w:val="20"/>
          <w:szCs w:val="20"/>
        </w:rPr>
        <w:t xml:space="preserve">challenges facing a 60/40 portfolio may </w:t>
      </w:r>
      <w:r w:rsidR="00F7788F">
        <w:rPr>
          <w:rFonts w:ascii="Arial" w:hAnsi="Arial" w:cs="Arial"/>
          <w:sz w:val="20"/>
          <w:szCs w:val="20"/>
        </w:rPr>
        <w:t xml:space="preserve">continue to </w:t>
      </w:r>
      <w:r w:rsidR="00B47A4C">
        <w:rPr>
          <w:rFonts w:ascii="Arial" w:hAnsi="Arial" w:cs="Arial"/>
          <w:sz w:val="20"/>
          <w:szCs w:val="20"/>
        </w:rPr>
        <w:t>plague us for longer</w:t>
      </w:r>
      <w:r w:rsidR="00BE15C0">
        <w:rPr>
          <w:rFonts w:ascii="Arial" w:hAnsi="Arial" w:cs="Arial"/>
          <w:sz w:val="20"/>
          <w:szCs w:val="20"/>
        </w:rPr>
        <w:t>, but that does not mean the strategy is dead</w:t>
      </w:r>
      <w:r>
        <w:rPr>
          <w:rFonts w:ascii="Arial" w:hAnsi="Arial" w:cs="Arial"/>
          <w:sz w:val="20"/>
          <w:szCs w:val="20"/>
        </w:rPr>
        <w:t>.</w:t>
      </w:r>
      <w:r w:rsidR="00EF6BC7">
        <w:rPr>
          <w:rFonts w:ascii="Arial" w:hAnsi="Arial" w:cs="Arial"/>
          <w:sz w:val="20"/>
          <w:szCs w:val="20"/>
        </w:rPr>
        <w:t xml:space="preserve"> </w:t>
      </w:r>
      <w:r w:rsidR="00BC5E3C">
        <w:rPr>
          <w:rFonts w:ascii="Arial" w:hAnsi="Arial" w:cs="Arial"/>
          <w:sz w:val="20"/>
          <w:szCs w:val="20"/>
        </w:rPr>
        <w:t>The sharp selloff in stocks and rising yields in bonds have improved the potential for the long-term outlook for the traditional 60/40</w:t>
      </w:r>
      <w:r w:rsidR="00C74C41">
        <w:rPr>
          <w:rFonts w:ascii="Arial" w:hAnsi="Arial" w:cs="Arial"/>
          <w:sz w:val="20"/>
          <w:szCs w:val="20"/>
        </w:rPr>
        <w:t xml:space="preserve"> portfolio</w:t>
      </w:r>
      <w:r w:rsidR="00BC5E3C">
        <w:rPr>
          <w:rFonts w:ascii="Arial" w:hAnsi="Arial" w:cs="Arial"/>
          <w:sz w:val="20"/>
          <w:szCs w:val="20"/>
        </w:rPr>
        <w:t>.</w:t>
      </w:r>
      <w:r w:rsidR="00BE15C0">
        <w:rPr>
          <w:rFonts w:ascii="Arial" w:hAnsi="Arial" w:cs="Arial"/>
          <w:sz w:val="20"/>
          <w:szCs w:val="20"/>
        </w:rPr>
        <w:t xml:space="preserve"> Finally, </w:t>
      </w:r>
      <w:r w:rsidR="00BC5E3C">
        <w:rPr>
          <w:rFonts w:ascii="Arial" w:hAnsi="Arial" w:cs="Arial"/>
          <w:sz w:val="20"/>
          <w:szCs w:val="20"/>
        </w:rPr>
        <w:t xml:space="preserve">investors could seek opportunities to improve diversification through </w:t>
      </w:r>
      <w:r w:rsidR="00BE15C0">
        <w:rPr>
          <w:rFonts w:ascii="Arial" w:hAnsi="Arial" w:cs="Arial"/>
          <w:sz w:val="20"/>
          <w:szCs w:val="20"/>
        </w:rPr>
        <w:t xml:space="preserve">the inclusion of </w:t>
      </w:r>
      <w:r w:rsidR="00BC5E3C">
        <w:rPr>
          <w:rFonts w:ascii="Arial" w:hAnsi="Arial" w:cs="Arial"/>
          <w:sz w:val="20"/>
          <w:szCs w:val="20"/>
        </w:rPr>
        <w:t>active management</w:t>
      </w:r>
      <w:r w:rsidR="00C74C41">
        <w:rPr>
          <w:rFonts w:ascii="Arial" w:hAnsi="Arial" w:cs="Arial"/>
          <w:sz w:val="20"/>
          <w:szCs w:val="20"/>
        </w:rPr>
        <w:t>,</w:t>
      </w:r>
      <w:r w:rsidR="00BE15C0">
        <w:rPr>
          <w:rFonts w:ascii="Arial" w:hAnsi="Arial" w:cs="Arial"/>
          <w:sz w:val="20"/>
          <w:szCs w:val="20"/>
        </w:rPr>
        <w:t xml:space="preserve"> as well as </w:t>
      </w:r>
      <w:r w:rsidR="00BC5E3C">
        <w:rPr>
          <w:rFonts w:ascii="Arial" w:hAnsi="Arial" w:cs="Arial"/>
          <w:sz w:val="20"/>
          <w:szCs w:val="20"/>
        </w:rPr>
        <w:t xml:space="preserve">the inclusion of alternative </w:t>
      </w:r>
      <w:r w:rsidR="00D54686">
        <w:rPr>
          <w:rFonts w:ascii="Arial" w:hAnsi="Arial" w:cs="Arial"/>
          <w:sz w:val="20"/>
          <w:szCs w:val="20"/>
        </w:rPr>
        <w:t xml:space="preserve">strategies </w:t>
      </w:r>
      <w:r w:rsidR="00BE15C0">
        <w:rPr>
          <w:rFonts w:ascii="Arial" w:hAnsi="Arial" w:cs="Arial"/>
          <w:sz w:val="20"/>
          <w:szCs w:val="20"/>
        </w:rPr>
        <w:t>beyond</w:t>
      </w:r>
      <w:r w:rsidR="00BC5E3C">
        <w:rPr>
          <w:rFonts w:ascii="Arial" w:hAnsi="Arial" w:cs="Arial"/>
          <w:sz w:val="20"/>
          <w:szCs w:val="20"/>
        </w:rPr>
        <w:t xml:space="preserve"> tradi</w:t>
      </w:r>
      <w:r w:rsidR="008F73D1">
        <w:rPr>
          <w:rFonts w:ascii="Arial" w:hAnsi="Arial" w:cs="Arial"/>
          <w:sz w:val="20"/>
          <w:szCs w:val="20"/>
        </w:rPr>
        <w:t>tio</w:t>
      </w:r>
      <w:r w:rsidR="00BC5E3C">
        <w:rPr>
          <w:rFonts w:ascii="Arial" w:hAnsi="Arial" w:cs="Arial"/>
          <w:sz w:val="20"/>
          <w:szCs w:val="20"/>
        </w:rPr>
        <w:t>nal stocks and bonds.</w:t>
      </w:r>
      <w:r w:rsidR="006F090C">
        <w:rPr>
          <w:rFonts w:ascii="Arial" w:hAnsi="Arial" w:cs="Arial"/>
          <w:sz w:val="20"/>
          <w:szCs w:val="20"/>
        </w:rPr>
        <w:t xml:space="preserve"> </w:t>
      </w:r>
      <w:r w:rsidR="00F7788F">
        <w:rPr>
          <w:rFonts w:ascii="Arial" w:hAnsi="Arial" w:cs="Arial"/>
          <w:sz w:val="20"/>
          <w:szCs w:val="20"/>
        </w:rPr>
        <w:t>Challengin</w:t>
      </w:r>
      <w:r w:rsidR="00DE5972">
        <w:rPr>
          <w:rFonts w:ascii="Arial" w:hAnsi="Arial" w:cs="Arial"/>
          <w:sz w:val="20"/>
          <w:szCs w:val="20"/>
        </w:rPr>
        <w:t>g</w:t>
      </w:r>
      <w:r w:rsidR="00F7788F">
        <w:rPr>
          <w:rFonts w:ascii="Arial" w:hAnsi="Arial" w:cs="Arial"/>
          <w:sz w:val="20"/>
          <w:szCs w:val="20"/>
        </w:rPr>
        <w:t xml:space="preserve"> years like 2022 </w:t>
      </w:r>
      <w:r w:rsidR="00532BDB">
        <w:rPr>
          <w:rFonts w:ascii="Arial" w:hAnsi="Arial" w:cs="Arial"/>
          <w:sz w:val="20"/>
          <w:szCs w:val="20"/>
        </w:rPr>
        <w:t>remind</w:t>
      </w:r>
      <w:r w:rsidR="006F090C">
        <w:rPr>
          <w:rFonts w:ascii="Arial" w:hAnsi="Arial" w:cs="Arial"/>
          <w:sz w:val="20"/>
          <w:szCs w:val="20"/>
        </w:rPr>
        <w:t xml:space="preserve"> investors that diversification works </w:t>
      </w:r>
      <w:proofErr w:type="gramStart"/>
      <w:r w:rsidR="00226D09">
        <w:rPr>
          <w:rFonts w:ascii="Arial" w:hAnsi="Arial" w:cs="Arial"/>
          <w:sz w:val="20"/>
          <w:szCs w:val="20"/>
        </w:rPr>
        <w:t>over</w:t>
      </w:r>
      <w:r w:rsidR="00CE1D20">
        <w:rPr>
          <w:rFonts w:ascii="Arial" w:hAnsi="Arial" w:cs="Arial"/>
          <w:sz w:val="20"/>
          <w:szCs w:val="20"/>
        </w:rPr>
        <w:t xml:space="preserve"> </w:t>
      </w:r>
      <w:r w:rsidR="00226D09">
        <w:rPr>
          <w:rFonts w:ascii="Arial" w:hAnsi="Arial" w:cs="Arial"/>
          <w:sz w:val="20"/>
          <w:szCs w:val="20"/>
        </w:rPr>
        <w:t>time</w:t>
      </w:r>
      <w:proofErr w:type="gramEnd"/>
      <w:r w:rsidR="00C74C41">
        <w:rPr>
          <w:rFonts w:ascii="Arial" w:hAnsi="Arial" w:cs="Arial"/>
          <w:sz w:val="20"/>
          <w:szCs w:val="20"/>
        </w:rPr>
        <w:t>, but</w:t>
      </w:r>
      <w:r w:rsidR="00EF6BC7">
        <w:rPr>
          <w:rFonts w:ascii="Arial" w:hAnsi="Arial" w:cs="Arial"/>
          <w:sz w:val="20"/>
          <w:szCs w:val="20"/>
        </w:rPr>
        <w:t xml:space="preserve"> not </w:t>
      </w:r>
      <w:r w:rsidR="00DE5972">
        <w:rPr>
          <w:rFonts w:ascii="Arial" w:hAnsi="Arial" w:cs="Arial"/>
          <w:sz w:val="20"/>
          <w:szCs w:val="20"/>
        </w:rPr>
        <w:t>every</w:t>
      </w:r>
      <w:r w:rsidR="006F090C">
        <w:rPr>
          <w:rFonts w:ascii="Arial" w:hAnsi="Arial" w:cs="Arial"/>
          <w:sz w:val="20"/>
          <w:szCs w:val="20"/>
        </w:rPr>
        <w:t xml:space="preserve"> time.</w:t>
      </w:r>
    </w:p>
    <w:p w14:paraId="31D166DD" w14:textId="60698161" w:rsidR="00F17C04" w:rsidRDefault="00F17C04" w:rsidP="000A760B">
      <w:pPr>
        <w:spacing w:after="120"/>
        <w:ind w:left="-720" w:right="-720"/>
        <w:rPr>
          <w:rFonts w:ascii="Arial" w:hAnsi="Arial" w:cs="Arial"/>
          <w:sz w:val="20"/>
          <w:szCs w:val="20"/>
        </w:rPr>
      </w:pPr>
    </w:p>
    <w:p w14:paraId="7D38CFC6" w14:textId="3DC41CD1" w:rsidR="00E74773" w:rsidRPr="00E03FBA" w:rsidRDefault="00E74773" w:rsidP="00E03FBA">
      <w:pPr>
        <w:spacing w:after="120"/>
        <w:ind w:left="-630" w:right="-720"/>
        <w:rPr>
          <w:rFonts w:ascii="Arial" w:hAnsi="Arial" w:cs="Arial"/>
          <w:noProof/>
          <w:sz w:val="20"/>
          <w:szCs w:val="20"/>
        </w:rPr>
        <w:sectPr w:rsidR="00E74773" w:rsidRPr="00E03FBA" w:rsidSect="0017224E">
          <w:endnotePr>
            <w:numFmt w:val="decimal"/>
          </w:endnotePr>
          <w:type w:val="continuous"/>
          <w:pgSz w:w="12240" w:h="15840"/>
          <w:pgMar w:top="-1656" w:right="1440" w:bottom="1512" w:left="1440" w:header="0" w:footer="720" w:gutter="0"/>
          <w:cols w:num="2" w:space="1800"/>
          <w:titlePg/>
          <w:docGrid w:linePitch="360"/>
        </w:sectPr>
      </w:pPr>
    </w:p>
    <w:p w14:paraId="6D37E143" w14:textId="476990C8" w:rsidR="00F630D8" w:rsidRDefault="00F630D8" w:rsidP="003873A0">
      <w:pPr>
        <w:spacing w:after="160"/>
        <w:ind w:right="-720"/>
        <w:rPr>
          <w:rFonts w:ascii="Arial" w:hAnsi="Arial" w:cs="Arial"/>
          <w:color w:val="343433"/>
          <w:sz w:val="16"/>
          <w:szCs w:val="16"/>
        </w:rPr>
      </w:pPr>
    </w:p>
    <w:p w14:paraId="4593E988" w14:textId="38BE57D1" w:rsidR="00D8372D" w:rsidRDefault="00CA705E" w:rsidP="003873A0">
      <w:pPr>
        <w:spacing w:after="160"/>
        <w:ind w:right="-720"/>
        <w:rPr>
          <w:rFonts w:ascii="Arial" w:hAnsi="Arial" w:cs="Arial"/>
          <w:color w:val="343433"/>
          <w:sz w:val="16"/>
          <w:szCs w:val="16"/>
        </w:rPr>
      </w:pPr>
      <w:r w:rsidRPr="00B376AC">
        <w:rPr>
          <w:rFonts w:ascii="Arial" w:hAnsi="Arial" w:cs="Arial"/>
          <w:noProof/>
          <w:color w:val="343433"/>
          <w:sz w:val="16"/>
          <w:szCs w:val="16"/>
        </w:rPr>
        <w:lastRenderedPageBreak/>
        <mc:AlternateContent>
          <mc:Choice Requires="wps">
            <w:drawing>
              <wp:anchor distT="0" distB="0" distL="114300" distR="114300" simplePos="0" relativeHeight="251674624" behindDoc="0" locked="0" layoutInCell="1" allowOverlap="1" wp14:anchorId="6C4FF287" wp14:editId="2FF93366">
                <wp:simplePos x="0" y="0"/>
                <wp:positionH relativeFrom="column">
                  <wp:posOffset>-485775</wp:posOffset>
                </wp:positionH>
                <wp:positionV relativeFrom="paragraph">
                  <wp:posOffset>3958590</wp:posOffset>
                </wp:positionV>
                <wp:extent cx="1429385" cy="36779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29385" cy="3677920"/>
                        </a:xfrm>
                        <a:prstGeom prst="rect">
                          <a:avLst/>
                        </a:prstGeom>
                        <a:noFill/>
                        <a:ln w="6350">
                          <a:noFill/>
                        </a:ln>
                      </wps:spPr>
                      <wps:txbx>
                        <w:txbxContent>
                          <w:p w14:paraId="0C342DEE" w14:textId="77777777" w:rsidR="00B376AC" w:rsidRPr="00BF0CB7" w:rsidRDefault="00B376AC" w:rsidP="00B376AC">
                            <w:pPr>
                              <w:spacing w:after="120"/>
                              <w:rPr>
                                <w:rFonts w:ascii="Arial" w:hAnsi="Arial" w:cs="Arial"/>
                                <w:b/>
                                <w:sz w:val="16"/>
                                <w:szCs w:val="16"/>
                              </w:rPr>
                            </w:pPr>
                            <w:r w:rsidRPr="00BF0CB7">
                              <w:rPr>
                                <w:rFonts w:ascii="Arial" w:hAnsi="Arial" w:cs="Arial"/>
                                <w:b/>
                                <w:sz w:val="16"/>
                                <w:szCs w:val="16"/>
                              </w:rPr>
                              <w:t>AssetMark, Inc.</w:t>
                            </w:r>
                          </w:p>
                          <w:p w14:paraId="48D2BF07" w14:textId="77777777" w:rsidR="00B376AC" w:rsidRPr="00BF0CB7" w:rsidRDefault="00B376AC" w:rsidP="00B376AC">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4FF287" id="_x0000_t202" coordsize="21600,21600" o:spt="202" path="m,l,21600r21600,l21600,xe">
                <v:stroke joinstyle="miter"/>
                <v:path gradientshapeok="t" o:connecttype="rect"/>
              </v:shapetype>
              <v:shape id="Text Box 11" o:spid="_x0000_s1026" type="#_x0000_t202" style="position:absolute;margin-left:-38.25pt;margin-top:311.7pt;width:112.55pt;height:289.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FULQIAAFQEAAAOAAAAZHJzL2Uyb0RvYy54bWysVF1v2jAUfZ+0/2D5fYTvFkSoWCumSait&#10;BFOfjeNApMTXsw0J+/U7doCibk/TXpzr+33Puc7soalKdlTWFaRT3ut0OVNaUlboXcp/bJZf7jlz&#10;XuhMlKRVyk/K8Yf550+z2kxVn/ZUZsoyJNFuWpuU77030yRxcq8q4TpklIYxJ1sJj6vdJZkVNbJX&#10;ZdLvdsdJTTYzlqRyDtqn1sjnMX+eK+lf8twpz8qUozcfTxvPbTiT+UxMd1aYfSHPbYh/6KIShUbR&#10;a6on4QU72OKPVFUhLTnKfUdSlVCeF1LFGTBNr/thmvVeGBVnATjOXGFy/y+tfD6+WlZk4K7HmRYV&#10;ONqoxrOv1DCogE9t3BRuawNH30AP34veQRnGbnJbhS8GYrAD6dMV3ZBNhqBhfzK4H3EmYRuM7+4m&#10;/Yh/8h5urPPfFFUsCCm3oC+iKo4r59EKXC8uoZqmZVGWkcJSszrl48GoGwOuFkSUGoFhiLbZIPlm&#10;25wn21J2wmCW2tVwRi4LFF8J51+FxS5gFuy3f8GRl4QidJY425P99Td98AdFsHJWY7dS7n4ehFWc&#10;ld81yJv0hsOwjPEyHN0BB2ZvLdtbiz5Uj4T1BT/oLorB35cXMbdUveEZLEJVmISWqJ1yfxEffbvx&#10;eEZSLRbRCetnhF/ptZEhdYAzQLtp3oQ1Z/w9qHumyxaK6QcaWt+WiMXBU15EjgLALapn3LG6kbrz&#10;Mwtv4/Yevd5/BvPfAAAA//8DAFBLAwQUAAYACAAAACEAPOp+8uMAAAAMAQAADwAAAGRycy9kb3du&#10;cmV2LnhtbEyPTUvDQBCG74L/YRnBW7txbdcQsyklUATRQ2sv3ibJNAnuR8xu2+ivd3uqtxnm4Z3n&#10;zVeT0exEo++dVfAwT4CRrV3T21bB/mMzS4H5gLZB7Swp+CEPq+L2JsescWe7pdMutCyGWJ+hgi6E&#10;IePc1x0Z9HM3kI23gxsNhriOLW9GPMdwo7lIEskN9jZ+6HCgsqP6a3c0Cl7LzTtuK2HSX12+vB3W&#10;w/f+c6nU/d20fgYWaApXGC76UR2K6FS5o2080wpmT3IZUQVSPC6AXYhFKoFVcRCJkMCLnP8vUfwB&#10;AAD//wMAUEsBAi0AFAAGAAgAAAAhALaDOJL+AAAA4QEAABMAAAAAAAAAAAAAAAAAAAAAAFtDb250&#10;ZW50X1R5cGVzXS54bWxQSwECLQAUAAYACAAAACEAOP0h/9YAAACUAQAACwAAAAAAAAAAAAAAAAAv&#10;AQAAX3JlbHMvLnJlbHNQSwECLQAUAAYACAAAACEABDpRVC0CAABUBAAADgAAAAAAAAAAAAAAAAAu&#10;AgAAZHJzL2Uyb0RvYy54bWxQSwECLQAUAAYACAAAACEAPOp+8uMAAAAMAQAADwAAAAAAAAAAAAAA&#10;AACHBAAAZHJzL2Rvd25yZXYueG1sUEsFBgAAAAAEAAQA8wAAAJcFAAAAAA==&#10;" filled="f" stroked="f" strokeweight=".5pt">
                <v:textbox>
                  <w:txbxContent>
                    <w:p w14:paraId="0C342DEE" w14:textId="77777777" w:rsidR="00B376AC" w:rsidRPr="00BF0CB7" w:rsidRDefault="00B376AC" w:rsidP="00B376AC">
                      <w:pPr>
                        <w:spacing w:after="120"/>
                        <w:rPr>
                          <w:rFonts w:ascii="Arial" w:hAnsi="Arial" w:cs="Arial"/>
                          <w:b/>
                          <w:sz w:val="16"/>
                          <w:szCs w:val="16"/>
                        </w:rPr>
                      </w:pPr>
                      <w:r w:rsidRPr="00BF0CB7">
                        <w:rPr>
                          <w:rFonts w:ascii="Arial" w:hAnsi="Arial" w:cs="Arial"/>
                          <w:b/>
                          <w:sz w:val="16"/>
                          <w:szCs w:val="16"/>
                        </w:rPr>
                        <w:t>AssetMark, Inc.</w:t>
                      </w:r>
                    </w:p>
                    <w:p w14:paraId="48D2BF07" w14:textId="77777777" w:rsidR="00B376AC" w:rsidRPr="00BF0CB7" w:rsidRDefault="00B376AC" w:rsidP="00B376AC">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pict>
          </mc:Fallback>
        </mc:AlternateContent>
      </w:r>
      <w:r w:rsidRPr="00B376AC">
        <w:rPr>
          <w:rFonts w:ascii="Arial" w:hAnsi="Arial" w:cs="Arial"/>
          <w:noProof/>
          <w:color w:val="343433"/>
          <w:sz w:val="16"/>
          <w:szCs w:val="16"/>
        </w:rPr>
        <mc:AlternateContent>
          <mc:Choice Requires="wps">
            <w:drawing>
              <wp:anchor distT="0" distB="0" distL="114300" distR="114300" simplePos="0" relativeHeight="251672576" behindDoc="0" locked="0" layoutInCell="1" allowOverlap="1" wp14:anchorId="4D382430" wp14:editId="4D8552C1">
                <wp:simplePos x="0" y="0"/>
                <wp:positionH relativeFrom="column">
                  <wp:posOffset>-600075</wp:posOffset>
                </wp:positionH>
                <wp:positionV relativeFrom="paragraph">
                  <wp:posOffset>3853815</wp:posOffset>
                </wp:positionV>
                <wp:extent cx="7105015" cy="4276090"/>
                <wp:effectExtent l="0" t="0" r="635" b="0"/>
                <wp:wrapNone/>
                <wp:docPr id="8" name="Rectangle 8"/>
                <wp:cNvGraphicFramePr/>
                <a:graphic xmlns:a="http://schemas.openxmlformats.org/drawingml/2006/main">
                  <a:graphicData uri="http://schemas.microsoft.com/office/word/2010/wordprocessingShape">
                    <wps:wsp>
                      <wps:cNvSpPr/>
                      <wps:spPr>
                        <a:xfrm>
                          <a:off x="0" y="0"/>
                          <a:ext cx="7105015" cy="4276090"/>
                        </a:xfrm>
                        <a:prstGeom prst="rect">
                          <a:avLst/>
                        </a:prstGeom>
                        <a:solidFill>
                          <a:srgbClr val="FFFFFF">
                            <a:lumMod val="9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00FAF4" id="Rectangle 8" o:spid="_x0000_s1026" style="position:absolute;margin-left:-47.25pt;margin-top:303.45pt;width:559.45pt;height:336.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HZeAIAAOsEAAAOAAAAZHJzL2Uyb0RvYy54bWysVE1v2zAMvQ/YfxB0X+0ESdMGTYqgRYYB&#10;XRusHXpmZNkWIImapMTpfv0o2Um7bqdhOSikSPHj8dFX1wej2V76oNAu+Ois5ExagZWyzYJ/f1p/&#10;uuAsRLAVaLRywV9k4NfLjx+uOjeXY2xRV9IzCmLDvHML3sbo5kURRCsNhDN00pKxRm8gkuqbovLQ&#10;UXSji3FZnhcd+sp5FDIEur3tjXyZ49e1FPGhroOMTC841Rbz6fO5TWexvIJ548G1SgxlwD9UYUBZ&#10;SnoKdQsR2M6rP0IZJTwGrOOZQFNgXSshcw/Uzah8181jC07mXgic4E4whf8XVtzvN56pasFpUBYM&#10;jegbgQa20ZJdJHg6F+bk9eg2ftACianXQ+1N+qcu2CFD+nKCVB4iE3Q5G5XTcjTlTJBtMp6dl5cZ&#10;9OL1ufMhfpZoWBIW3FP6DCXs70KklOR6dEnZAmpVrZXWWfHN9kZ7tgea7zr/8lu9M1+x6q8vp2V5&#10;zBl6/xz0t0Daso74O56RKxNATKw1RBKNI2yCbTgD3RDFRfQ5g8VUQ6ZPqu4WQtuny2F7XhkVidxa&#10;GUKXajhVoW2qXWZ6Dj0mlHtck7TF6oXG4rHna3BirSjJHYS4AU8EpSJp6eIDHbVGqhwHibMW/c+/&#10;3Sd/4g1ZOeuI8NTVjx14yZn+YolRl6PJJG1IVibT2ZgU/9ayfWuxO3ODhPmI1tuJLCb/qI9i7dE8&#10;026uUlYygRWUu8dvUG5iv4i03UKuVtmNtsJBvLOPTqTgCacE79PhGbwbGBKJXPd4XA6YvyNK75te&#10;WlztItYqs+gVV5p+UmijMg+G7U8r+1bPXq/fqOUvAAAA//8DAFBLAwQUAAYACAAAACEAcUnfA+UA&#10;AAANAQAADwAAAGRycy9kb3ducmV2LnhtbEyPwU7DMAyG70i8Q2QkbltCKVVXmk4ImITEBTYq2C1r&#10;TFutcUqTdYWnJzvBzZY//f7+fDmZjo04uNaShKu5AIZUWd1SLeFts5qlwJxXpFVnCSV8o4NlcX6W&#10;q0zbI73iuPY1CyHkMiWh8b7POHdVg0a5ue2Rwu3TDkb5sA4114M6hnDT8UiIhBvVUvjQqB7vG6z2&#10;64ORYLfj5lmvVvuy/Hl4f0kfP8qv7ZOUlxfT3S0wj5P/g+GkH9ShCE47eyDtWCdhtohvAiohEckC&#10;2IkQURwD24UpSsU18CLn/1sUvwAAAP//AwBQSwECLQAUAAYACAAAACEAtoM4kv4AAADhAQAAEwAA&#10;AAAAAAAAAAAAAAAAAAAAW0NvbnRlbnRfVHlwZXNdLnhtbFBLAQItABQABgAIAAAAIQA4/SH/1gAA&#10;AJQBAAALAAAAAAAAAAAAAAAAAC8BAABfcmVscy8ucmVsc1BLAQItABQABgAIAAAAIQCtcNHZeAIA&#10;AOsEAAAOAAAAAAAAAAAAAAAAAC4CAABkcnMvZTJvRG9jLnhtbFBLAQItABQABgAIAAAAIQBxSd8D&#10;5QAAAA0BAAAPAAAAAAAAAAAAAAAAANIEAABkcnMvZG93bnJldi54bWxQSwUGAAAAAAQABADzAAAA&#10;5AUAAAAA&#10;" fillcolor="#f2f2f2" stroked="f" strokeweight="1pt"/>
            </w:pict>
          </mc:Fallback>
        </mc:AlternateContent>
      </w:r>
      <w:r w:rsidRPr="00B376AC">
        <w:rPr>
          <w:rFonts w:ascii="Arial" w:hAnsi="Arial" w:cs="Arial"/>
          <w:noProof/>
          <w:color w:val="343433"/>
          <w:sz w:val="16"/>
          <w:szCs w:val="16"/>
        </w:rPr>
        <mc:AlternateContent>
          <mc:Choice Requires="wps">
            <w:drawing>
              <wp:anchor distT="0" distB="0" distL="114300" distR="114300" simplePos="0" relativeHeight="251673600" behindDoc="0" locked="0" layoutInCell="1" allowOverlap="1" wp14:anchorId="590BCB16" wp14:editId="4ED2E614">
                <wp:simplePos x="0" y="0"/>
                <wp:positionH relativeFrom="column">
                  <wp:posOffset>809625</wp:posOffset>
                </wp:positionH>
                <wp:positionV relativeFrom="paragraph">
                  <wp:posOffset>3958590</wp:posOffset>
                </wp:positionV>
                <wp:extent cx="5682615" cy="4196080"/>
                <wp:effectExtent l="0" t="0" r="0" b="0"/>
                <wp:wrapNone/>
                <wp:docPr id="9" name="Text Box 9"/>
                <wp:cNvGraphicFramePr/>
                <a:graphic xmlns:a="http://schemas.openxmlformats.org/drawingml/2006/main">
                  <a:graphicData uri="http://schemas.microsoft.com/office/word/2010/wordprocessingShape">
                    <wps:wsp>
                      <wps:cNvSpPr txBox="1"/>
                      <wps:spPr>
                        <a:xfrm>
                          <a:off x="0" y="0"/>
                          <a:ext cx="5682615" cy="4196080"/>
                        </a:xfrm>
                        <a:prstGeom prst="rect">
                          <a:avLst/>
                        </a:prstGeom>
                        <a:noFill/>
                        <a:ln w="6350">
                          <a:noFill/>
                        </a:ln>
                      </wps:spPr>
                      <wps:txbx>
                        <w:txbxContent>
                          <w:p w14:paraId="576BF894" w14:textId="77777777" w:rsidR="00B376AC" w:rsidRPr="00E93D58" w:rsidRDefault="00B376AC" w:rsidP="00B376AC">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020548F4" w14:textId="77777777" w:rsidR="00CA705E" w:rsidRPr="001608CF" w:rsidRDefault="00CA705E" w:rsidP="00CA705E">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1FCC7689" w14:textId="77777777" w:rsidR="00CA705E" w:rsidRPr="001608CF" w:rsidRDefault="00CA705E" w:rsidP="00CA705E">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1EC1A9A" w14:textId="77777777" w:rsidR="00CA705E" w:rsidRDefault="00CA705E" w:rsidP="00CA705E">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59C52C3C" w14:textId="77777777" w:rsidR="00CA705E" w:rsidRPr="001608CF" w:rsidRDefault="00CA705E" w:rsidP="00CA705E">
                            <w:pPr>
                              <w:spacing w:before="100" w:beforeAutospacing="1" w:after="100" w:afterAutospacing="1"/>
                              <w:rPr>
                                <w:rFonts w:ascii="Arial" w:hAnsi="Arial" w:cs="Arial"/>
                                <w:sz w:val="16"/>
                                <w:szCs w:val="16"/>
                              </w:rPr>
                            </w:pPr>
                            <w:r w:rsidRPr="00B81AF6">
                              <w:rPr>
                                <w:rFonts w:ascii="Arial" w:hAnsi="Arial" w:cs="Arial"/>
                                <w:sz w:val="16"/>
                                <w:szCs w:val="16"/>
                              </w:rPr>
                              <w:t xml:space="preserve">You agree not to redistribute the Information to recipients not authorized by AssetMark.  You agree that the Providers are considered to be third-party beneficiaries of the Terms of Use.    </w:t>
                            </w:r>
                          </w:p>
                          <w:p w14:paraId="7C3ECCAB" w14:textId="77777777" w:rsidR="00CA705E" w:rsidRPr="001608CF" w:rsidRDefault="00CA705E" w:rsidP="00CA705E">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72930778" w14:textId="22849C5C"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1B1D71" w:rsidRPr="00DA0C06">
                              <w:rPr>
                                <w:rFonts w:ascii="Arial" w:hAnsi="Arial" w:cs="Arial"/>
                                <w:sz w:val="16"/>
                                <w:szCs w:val="16"/>
                              </w:rPr>
                              <w:t>103329</w:t>
                            </w:r>
                            <w:r w:rsidRPr="00DA0C06">
                              <w:rPr>
                                <w:rFonts w:ascii="Arial" w:hAnsi="Arial" w:cs="Arial"/>
                                <w:sz w:val="16"/>
                                <w:szCs w:val="16"/>
                              </w:rPr>
                              <w:t xml:space="preserve">| </w:t>
                            </w:r>
                            <w:r w:rsidR="003924E9" w:rsidRPr="00DA0C06">
                              <w:rPr>
                                <w:rFonts w:ascii="Arial" w:hAnsi="Arial" w:cs="Arial"/>
                                <w:sz w:val="16"/>
                                <w:szCs w:val="16"/>
                              </w:rPr>
                              <w:t>C22</w:t>
                            </w:r>
                            <w:r w:rsidR="007A6C0E" w:rsidRPr="00DA0C06">
                              <w:rPr>
                                <w:rFonts w:ascii="Arial" w:hAnsi="Arial" w:cs="Arial"/>
                                <w:sz w:val="16"/>
                                <w:szCs w:val="16"/>
                              </w:rPr>
                              <w:t>-</w:t>
                            </w:r>
                            <w:r w:rsidR="001B1D71" w:rsidRPr="00DA0C06">
                              <w:rPr>
                                <w:rFonts w:ascii="Arial" w:hAnsi="Arial" w:cs="Arial"/>
                                <w:sz w:val="16"/>
                                <w:szCs w:val="16"/>
                              </w:rPr>
                              <w:t xml:space="preserve"> 19291</w:t>
                            </w:r>
                            <w:r w:rsidR="00F44E63" w:rsidRPr="00DA0C06">
                              <w:rPr>
                                <w:rFonts w:ascii="Arial" w:hAnsi="Arial" w:cs="Arial"/>
                                <w:sz w:val="16"/>
                                <w:szCs w:val="16"/>
                              </w:rPr>
                              <w:t>|</w:t>
                            </w:r>
                            <w:r w:rsidRPr="00DA0C06">
                              <w:rPr>
                                <w:rFonts w:ascii="Arial" w:hAnsi="Arial" w:cs="Arial"/>
                                <w:sz w:val="16"/>
                                <w:szCs w:val="16"/>
                              </w:rPr>
                              <w:t xml:space="preserve"> </w:t>
                            </w:r>
                            <w:r w:rsidR="00532BDB" w:rsidRPr="00DA0C06">
                              <w:rPr>
                                <w:rFonts w:ascii="Arial" w:hAnsi="Arial" w:cs="Arial"/>
                                <w:sz w:val="16"/>
                                <w:szCs w:val="16"/>
                              </w:rPr>
                              <w:t>10</w:t>
                            </w:r>
                            <w:r w:rsidRPr="00DA0C06">
                              <w:rPr>
                                <w:rFonts w:ascii="Arial" w:hAnsi="Arial" w:cs="Arial"/>
                                <w:sz w:val="16"/>
                                <w:szCs w:val="16"/>
                              </w:rPr>
                              <w:t xml:space="preserve">/2022 | EXP </w:t>
                            </w:r>
                            <w:r w:rsidR="00532BDB" w:rsidRPr="00DA0C06">
                              <w:rPr>
                                <w:rFonts w:ascii="Arial" w:hAnsi="Arial" w:cs="Arial"/>
                                <w:sz w:val="16"/>
                                <w:szCs w:val="16"/>
                              </w:rPr>
                              <w:t>10/31</w:t>
                            </w:r>
                            <w:r w:rsidRPr="00DA0C06">
                              <w:rPr>
                                <w:rFonts w:ascii="Arial" w:hAnsi="Arial" w:cs="Arial"/>
                                <w:sz w:val="16"/>
                                <w:szCs w:val="16"/>
                              </w:rPr>
                              <w:t>/2024</w:t>
                            </w:r>
                          </w:p>
                          <w:p w14:paraId="0D927D5C" w14:textId="77777777" w:rsidR="00B376AC" w:rsidRPr="00BF0CB7" w:rsidRDefault="00B376AC" w:rsidP="00B376AC">
                            <w:pPr>
                              <w:spacing w:before="100" w:beforeAutospacing="1" w:after="100" w:afterAutospacing="1"/>
                              <w:rPr>
                                <w:rFonts w:ascii="Arial" w:hAnsi="Arial" w:cs="Arial"/>
                                <w:sz w:val="16"/>
                                <w:szCs w:val="16"/>
                              </w:rPr>
                            </w:pPr>
                          </w:p>
                          <w:p w14:paraId="47DFE227" w14:textId="77777777" w:rsidR="00B376AC" w:rsidRPr="00BF0CB7" w:rsidRDefault="00B376AC" w:rsidP="00B376AC">
                            <w:pPr>
                              <w:spacing w:after="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0BCB16" id="_x0000_t202" coordsize="21600,21600" o:spt="202" path="m,l,21600r21600,l21600,xe">
                <v:stroke joinstyle="miter"/>
                <v:path gradientshapeok="t" o:connecttype="rect"/>
              </v:shapetype>
              <v:shape id="Text Box 9" o:spid="_x0000_s1027" type="#_x0000_t202" style="position:absolute;margin-left:63.75pt;margin-top:311.7pt;width:447.45pt;height:330.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MQIAAFkEAAAOAAAAZHJzL2Uyb0RvYy54bWysVMGO2jAQvVfqP1i+lyQUKCDCiu6KqtJq&#10;dyWo9mwcm0SyPa5tSOjXd+wAi7Y9Vb0445nxeN574yzuOq3IUTjfgClpMcgpEYZD1Zh9SX9s15+m&#10;lPjATMUUGFHSk/D0bvnxw6K1czGEGlQlHMEixs9bW9I6BDvPMs9roZkfgBUGgxKcZgG3bp9VjrVY&#10;XatsmOeTrAVXWQdceI/ehz5Il6m+lIKHZym9CESVFHsLaXVp3cU1Wy7YfO+YrRt+boP9QxeaNQYv&#10;vZZ6YIGRg2v+KKUb7sCDDAMOOgMpGy4SBkRT5O/QbGpmRcKC5Hh7pcn/v7L86fjiSFOVdEaJYRol&#10;2ooukK/QkVlkp7V+jkkbi2mhQzeqfPF7dEbQnXQ6fhEOwTjyfLpyG4txdI4n0+GkGFPCMTYqZpN8&#10;mtjP3o5b58M3AZpEo6QOxUucsuOjD9gKpl5S4m0G1o1SSUBlSFvSyedxng5cI3hCGTwYQfTNRit0&#10;uy5BvgLZQXVCfA76+fCWrxvs4ZH58MIcDgRCwiEPz7hIBXgXnC1KanC//uaP+agTRilpccBK6n8e&#10;mBOUqO8GFZwVo1GcyLQZjb8MceNuI7vbiDnoe8AZLvA5WZ7MmB/UxZQO9Cu+hVW8FUPMcLy7pOFi&#10;3od+7PEtcbFapSScQcvCo9lYHktHViPD2+6VOXuWIaCCT3AZRTZ/p0af2+uxOgSQTZIq8tyzeqYf&#10;5zcpeH5r8YHc7lPW2x9h+RsAAP//AwBQSwMEFAAGAAgAAAAhAJ2scfXiAAAADQEAAA8AAABkcnMv&#10;ZG93bnJldi54bWxMj81OwzAQhO9IvIO1SNyog2lLFOJUVaQKCZVDSy/cNrGbRPgnxG4b+vRsTnDb&#10;0XyanclXozXsrIfQeSfhcZYA0672qnONhMPH5iEFFiI6hcY7LeFHB1gVtzc5Zspf3E6f97FhFOJC&#10;hhLaGPuM81C32mKY+V478o5+sBhJDg1XA14o3BoukmTJLXaOPrTY67LV9df+ZCW8lZt33FXCpldT&#10;vm6P6/778LmQ8v5uXL8Ai3qMfzBM9ak6FNSp8ienAjOkxfOCUAlL8TQHNhGJEHRVk5fOBfAi5/9X&#10;FL8AAAD//wMAUEsBAi0AFAAGAAgAAAAhALaDOJL+AAAA4QEAABMAAAAAAAAAAAAAAAAAAAAAAFtD&#10;b250ZW50X1R5cGVzXS54bWxQSwECLQAUAAYACAAAACEAOP0h/9YAAACUAQAACwAAAAAAAAAAAAAA&#10;AAAvAQAAX3JlbHMvLnJlbHNQSwECLQAUAAYACAAAACEA/qKUvzECAABZBAAADgAAAAAAAAAAAAAA&#10;AAAuAgAAZHJzL2Uyb0RvYy54bWxQSwECLQAUAAYACAAAACEAnaxx9eIAAAANAQAADwAAAAAAAAAA&#10;AAAAAACLBAAAZHJzL2Rvd25yZXYueG1sUEsFBgAAAAAEAAQA8wAAAJoFAAAAAA==&#10;" filled="f" stroked="f" strokeweight=".5pt">
                <v:textbox>
                  <w:txbxContent>
                    <w:p w14:paraId="576BF894" w14:textId="77777777" w:rsidR="00B376AC" w:rsidRPr="00E93D58" w:rsidRDefault="00B376AC" w:rsidP="00B376AC">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020548F4" w14:textId="77777777" w:rsidR="00CA705E" w:rsidRPr="001608CF" w:rsidRDefault="00CA705E" w:rsidP="00CA705E">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1FCC7689" w14:textId="77777777" w:rsidR="00CA705E" w:rsidRPr="001608CF" w:rsidRDefault="00CA705E" w:rsidP="00CA705E">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1EC1A9A" w14:textId="77777777" w:rsidR="00CA705E" w:rsidRDefault="00CA705E" w:rsidP="00CA705E">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59C52C3C" w14:textId="77777777" w:rsidR="00CA705E" w:rsidRPr="001608CF" w:rsidRDefault="00CA705E" w:rsidP="00CA705E">
                      <w:pPr>
                        <w:spacing w:before="100" w:beforeAutospacing="1" w:after="100" w:afterAutospacing="1"/>
                        <w:rPr>
                          <w:rFonts w:ascii="Arial" w:hAnsi="Arial" w:cs="Arial"/>
                          <w:sz w:val="16"/>
                          <w:szCs w:val="16"/>
                        </w:rPr>
                      </w:pPr>
                      <w:r w:rsidRPr="00B81AF6">
                        <w:rPr>
                          <w:rFonts w:ascii="Arial" w:hAnsi="Arial" w:cs="Arial"/>
                          <w:sz w:val="16"/>
                          <w:szCs w:val="16"/>
                        </w:rPr>
                        <w:t xml:space="preserve">You agree not to redistribute the Information to recipients not authorized by AssetMark.  You agree that the Providers are considered to be third-party beneficiaries of the Terms of Use.    </w:t>
                      </w:r>
                    </w:p>
                    <w:p w14:paraId="7C3ECCAB" w14:textId="77777777" w:rsidR="00CA705E" w:rsidRPr="001608CF" w:rsidRDefault="00CA705E" w:rsidP="00CA705E">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72930778" w14:textId="22849C5C"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1B1D71" w:rsidRPr="00DA0C06">
                        <w:rPr>
                          <w:rFonts w:ascii="Arial" w:hAnsi="Arial" w:cs="Arial"/>
                          <w:sz w:val="16"/>
                          <w:szCs w:val="16"/>
                        </w:rPr>
                        <w:t>103329</w:t>
                      </w:r>
                      <w:r w:rsidRPr="00DA0C06">
                        <w:rPr>
                          <w:rFonts w:ascii="Arial" w:hAnsi="Arial" w:cs="Arial"/>
                          <w:sz w:val="16"/>
                          <w:szCs w:val="16"/>
                        </w:rPr>
                        <w:t xml:space="preserve">| </w:t>
                      </w:r>
                      <w:r w:rsidR="003924E9" w:rsidRPr="00DA0C06">
                        <w:rPr>
                          <w:rFonts w:ascii="Arial" w:hAnsi="Arial" w:cs="Arial"/>
                          <w:sz w:val="16"/>
                          <w:szCs w:val="16"/>
                        </w:rPr>
                        <w:t>C22</w:t>
                      </w:r>
                      <w:r w:rsidR="007A6C0E" w:rsidRPr="00DA0C06">
                        <w:rPr>
                          <w:rFonts w:ascii="Arial" w:hAnsi="Arial" w:cs="Arial"/>
                          <w:sz w:val="16"/>
                          <w:szCs w:val="16"/>
                        </w:rPr>
                        <w:t>-</w:t>
                      </w:r>
                      <w:r w:rsidR="001B1D71" w:rsidRPr="00DA0C06">
                        <w:rPr>
                          <w:rFonts w:ascii="Arial" w:hAnsi="Arial" w:cs="Arial"/>
                          <w:sz w:val="16"/>
                          <w:szCs w:val="16"/>
                        </w:rPr>
                        <w:t xml:space="preserve"> 19291</w:t>
                      </w:r>
                      <w:r w:rsidR="00F44E63" w:rsidRPr="00DA0C06">
                        <w:rPr>
                          <w:rFonts w:ascii="Arial" w:hAnsi="Arial" w:cs="Arial"/>
                          <w:sz w:val="16"/>
                          <w:szCs w:val="16"/>
                        </w:rPr>
                        <w:t>|</w:t>
                      </w:r>
                      <w:r w:rsidRPr="00DA0C06">
                        <w:rPr>
                          <w:rFonts w:ascii="Arial" w:hAnsi="Arial" w:cs="Arial"/>
                          <w:sz w:val="16"/>
                          <w:szCs w:val="16"/>
                        </w:rPr>
                        <w:t xml:space="preserve"> </w:t>
                      </w:r>
                      <w:r w:rsidR="00532BDB" w:rsidRPr="00DA0C06">
                        <w:rPr>
                          <w:rFonts w:ascii="Arial" w:hAnsi="Arial" w:cs="Arial"/>
                          <w:sz w:val="16"/>
                          <w:szCs w:val="16"/>
                        </w:rPr>
                        <w:t>10</w:t>
                      </w:r>
                      <w:r w:rsidRPr="00DA0C06">
                        <w:rPr>
                          <w:rFonts w:ascii="Arial" w:hAnsi="Arial" w:cs="Arial"/>
                          <w:sz w:val="16"/>
                          <w:szCs w:val="16"/>
                        </w:rPr>
                        <w:t xml:space="preserve">/2022 | EXP </w:t>
                      </w:r>
                      <w:r w:rsidR="00532BDB" w:rsidRPr="00DA0C06">
                        <w:rPr>
                          <w:rFonts w:ascii="Arial" w:hAnsi="Arial" w:cs="Arial"/>
                          <w:sz w:val="16"/>
                          <w:szCs w:val="16"/>
                        </w:rPr>
                        <w:t>10/31</w:t>
                      </w:r>
                      <w:r w:rsidRPr="00DA0C06">
                        <w:rPr>
                          <w:rFonts w:ascii="Arial" w:hAnsi="Arial" w:cs="Arial"/>
                          <w:sz w:val="16"/>
                          <w:szCs w:val="16"/>
                        </w:rPr>
                        <w:t>/2024</w:t>
                      </w:r>
                    </w:p>
                    <w:p w14:paraId="0D927D5C" w14:textId="77777777" w:rsidR="00B376AC" w:rsidRPr="00BF0CB7" w:rsidRDefault="00B376AC" w:rsidP="00B376AC">
                      <w:pPr>
                        <w:spacing w:before="100" w:beforeAutospacing="1" w:after="100" w:afterAutospacing="1"/>
                        <w:rPr>
                          <w:rFonts w:ascii="Arial" w:hAnsi="Arial" w:cs="Arial"/>
                          <w:sz w:val="16"/>
                          <w:szCs w:val="16"/>
                        </w:rPr>
                      </w:pPr>
                    </w:p>
                    <w:p w14:paraId="47DFE227" w14:textId="77777777" w:rsidR="00B376AC" w:rsidRPr="00BF0CB7" w:rsidRDefault="00B376AC" w:rsidP="00B376AC">
                      <w:pPr>
                        <w:spacing w:after="0" w:line="240" w:lineRule="auto"/>
                        <w:rPr>
                          <w:rFonts w:ascii="Arial" w:hAnsi="Arial" w:cs="Arial"/>
                          <w:sz w:val="16"/>
                          <w:szCs w:val="16"/>
                        </w:rPr>
                      </w:pPr>
                    </w:p>
                  </w:txbxContent>
                </v:textbox>
              </v:shape>
            </w:pict>
          </mc:Fallback>
        </mc:AlternateContent>
      </w:r>
      <w:r w:rsidR="00D8372D" w:rsidRPr="0040163B">
        <w:rPr>
          <w:rFonts w:ascii="Arial" w:hAnsi="Arial" w:cs="Arial"/>
          <w:noProof/>
          <w:color w:val="343433"/>
          <w:sz w:val="21"/>
        </w:rPr>
        <mc:AlternateContent>
          <mc:Choice Requires="wpg">
            <w:drawing>
              <wp:anchor distT="0" distB="0" distL="114300" distR="114300" simplePos="0" relativeHeight="251669504" behindDoc="0" locked="0" layoutInCell="1" allowOverlap="1" wp14:anchorId="66F1F175" wp14:editId="0689F044">
                <wp:simplePos x="0" y="0"/>
                <wp:positionH relativeFrom="margin">
                  <wp:posOffset>-603250</wp:posOffset>
                </wp:positionH>
                <wp:positionV relativeFrom="page">
                  <wp:posOffset>5283200</wp:posOffset>
                </wp:positionV>
                <wp:extent cx="7105650" cy="3818890"/>
                <wp:effectExtent l="0" t="0" r="0" b="0"/>
                <wp:wrapTopAndBottom/>
                <wp:docPr id="21" name="Group 21"/>
                <wp:cNvGraphicFramePr/>
                <a:graphic xmlns:a="http://schemas.openxmlformats.org/drawingml/2006/main">
                  <a:graphicData uri="http://schemas.microsoft.com/office/word/2010/wordprocessingGroup">
                    <wpg:wgp>
                      <wpg:cNvGrpSpPr/>
                      <wpg:grpSpPr>
                        <a:xfrm>
                          <a:off x="0" y="0"/>
                          <a:ext cx="7105650" cy="3818890"/>
                          <a:chOff x="-214504" y="299834"/>
                          <a:chExt cx="6858000" cy="1968741"/>
                        </a:xfrm>
                      </wpg:grpSpPr>
                      <wps:wsp>
                        <wps:cNvPr id="17" name="Rectangle 17"/>
                        <wps:cNvSpPr/>
                        <wps:spPr>
                          <a:xfrm>
                            <a:off x="-214504" y="299834"/>
                            <a:ext cx="6858000" cy="192744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138287" y="340171"/>
                            <a:ext cx="5485507" cy="1904184"/>
                          </a:xfrm>
                          <a:prstGeom prst="rect">
                            <a:avLst/>
                          </a:prstGeom>
                          <a:noFill/>
                          <a:ln w="6350">
                            <a:noFill/>
                          </a:ln>
                        </wps:spPr>
                        <wps:txbx>
                          <w:txbxContent>
                            <w:p w14:paraId="6FDF8ABE" w14:textId="77777777" w:rsidR="009F1558" w:rsidRPr="00E93D58" w:rsidRDefault="009F1558" w:rsidP="003754C3">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DDA9E5F"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76FAA34F" w14:textId="553FD3BF"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00A85291"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8581732"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367E98A1"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1B643C26" w14:textId="7AD15984"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04047E" w:rsidRPr="00E12091">
                                <w:rPr>
                                  <w:rFonts w:ascii="Arial" w:hAnsi="Arial" w:cs="Arial"/>
                                  <w:sz w:val="16"/>
                                  <w:szCs w:val="16"/>
                                  <w:highlight w:val="yellow"/>
                                </w:rPr>
                                <w:t>103305</w:t>
                              </w:r>
                              <w:r w:rsidRPr="00E12091">
                                <w:rPr>
                                  <w:rFonts w:ascii="Arial" w:hAnsi="Arial" w:cs="Arial"/>
                                  <w:sz w:val="16"/>
                                  <w:szCs w:val="16"/>
                                  <w:highlight w:val="yellow"/>
                                </w:rPr>
                                <w:t xml:space="preserve"> | </w:t>
                              </w:r>
                              <w:r w:rsidR="0004047E" w:rsidRPr="00E12091">
                                <w:rPr>
                                  <w:rFonts w:ascii="Arial" w:hAnsi="Arial" w:cs="Arial"/>
                                  <w:sz w:val="16"/>
                                  <w:szCs w:val="16"/>
                                  <w:highlight w:val="yellow"/>
                                </w:rPr>
                                <w:t>C22-18578</w:t>
                              </w:r>
                              <w:r w:rsidR="0004047E">
                                <w:rPr>
                                  <w:rFonts w:ascii="Arial" w:hAnsi="Arial" w:cs="Arial"/>
                                  <w:sz w:val="16"/>
                                  <w:szCs w:val="16"/>
                                </w:rPr>
                                <w:t xml:space="preserve"> </w:t>
                              </w:r>
                              <w:r w:rsidRPr="00960B00">
                                <w:rPr>
                                  <w:rFonts w:ascii="Arial" w:hAnsi="Arial" w:cs="Arial"/>
                                  <w:sz w:val="16"/>
                                  <w:szCs w:val="16"/>
                                </w:rPr>
                                <w:t>| 0</w:t>
                              </w:r>
                              <w:r w:rsidR="00E12091">
                                <w:rPr>
                                  <w:rFonts w:ascii="Arial" w:hAnsi="Arial" w:cs="Arial"/>
                                  <w:sz w:val="16"/>
                                  <w:szCs w:val="16"/>
                                </w:rPr>
                                <w:t>5</w:t>
                              </w:r>
                              <w:r w:rsidRPr="00960B00">
                                <w:rPr>
                                  <w:rFonts w:ascii="Arial" w:hAnsi="Arial" w:cs="Arial"/>
                                  <w:sz w:val="16"/>
                                  <w:szCs w:val="16"/>
                                </w:rPr>
                                <w:t>/2022 | EXP 0</w:t>
                              </w:r>
                              <w:r w:rsidR="00E12091">
                                <w:rPr>
                                  <w:rFonts w:ascii="Arial" w:hAnsi="Arial" w:cs="Arial"/>
                                  <w:sz w:val="16"/>
                                  <w:szCs w:val="16"/>
                                </w:rPr>
                                <w:t>5</w:t>
                              </w:r>
                              <w:r w:rsidRPr="00960B00">
                                <w:rPr>
                                  <w:rFonts w:ascii="Arial" w:hAnsi="Arial" w:cs="Arial"/>
                                  <w:sz w:val="16"/>
                                  <w:szCs w:val="16"/>
                                </w:rPr>
                                <w:t>/</w:t>
                              </w:r>
                              <w:r w:rsidR="005B477D">
                                <w:rPr>
                                  <w:rFonts w:ascii="Arial" w:hAnsi="Arial" w:cs="Arial"/>
                                  <w:sz w:val="16"/>
                                  <w:szCs w:val="16"/>
                                </w:rPr>
                                <w:t>31</w:t>
                              </w:r>
                              <w:r w:rsidRPr="00960B00">
                                <w:rPr>
                                  <w:rFonts w:ascii="Arial" w:hAnsi="Arial" w:cs="Arial"/>
                                  <w:sz w:val="16"/>
                                  <w:szCs w:val="16"/>
                                </w:rPr>
                                <w:t>/2024</w:t>
                              </w:r>
                            </w:p>
                            <w:p w14:paraId="6F643B3E" w14:textId="77777777" w:rsidR="009F1558" w:rsidRPr="00BF0CB7" w:rsidRDefault="009F1558" w:rsidP="003754C3">
                              <w:pPr>
                                <w:spacing w:before="100" w:beforeAutospacing="1" w:after="100" w:afterAutospacing="1"/>
                                <w:rPr>
                                  <w:rFonts w:ascii="Arial" w:hAnsi="Arial" w:cs="Arial"/>
                                  <w:sz w:val="16"/>
                                  <w:szCs w:val="16"/>
                                </w:rPr>
                              </w:pPr>
                            </w:p>
                            <w:p w14:paraId="7341B7A0" w14:textId="77777777" w:rsidR="009F1558" w:rsidRPr="00BF0CB7" w:rsidRDefault="009F1558" w:rsidP="003754C3">
                              <w:pPr>
                                <w:spacing w:after="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34116" y="323093"/>
                            <a:ext cx="1380112" cy="1945482"/>
                          </a:xfrm>
                          <a:prstGeom prst="rect">
                            <a:avLst/>
                          </a:prstGeom>
                          <a:noFill/>
                          <a:ln w="6350">
                            <a:noFill/>
                          </a:ln>
                        </wps:spPr>
                        <wps:txbx>
                          <w:txbxContent>
                            <w:p w14:paraId="3B2E69F0" w14:textId="77777777" w:rsidR="009F1558" w:rsidRPr="00BF0CB7" w:rsidRDefault="009F1558" w:rsidP="003754C3">
                              <w:pPr>
                                <w:spacing w:after="120"/>
                                <w:rPr>
                                  <w:rFonts w:ascii="Arial" w:hAnsi="Arial" w:cs="Arial"/>
                                  <w:b/>
                                  <w:sz w:val="16"/>
                                  <w:szCs w:val="16"/>
                                </w:rPr>
                              </w:pPr>
                              <w:r w:rsidRPr="00BF0CB7">
                                <w:rPr>
                                  <w:rFonts w:ascii="Arial" w:hAnsi="Arial" w:cs="Arial"/>
                                  <w:b/>
                                  <w:sz w:val="16"/>
                                  <w:szCs w:val="16"/>
                                </w:rPr>
                                <w:t>AssetMark, Inc.</w:t>
                              </w:r>
                            </w:p>
                            <w:p w14:paraId="7EA2FCEB" w14:textId="77777777" w:rsidR="009F1558" w:rsidRPr="00BF0CB7" w:rsidRDefault="009F1558" w:rsidP="003754C3">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F1F175" id="Group 21" o:spid="_x0000_s1028" style="position:absolute;margin-left:-47.5pt;margin-top:416pt;width:559.5pt;height:300.7pt;z-index:251669504;mso-position-horizontal-relative:margin;mso-position-vertical-relative:page;mso-width-relative:margin;mso-height-relative:margin" coordorigin="-2145,2998" coordsize="68580,19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kduQMAAJ8MAAAOAAAAZHJzL2Uyb0RvYy54bWzkV11v2zYUfR/Q/0DwPbEoy7ZkRCnSdAkG&#10;ZG3QZOgzTVEfgERqJB07+/W7l5Tk1POKIQPaoXuRRfLyfhyee0RfvN13LXmSxjZa5ZSdR5RIJXTR&#10;qCqnvz3enKWUWMdVwVutZE6fpaVvL9/8dLHr1zLWtW4LaQg4UXa963NaO9evZzMratlxe657qWCx&#10;1KbjDoammhWG78B7187iKFrOdtoUvdFCWguz78MivfT+y1IK97EsrXSkzSnk5vzT+OcGn7PLC76u&#10;DO/rRgxp8Fdk0fFGQdDJ1XvuONma5i+uukYYbXXpzoXuZrosGyF9DVANi46quTV62/taqvWu6ieY&#10;ANojnF7tVnx4ujekKXIaM0oU7+CMfFgCYwBn11drsLk1/UN/b4aJKoyw3n1pOvyFSsjew/o8wSr3&#10;jgiYXLFosVwA+gLW5ilL02wAXtRwOrjvLGbJIkooAYs4y9J5Ek5G1D8PTpbpIo2iwQnLlukq8QnO&#10;xhxmmOqU2a4HPtkDZPbfQfZQ8176k7AIxwAZW42QfQKicVW1ksCcR8nbTZjZtQX4TgD2d4WP2B2V&#10;Ha+SZI4BprL5ujfW3UrdEXzJqYFUPBX50511wXQ0wQSsbpvipmlbP8A+k9etIU8cOmRTMb+13Xa/&#10;6iLMZQuEPfjxbYnmPoEvPLUK/SmNnoMxzsChjKX7N/fcSrRr1SdZAu3g6GMfcfIcgnIhpHIhGVvz&#10;QoZpTOV0Lt4hei4h/uR7cPBlkaPvkOVgj1ul14tpc/S1xMLmaYePrJWbNneN0uaUgxaqGiIH+xGk&#10;AA2itNHFMzDM6KBWthc3DRztHbfunhuQJ+gCkFz3ER5lq3c51cMbJbU2f5yaR3toAVilZAdyl1P7&#10;+5YbSUn7i4LmyFiSoD76QbJYxTAwL1c2L1fUtrvWwBeQDMjOv6K9a8fX0ujuMyjzFUaFJa4ExM6p&#10;cGYcXLsgw6DtQl5deTPQxJ67O/XQC3SOqCJ1H/efuekHfjtojQ96bEi+PqJ5sMWdSl9tnS4b3wMH&#10;XAe8QRxQ3b6FSmSjSjxiV7/Te8KyI5Egbg/zWDNww3fKablgbJ7GKcgOKmkSsZXfANQdVHKRpItF&#10;BOsotSyLEpZ6JX29XEwdjU1LgGvLOUh5wPerve72m334sIw1/cC8dv87VqNAhOvCxGqYGtgLn0j8&#10;9P1TVp+xecLYMrA6nkeZ/8QdWA2kjxiLR1YnwPIYQ31PVvsUD6ryQ6r1f4rV/n4Ht2B/7MONHa/Z&#10;L8de2w//Ky7/BAAA//8DAFBLAwQUAAYACAAAACEAarx14+IAAAANAQAADwAAAGRycy9kb3ducmV2&#10;LnhtbEyPT2vCQBDF74V+h2UKvenmn0XTbESk7UkK1ULxNiZjEszuhuyaxG/f8dTefo95vHkvW0+6&#10;FQP1rrFGQTgPQJApbNmYSsH34X22BOE8mhJba0jBjRys88eHDNPSjuaLhr2vBIcYl6KC2vsuldIV&#10;NWl0c9uR4dvZ9ho9y76SZY8jh+tWRkHwIjU2hj/U2NG2puKyv2oFHyOOmzh8G3aX8/Z2PCw+f3Yh&#10;KfX8NG1eQXia/J8Z7vW5OuTc6WSvpnSiVTBbLXiLV7CMI4a7I4gSphNTEscJyDyT/1fkvwAAAP//&#10;AwBQSwECLQAUAAYACAAAACEAtoM4kv4AAADhAQAAEwAAAAAAAAAAAAAAAAAAAAAAW0NvbnRlbnRf&#10;VHlwZXNdLnhtbFBLAQItABQABgAIAAAAIQA4/SH/1gAAAJQBAAALAAAAAAAAAAAAAAAAAC8BAABf&#10;cmVscy8ucmVsc1BLAQItABQABgAIAAAAIQCQOLkduQMAAJ8MAAAOAAAAAAAAAAAAAAAAAC4CAABk&#10;cnMvZTJvRG9jLnhtbFBLAQItABQABgAIAAAAIQBqvHXj4gAAAA0BAAAPAAAAAAAAAAAAAAAAABMG&#10;AABkcnMvZG93bnJldi54bWxQSwUGAAAAAAQABADzAAAAIgcAAAAA&#10;">
                <v:rect id="Rectangle 17" o:spid="_x0000_s1029" style="position:absolute;left:-2145;top:2998;width:68579;height:19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shape id="Text Box 19" o:spid="_x0000_s1030" type="#_x0000_t202" style="position:absolute;left:11382;top:3401;width:54855;height:1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FDF8ABE" w14:textId="77777777" w:rsidR="009F1558" w:rsidRPr="00E93D58" w:rsidRDefault="009F1558" w:rsidP="003754C3">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DDA9E5F"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76FAA34F" w14:textId="553FD3BF"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00A85291"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8581732"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367E98A1"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1B643C26" w14:textId="7AD15984"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04047E" w:rsidRPr="00E12091">
                          <w:rPr>
                            <w:rFonts w:ascii="Arial" w:hAnsi="Arial" w:cs="Arial"/>
                            <w:sz w:val="16"/>
                            <w:szCs w:val="16"/>
                            <w:highlight w:val="yellow"/>
                          </w:rPr>
                          <w:t>103305</w:t>
                        </w:r>
                        <w:r w:rsidRPr="00E12091">
                          <w:rPr>
                            <w:rFonts w:ascii="Arial" w:hAnsi="Arial" w:cs="Arial"/>
                            <w:sz w:val="16"/>
                            <w:szCs w:val="16"/>
                            <w:highlight w:val="yellow"/>
                          </w:rPr>
                          <w:t xml:space="preserve"> | </w:t>
                        </w:r>
                        <w:r w:rsidR="0004047E" w:rsidRPr="00E12091">
                          <w:rPr>
                            <w:rFonts w:ascii="Arial" w:hAnsi="Arial" w:cs="Arial"/>
                            <w:sz w:val="16"/>
                            <w:szCs w:val="16"/>
                            <w:highlight w:val="yellow"/>
                          </w:rPr>
                          <w:t>C22-18578</w:t>
                        </w:r>
                        <w:r w:rsidR="0004047E">
                          <w:rPr>
                            <w:rFonts w:ascii="Arial" w:hAnsi="Arial" w:cs="Arial"/>
                            <w:sz w:val="16"/>
                            <w:szCs w:val="16"/>
                          </w:rPr>
                          <w:t xml:space="preserve"> </w:t>
                        </w:r>
                        <w:r w:rsidRPr="00960B00">
                          <w:rPr>
                            <w:rFonts w:ascii="Arial" w:hAnsi="Arial" w:cs="Arial"/>
                            <w:sz w:val="16"/>
                            <w:szCs w:val="16"/>
                          </w:rPr>
                          <w:t>| 0</w:t>
                        </w:r>
                        <w:r w:rsidR="00E12091">
                          <w:rPr>
                            <w:rFonts w:ascii="Arial" w:hAnsi="Arial" w:cs="Arial"/>
                            <w:sz w:val="16"/>
                            <w:szCs w:val="16"/>
                          </w:rPr>
                          <w:t>5</w:t>
                        </w:r>
                        <w:r w:rsidRPr="00960B00">
                          <w:rPr>
                            <w:rFonts w:ascii="Arial" w:hAnsi="Arial" w:cs="Arial"/>
                            <w:sz w:val="16"/>
                            <w:szCs w:val="16"/>
                          </w:rPr>
                          <w:t>/2022 | EXP 0</w:t>
                        </w:r>
                        <w:r w:rsidR="00E12091">
                          <w:rPr>
                            <w:rFonts w:ascii="Arial" w:hAnsi="Arial" w:cs="Arial"/>
                            <w:sz w:val="16"/>
                            <w:szCs w:val="16"/>
                          </w:rPr>
                          <w:t>5</w:t>
                        </w:r>
                        <w:r w:rsidRPr="00960B00">
                          <w:rPr>
                            <w:rFonts w:ascii="Arial" w:hAnsi="Arial" w:cs="Arial"/>
                            <w:sz w:val="16"/>
                            <w:szCs w:val="16"/>
                          </w:rPr>
                          <w:t>/</w:t>
                        </w:r>
                        <w:r w:rsidR="005B477D">
                          <w:rPr>
                            <w:rFonts w:ascii="Arial" w:hAnsi="Arial" w:cs="Arial"/>
                            <w:sz w:val="16"/>
                            <w:szCs w:val="16"/>
                          </w:rPr>
                          <w:t>31</w:t>
                        </w:r>
                        <w:r w:rsidRPr="00960B00">
                          <w:rPr>
                            <w:rFonts w:ascii="Arial" w:hAnsi="Arial" w:cs="Arial"/>
                            <w:sz w:val="16"/>
                            <w:szCs w:val="16"/>
                          </w:rPr>
                          <w:t>/2024</w:t>
                        </w:r>
                      </w:p>
                      <w:p w14:paraId="6F643B3E" w14:textId="77777777" w:rsidR="009F1558" w:rsidRPr="00BF0CB7" w:rsidRDefault="009F1558" w:rsidP="003754C3">
                        <w:pPr>
                          <w:spacing w:before="100" w:beforeAutospacing="1" w:after="100" w:afterAutospacing="1"/>
                          <w:rPr>
                            <w:rFonts w:ascii="Arial" w:hAnsi="Arial" w:cs="Arial"/>
                            <w:sz w:val="16"/>
                            <w:szCs w:val="16"/>
                          </w:rPr>
                        </w:pPr>
                      </w:p>
                      <w:p w14:paraId="7341B7A0" w14:textId="77777777" w:rsidR="009F1558" w:rsidRPr="00BF0CB7" w:rsidRDefault="009F1558" w:rsidP="003754C3">
                        <w:pPr>
                          <w:spacing w:after="0" w:line="240" w:lineRule="auto"/>
                          <w:rPr>
                            <w:rFonts w:ascii="Arial" w:hAnsi="Arial" w:cs="Arial"/>
                            <w:sz w:val="16"/>
                            <w:szCs w:val="16"/>
                          </w:rPr>
                        </w:pPr>
                      </w:p>
                    </w:txbxContent>
                  </v:textbox>
                </v:shape>
                <v:shape id="Text Box 20" o:spid="_x0000_s1031" type="#_x0000_t202" style="position:absolute;left:-1341;top:3230;width:13800;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3B2E69F0" w14:textId="77777777" w:rsidR="009F1558" w:rsidRPr="00BF0CB7" w:rsidRDefault="009F1558" w:rsidP="003754C3">
                        <w:pPr>
                          <w:spacing w:after="120"/>
                          <w:rPr>
                            <w:rFonts w:ascii="Arial" w:hAnsi="Arial" w:cs="Arial"/>
                            <w:b/>
                            <w:sz w:val="16"/>
                            <w:szCs w:val="16"/>
                          </w:rPr>
                        </w:pPr>
                        <w:r w:rsidRPr="00BF0CB7">
                          <w:rPr>
                            <w:rFonts w:ascii="Arial" w:hAnsi="Arial" w:cs="Arial"/>
                            <w:b/>
                            <w:sz w:val="16"/>
                            <w:szCs w:val="16"/>
                          </w:rPr>
                          <w:t>AssetMark, Inc.</w:t>
                        </w:r>
                      </w:p>
                      <w:p w14:paraId="7EA2FCEB" w14:textId="77777777" w:rsidR="009F1558" w:rsidRPr="00BF0CB7" w:rsidRDefault="009F1558" w:rsidP="003754C3">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10:wrap type="topAndBottom" anchorx="margin" anchory="page"/>
              </v:group>
            </w:pict>
          </mc:Fallback>
        </mc:AlternateContent>
      </w:r>
    </w:p>
    <w:sectPr w:rsidR="00D8372D" w:rsidSect="007B0461">
      <w:type w:val="continuous"/>
      <w:pgSz w:w="12240" w:h="15840"/>
      <w:pgMar w:top="-1656" w:right="1440" w:bottom="151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6D042" w14:textId="77777777" w:rsidR="0033426F" w:rsidRDefault="0033426F" w:rsidP="005C1D70">
      <w:pPr>
        <w:spacing w:after="0" w:line="240" w:lineRule="auto"/>
      </w:pPr>
      <w:r>
        <w:separator/>
      </w:r>
    </w:p>
  </w:endnote>
  <w:endnote w:type="continuationSeparator" w:id="0">
    <w:p w14:paraId="1B3EF847" w14:textId="77777777" w:rsidR="0033426F" w:rsidRDefault="0033426F" w:rsidP="005C1D70">
      <w:pPr>
        <w:spacing w:after="0" w:line="240" w:lineRule="auto"/>
      </w:pPr>
      <w:r>
        <w:continuationSeparator/>
      </w:r>
    </w:p>
  </w:endnote>
  <w:endnote w:id="1">
    <w:p w14:paraId="2176171A" w14:textId="77777777" w:rsidR="00EF6BC7" w:rsidRPr="009335D9" w:rsidRDefault="00EF6BC7" w:rsidP="00EF6BC7">
      <w:pPr>
        <w:pStyle w:val="EndnoteText"/>
        <w:rPr>
          <w:rFonts w:ascii="Arial" w:hAnsi="Arial" w:cs="Arial"/>
          <w:sz w:val="16"/>
          <w:szCs w:val="16"/>
        </w:rPr>
      </w:pPr>
      <w:r w:rsidRPr="009335D9">
        <w:rPr>
          <w:rStyle w:val="EndnoteReference"/>
          <w:rFonts w:ascii="Arial" w:hAnsi="Arial" w:cs="Arial"/>
          <w:sz w:val="16"/>
          <w:szCs w:val="16"/>
        </w:rPr>
        <w:endnoteRef/>
      </w:r>
      <w:r w:rsidRPr="009335D9">
        <w:rPr>
          <w:rFonts w:ascii="Arial" w:hAnsi="Arial" w:cs="Arial"/>
          <w:sz w:val="16"/>
          <w:szCs w:val="16"/>
        </w:rPr>
        <w:t xml:space="preserve"> This edition focuses on the 60/40 portfolio, investors with longer time horizon may have a more aggressive mix while those closer to retirement may be more conservatively allocated.</w:t>
      </w:r>
    </w:p>
  </w:endnote>
  <w:endnote w:id="2">
    <w:p w14:paraId="5E2A3249" w14:textId="77777777" w:rsidR="00EF6BC7" w:rsidRPr="009335D9" w:rsidRDefault="00EF6BC7" w:rsidP="00EF6BC7">
      <w:pPr>
        <w:pStyle w:val="EndnoteText"/>
        <w:rPr>
          <w:rFonts w:ascii="Arial" w:hAnsi="Arial" w:cs="Arial"/>
          <w:sz w:val="16"/>
          <w:szCs w:val="16"/>
        </w:rPr>
      </w:pPr>
      <w:r w:rsidRPr="009335D9">
        <w:rPr>
          <w:rStyle w:val="EndnoteReference"/>
          <w:rFonts w:ascii="Arial" w:hAnsi="Arial" w:cs="Arial"/>
          <w:sz w:val="16"/>
          <w:szCs w:val="16"/>
        </w:rPr>
        <w:endnoteRef/>
      </w:r>
      <w:r w:rsidRPr="009335D9">
        <w:rPr>
          <w:rFonts w:ascii="Arial" w:hAnsi="Arial" w:cs="Arial"/>
          <w:sz w:val="16"/>
          <w:szCs w:val="16"/>
        </w:rPr>
        <w:t xml:space="preserve"> FactSet</w:t>
      </w:r>
    </w:p>
  </w:endnote>
  <w:endnote w:id="3">
    <w:p w14:paraId="7662BB4B" w14:textId="77777777" w:rsidR="00EF6BC7" w:rsidRPr="009335D9" w:rsidRDefault="00EF6BC7" w:rsidP="00EF6BC7">
      <w:pPr>
        <w:pStyle w:val="EndnoteText"/>
        <w:rPr>
          <w:rFonts w:ascii="Arial" w:hAnsi="Arial" w:cs="Arial"/>
          <w:sz w:val="16"/>
          <w:szCs w:val="16"/>
        </w:rPr>
      </w:pPr>
      <w:r w:rsidRPr="009335D9">
        <w:rPr>
          <w:rStyle w:val="EndnoteReference"/>
          <w:rFonts w:ascii="Arial" w:hAnsi="Arial" w:cs="Arial"/>
          <w:sz w:val="16"/>
          <w:szCs w:val="16"/>
        </w:rPr>
        <w:endnoteRef/>
      </w:r>
      <w:r w:rsidRPr="009335D9">
        <w:rPr>
          <w:rFonts w:ascii="Arial" w:hAnsi="Arial" w:cs="Arial"/>
          <w:sz w:val="16"/>
          <w:szCs w:val="16"/>
        </w:rPr>
        <w:t xml:space="preserve"> Vanguard. Like the phoenix, the 60/40 portfolio will rise again</w:t>
      </w:r>
    </w:p>
  </w:endnote>
  <w:endnote w:id="4">
    <w:p w14:paraId="7C4DDA19" w14:textId="77777777" w:rsidR="00EF6BC7" w:rsidRPr="009335D9" w:rsidRDefault="00EF6BC7" w:rsidP="00EF6BC7">
      <w:pPr>
        <w:pStyle w:val="EndnoteText"/>
        <w:rPr>
          <w:rFonts w:ascii="Arial" w:hAnsi="Arial" w:cs="Arial"/>
          <w:sz w:val="16"/>
          <w:szCs w:val="16"/>
        </w:rPr>
      </w:pPr>
      <w:r w:rsidRPr="009335D9">
        <w:rPr>
          <w:rStyle w:val="EndnoteReference"/>
          <w:rFonts w:ascii="Arial" w:hAnsi="Arial" w:cs="Arial"/>
          <w:sz w:val="16"/>
          <w:szCs w:val="16"/>
        </w:rPr>
        <w:endnoteRef/>
      </w:r>
      <w:r w:rsidRPr="009335D9">
        <w:rPr>
          <w:rFonts w:ascii="Arial" w:hAnsi="Arial" w:cs="Arial"/>
          <w:sz w:val="16"/>
          <w:szCs w:val="16"/>
        </w:rPr>
        <w:t xml:space="preserve"> Ibid</w:t>
      </w:r>
    </w:p>
  </w:endnote>
  <w:endnote w:id="5">
    <w:p w14:paraId="2D6CDCF7" w14:textId="401CD22E" w:rsidR="002502D2" w:rsidRPr="009335D9" w:rsidRDefault="002502D2">
      <w:pPr>
        <w:pStyle w:val="EndnoteText"/>
        <w:rPr>
          <w:rFonts w:ascii="Arial" w:hAnsi="Arial" w:cs="Arial"/>
          <w:sz w:val="16"/>
          <w:szCs w:val="16"/>
        </w:rPr>
      </w:pPr>
      <w:r w:rsidRPr="009335D9">
        <w:rPr>
          <w:rStyle w:val="EndnoteReference"/>
          <w:rFonts w:ascii="Arial" w:hAnsi="Arial" w:cs="Arial"/>
          <w:sz w:val="16"/>
          <w:szCs w:val="16"/>
        </w:rPr>
        <w:endnoteRef/>
      </w:r>
      <w:r w:rsidRPr="009335D9">
        <w:rPr>
          <w:rFonts w:ascii="Arial" w:hAnsi="Arial" w:cs="Arial"/>
          <w:sz w:val="16"/>
          <w:szCs w:val="16"/>
        </w:rPr>
        <w:t xml:space="preserve"> Ibid</w:t>
      </w:r>
    </w:p>
  </w:endnote>
  <w:endnote w:id="6">
    <w:p w14:paraId="3E349379" w14:textId="70B58F12" w:rsidR="005C29C1" w:rsidRPr="009335D9" w:rsidRDefault="005C29C1">
      <w:pPr>
        <w:pStyle w:val="EndnoteText"/>
        <w:rPr>
          <w:rFonts w:ascii="Arial" w:hAnsi="Arial" w:cs="Arial"/>
          <w:sz w:val="16"/>
          <w:szCs w:val="16"/>
        </w:rPr>
      </w:pPr>
      <w:r w:rsidRPr="009335D9">
        <w:rPr>
          <w:rStyle w:val="EndnoteReference"/>
          <w:rFonts w:ascii="Arial" w:hAnsi="Arial" w:cs="Arial"/>
          <w:sz w:val="16"/>
          <w:szCs w:val="16"/>
        </w:rPr>
        <w:endnoteRef/>
      </w:r>
      <w:r w:rsidRPr="009335D9">
        <w:rPr>
          <w:rFonts w:ascii="Arial" w:hAnsi="Arial" w:cs="Arial"/>
          <w:sz w:val="16"/>
          <w:szCs w:val="16"/>
        </w:rPr>
        <w:t xml:space="preserve"> 60/40 constructed using S&amp;P 500 and 10-Year Treasury</w:t>
      </w:r>
    </w:p>
  </w:endnote>
  <w:endnote w:id="7">
    <w:p w14:paraId="1A892A2B" w14:textId="77777777" w:rsidR="00EF6BC7" w:rsidRPr="009335D9" w:rsidRDefault="00EF6BC7" w:rsidP="00EF6BC7">
      <w:pPr>
        <w:pStyle w:val="EndnoteText"/>
        <w:rPr>
          <w:rFonts w:ascii="Arial" w:hAnsi="Arial" w:cs="Arial"/>
          <w:sz w:val="16"/>
          <w:szCs w:val="16"/>
        </w:rPr>
      </w:pPr>
      <w:r w:rsidRPr="009335D9">
        <w:rPr>
          <w:rStyle w:val="EndnoteReference"/>
          <w:rFonts w:ascii="Arial" w:hAnsi="Arial" w:cs="Arial"/>
          <w:sz w:val="16"/>
          <w:szCs w:val="16"/>
        </w:rPr>
        <w:endnoteRef/>
      </w:r>
      <w:r w:rsidRPr="009335D9">
        <w:rPr>
          <w:rFonts w:ascii="Arial" w:hAnsi="Arial" w:cs="Arial"/>
          <w:sz w:val="16"/>
          <w:szCs w:val="16"/>
        </w:rPr>
        <w:t xml:space="preserve"> Ben Carlson. The Worst Years Ever For a 60/40 Portfolio</w:t>
      </w:r>
    </w:p>
  </w:endnote>
  <w:endnote w:id="8">
    <w:p w14:paraId="039229E1" w14:textId="77777777" w:rsidR="00EF6BC7" w:rsidRPr="009335D9" w:rsidRDefault="00EF6BC7" w:rsidP="00EF6BC7">
      <w:pPr>
        <w:pStyle w:val="EndnoteText"/>
        <w:rPr>
          <w:rFonts w:ascii="Arial" w:hAnsi="Arial" w:cs="Arial"/>
          <w:sz w:val="16"/>
          <w:szCs w:val="16"/>
        </w:rPr>
      </w:pPr>
      <w:r w:rsidRPr="009335D9">
        <w:rPr>
          <w:rStyle w:val="EndnoteReference"/>
          <w:rFonts w:ascii="Arial" w:hAnsi="Arial" w:cs="Arial"/>
          <w:sz w:val="16"/>
          <w:szCs w:val="16"/>
        </w:rPr>
        <w:endnoteRef/>
      </w:r>
      <w:r w:rsidRPr="009335D9">
        <w:rPr>
          <w:rFonts w:ascii="Arial" w:hAnsi="Arial" w:cs="Arial"/>
          <w:sz w:val="16"/>
          <w:szCs w:val="16"/>
        </w:rPr>
        <w:t xml:space="preserve"> Ibid</w:t>
      </w:r>
    </w:p>
  </w:endnote>
  <w:endnote w:id="9">
    <w:p w14:paraId="5767D44A" w14:textId="19258532" w:rsidR="00EF6BC7" w:rsidRPr="009335D9" w:rsidRDefault="00EF6BC7" w:rsidP="00EF6BC7">
      <w:pPr>
        <w:pStyle w:val="EndnoteText"/>
        <w:rPr>
          <w:rFonts w:ascii="Arial" w:hAnsi="Arial" w:cs="Arial"/>
          <w:sz w:val="16"/>
          <w:szCs w:val="16"/>
        </w:rPr>
      </w:pPr>
      <w:r w:rsidRPr="009335D9">
        <w:rPr>
          <w:rStyle w:val="EndnoteReference"/>
          <w:rFonts w:ascii="Arial" w:hAnsi="Arial" w:cs="Arial"/>
          <w:sz w:val="16"/>
          <w:szCs w:val="16"/>
        </w:rPr>
        <w:endnoteRef/>
      </w:r>
      <w:r w:rsidRPr="009335D9">
        <w:rPr>
          <w:rFonts w:ascii="Arial" w:hAnsi="Arial" w:cs="Arial"/>
          <w:sz w:val="16"/>
          <w:szCs w:val="16"/>
        </w:rPr>
        <w:t xml:space="preserve"> MFS, “Market Declines: A History of Recoveries</w:t>
      </w:r>
      <w:r w:rsidR="00226D09" w:rsidRPr="009335D9">
        <w:rPr>
          <w:rFonts w:ascii="Arial" w:hAnsi="Arial" w:cs="Arial"/>
          <w:sz w:val="16"/>
          <w:szCs w:val="16"/>
        </w:rPr>
        <w:t>”.</w:t>
      </w:r>
    </w:p>
  </w:endnote>
  <w:endnote w:id="10">
    <w:p w14:paraId="55514D29" w14:textId="77777777" w:rsidR="00EF6BC7" w:rsidRDefault="00EF6BC7" w:rsidP="00EF6BC7">
      <w:pPr>
        <w:pStyle w:val="EndnoteText"/>
      </w:pPr>
      <w:r w:rsidRPr="009335D9">
        <w:rPr>
          <w:rStyle w:val="EndnoteReference"/>
          <w:rFonts w:ascii="Arial" w:hAnsi="Arial" w:cs="Arial"/>
          <w:sz w:val="16"/>
          <w:szCs w:val="16"/>
        </w:rPr>
        <w:endnoteRef/>
      </w:r>
      <w:r w:rsidRPr="009335D9">
        <w:rPr>
          <w:rFonts w:ascii="Arial" w:hAnsi="Arial" w:cs="Arial"/>
          <w:sz w:val="16"/>
          <w:szCs w:val="16"/>
        </w:rPr>
        <w:t xml:space="preserve"> FactSet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7389587"/>
      <w:docPartObj>
        <w:docPartGallery w:val="Page Numbers (Bottom of Page)"/>
        <w:docPartUnique/>
      </w:docPartObj>
    </w:sdtPr>
    <w:sdtEndPr>
      <w:rPr>
        <w:rStyle w:val="PageNumber"/>
      </w:rPr>
    </w:sdtEndPr>
    <w:sdtContent>
      <w:p w14:paraId="023C6741" w14:textId="016CCC96" w:rsidR="009F1558" w:rsidRDefault="009F1558"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9F1558" w:rsidRDefault="009F1558"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767171"/>
        <w:sz w:val="20"/>
      </w:rPr>
      <w:id w:val="-350649007"/>
      <w:docPartObj>
        <w:docPartGallery w:val="Page Numbers (Bottom of Page)"/>
        <w:docPartUnique/>
      </w:docPartObj>
    </w:sdtPr>
    <w:sdtEndPr>
      <w:rPr>
        <w:rStyle w:val="PageNumber"/>
      </w:rPr>
    </w:sdtEndPr>
    <w:sdtContent>
      <w:p w14:paraId="67D6EB2D" w14:textId="7753A5C3" w:rsidR="009F1558" w:rsidRPr="008B4A8A" w:rsidRDefault="009F1558"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61E730C0" w14:textId="5F0D08E4" w:rsidR="009F1558" w:rsidRDefault="009F1558" w:rsidP="007C4C9B">
    <w:pPr>
      <w:pStyle w:val="Footer"/>
      <w:ind w:right="360"/>
    </w:pPr>
    <w:r>
      <w:rPr>
        <w:noProof/>
      </w:rPr>
      <mc:AlternateContent>
        <mc:Choice Requires="wps">
          <w:drawing>
            <wp:anchor distT="0" distB="0" distL="114300" distR="114300" simplePos="0" relativeHeight="251666432"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9F1558" w:rsidRPr="008B4A8A" w:rsidRDefault="009F1558"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2" type="#_x0000_t202" style="position:absolute;margin-left:-36pt;margin-top:6.2pt;width:177.7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aDLwIAAE0EAAAOAAAAZHJzL2Uyb0RvYy54bWysVE1v2zAMvQ/YfxB0X5y4+WiDOEXWIsOA&#10;oC2QDD0rshQbkERNUmJnv36U7KRFt9Owi0yRFCm+9+TFfasVOQnnazAFHQ2GlAjDoazNoaA/dusv&#10;t5T4wEzJFBhR0LPw9H75+dOisXORQwWqFI5gEePnjS1oFYKdZ5nnldDMD8AKg0EJTrOAW3fISsca&#10;rK5Vlg+H06wBV1oHXHiP3scuSJepvpSCh2cpvQhEFRTvFtLq0rqPa7ZcsPnBMVvVvL8G+4dbaFYb&#10;bHot9cgCI0dX/1FK19yBBxkGHHQGUtZcpBlwmtHwwzTbilmRZkFwvL3C5P9fWf50enGkLgs6pcQw&#10;jRTtRBvIV2jJNKLTWD/HpK3FtNCiG1m++D0649CtdDp+cRyCccT5fMU2FuPozPPJ9HY0o4RjLJ/k&#10;s5sEfvZ22jofvgnQJBoFdchdgpSdNj7gTTD1khKbGVjXSiX+lCENDnAzGaYD1wieUAYPxhm6u0Yr&#10;tPu2H2wP5RnnctDpwlu+rrH5hvnwwhwKAUdBcYdnXKQCbAK9RUkF7tff/DEf+cEoJQ0Kq6D+55E5&#10;QYn6bpC5qMJkjCezHDcube5G4zFu9u8j5qgfAHU7widkeTJjflAXUzrQr6j/VeyIIWY49i1ouJgP&#10;oZM6vh8uVquUhLqzLGzM1vJYOkIZYd21r8zZHvuArD3BRX5s/oGCLrcjYXUMIOvETwS3Q7THHDWb&#10;aOvfV3wU7/cp6+0vsPwNAAD//wMAUEsDBBQABgAIAAAAIQAZrzwR4gAAAAkBAAAPAAAAZHJzL2Rv&#10;d25yZXYueG1sTI/NTsMwEITvSLyDtUhcUOvE5aeEOBWqhOACEqWqxM2NlzglXkex2waenuUEtx3N&#10;aPabcjH6ThxwiG0gDfk0A4FUB9tSo2H99jCZg4jJkDVdINTwhREW1elJaQobjvSKh1VqBJdQLIwG&#10;l1JfSBlrh97EaeiR2PsIgzeJ5dBIO5gjl/tOqiy7lt60xB+c6XHpsP5c7b2Gp/fdbXrOu/zb7ezL&#10;8mIz6zfrR63Pz8b7OxAJx/QXhl98RoeKmbZhTzaKTsPkRvGWxIa6BMEBNZ/xsdVwpRTIqpT/F1Q/&#10;AAAA//8DAFBLAQItABQABgAIAAAAIQC2gziS/gAAAOEBAAATAAAAAAAAAAAAAAAAAAAAAABbQ29u&#10;dGVudF9UeXBlc10ueG1sUEsBAi0AFAAGAAgAAAAhADj9If/WAAAAlAEAAAsAAAAAAAAAAAAAAAAA&#10;LwEAAF9yZWxzLy5yZWxzUEsBAi0AFAAGAAgAAAAhAJsUBoMvAgAATQQAAA4AAAAAAAAAAAAAAAAA&#10;LgIAAGRycy9lMm9Eb2MueG1sUEsBAi0AFAAGAAgAAAAhABmvPBHiAAAACQEAAA8AAAAAAAAAAAAA&#10;AAAAiQQAAGRycy9kb3ducmV2LnhtbFBLBQYAAAAABAAEAPMAAACYBQAAAAA=&#10;" filled="f" stroked="f" strokeweight=".5pt">
              <v:textbox inset="0">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9F1558" w:rsidRPr="008B4A8A" w:rsidRDefault="009F1558"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3" type="#_x0000_t202" style="position:absolute;margin-left:424.15pt;margin-top:9.25pt;width:69.6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013E4E"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767171"/>
        <w:sz w:val="20"/>
      </w:rPr>
      <w:id w:val="-958177908"/>
      <w:docPartObj>
        <w:docPartGallery w:val="Page Numbers (Bottom of Page)"/>
        <w:docPartUnique/>
      </w:docPartObj>
    </w:sdtPr>
    <w:sdtEndPr>
      <w:rPr>
        <w:rStyle w:val="PageNumber"/>
      </w:rPr>
    </w:sdtEndPr>
    <w:sdtContent>
      <w:p w14:paraId="4E33B781" w14:textId="6783AB42" w:rsidR="009F1558" w:rsidRPr="008B4A8A" w:rsidRDefault="009F1558"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F2265DA" w14:textId="799955A8" w:rsidR="009F1558" w:rsidRDefault="009F1558" w:rsidP="00996FBD">
    <w:pPr>
      <w:pStyle w:val="Footer"/>
    </w:pPr>
    <w:r w:rsidRPr="00996FBD">
      <w:rPr>
        <w:noProof/>
      </w:rPr>
      <mc:AlternateContent>
        <mc:Choice Requires="wps">
          <w:drawing>
            <wp:anchor distT="0" distB="0" distL="114300" distR="114300" simplePos="0" relativeHeight="251676672" behindDoc="0" locked="0" layoutInCell="1" allowOverlap="1" wp14:anchorId="2EFAE302" wp14:editId="3E512F65">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For general public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5" type="#_x0000_t202" style="position:absolute;margin-left:-35.25pt;margin-top:6.2pt;width:182.3pt;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eLwIAAFYEAAAOAAAAZHJzL2Uyb0RvYy54bWysVMlu2zAQvRfoPxC81/KaRbAcuAlcFAiS&#10;AHaRM01RlgCJw5K0Jffr+0jZTpD2VPRCzcZZ3htqftc1NTso6yrSGR8NhpwpLSmv9C7jPzarLzec&#10;OS90LmrSKuNH5fjd4vOneWtSNaaS6lxZhiTapa3JeOm9SZPEyVI1wg3IKA1nQbYRHqrdJbkVLbI3&#10;dTIeDq+SlmxuLEnlHKwPvZMvYv6iUNI/F4VTntUZR28+njae23Ami7lId1aYspKnNsQ/dNGISqPo&#10;JdWD8ILtbfVHqqaSlhwVfiCpSagoKqniDJhmNPwwzboURsVZAI4zF5jc/0srnw4vllU5uJtwpkUD&#10;jjaq8+wrdQwm4NMalyJsbRDoO9gRe7Y7GMPYXWGb8MVADH4gfbygG7JJGMeT0Wx0gyoSvvFsfD2J&#10;8Cdvt411/puihgUh4xbsRVDF4dF5dILQc0gopmlV1XVksNaszfjVZDaMFy4e3Kg1LoYZ+l6D5Ltt&#10;F2e+zLel/IjxLPUL4oxcVejhUTj/Iiw2AhNhy/0zjqIm1KKTxFlJ9tff7CEeRMHLWYsNy7j7uRdW&#10;cVZ/16AwrGMUprPrMRQbldvRdApl+96j9809YYFHeEtGRjHE+/osFpaaVzyEZagIl9ASdTPuz+K9&#10;73ceD0mq5TIGYQGN8I96bWRIHRAN6G66V2HNiQIP8p7ovIci/cBEH9tzsdx7KqpIU8C4R/QEPZY3&#10;snd6aOF1vNdj1NvvYPEbAAD//wMAUEsDBBQABgAIAAAAIQBZeipn4gAAAAkBAAAPAAAAZHJzL2Rv&#10;d25yZXYueG1sTI9NS8NAFEX3gv9heIIbaScZ22pjJkUKopsKtqXgbpp5ZlLnI2SmbfTX+1zp8nEP&#10;955XLgZn2Qn72AYvIR9nwNDXQbe+kbDdPI3ugcWkvFY2eJTwhREW1eVFqQodzv4NT+vUMCrxsVAS&#10;TEpdwXmsDToVx6FDT9lH6J1KdPYN1706U7mzXGTZjDvVelowqsOlwfpzfXQSXt4P87TKbf5tDvp1&#10;ebO77XbbZymvr4bHB2AJh/QHw68+qUNFTvtw9DoyK2F0l00JpUBMgBEg5pMc2F7CVAjgVcn/f1D9&#10;AAAA//8DAFBLAQItABQABgAIAAAAIQC2gziS/gAAAOEBAAATAAAAAAAAAAAAAAAAAAAAAABbQ29u&#10;dGVudF9UeXBlc10ueG1sUEsBAi0AFAAGAAgAAAAhADj9If/WAAAAlAEAAAsAAAAAAAAAAAAAAAAA&#10;LwEAAF9yZWxzLy5yZWxzUEsBAi0AFAAGAAgAAAAhAKT6cp4vAgAAVgQAAA4AAAAAAAAAAAAAAAAA&#10;LgIAAGRycy9lMm9Eb2MueG1sUEsBAi0AFAAGAAgAAAAhAFl6KmfiAAAACQEAAA8AAAAAAAAAAAAA&#10;AAAAiQQAAGRycy9kb3ducmV2LnhtbFBLBQYAAAAABAAEAPMAAACYBQAAAAA=&#10;" filled="f" stroked="f" strokeweight=".5pt">
              <v:textbox inset="0">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For general public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7564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82150" id="Straight Connector 12"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77696"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6" type="#_x0000_t202" style="position:absolute;margin-left:424.8pt;margin-top:8.85pt;width:69.6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6aLAIAAFEEAAAOAAAAZHJzL2Uyb0RvYy54bWysVFFv2jAQfp+0/2D5fQQoUIQIFWvFNKlq&#10;K8HUZ+M4JFLi82xDwn79PjuEVt2epr0457vz+b7vO2d519YVOynrStIpHw2GnCktKSv1IeU/dpsv&#10;c86cFzoTFWmV8rNy/G71+dOyMQs1poKqTFmGItotGpPywnuzSBInC1ULNyCjNII52Vp4bO0hyaxo&#10;UL2ukvFwOEsaspmxJJVz8D50Qb6K9fNcSf+c5055VqUcvfm42rjuw5qslmJxsMIUpby0If6hi1qU&#10;GpdeSz0IL9jRln+UqktpyVHuB5LqhPK8lCpiAJrR8AOabSGMilhAjjNXmtz/KyufTi+WlRm0m3Cm&#10;RQ2Ndqr17Cu1DC7w0xi3QNrWING38CO39zs4A+w2t3X4AhBDHEyfr+yGahLO+XwyH884kwiNp+Pb&#10;m8h+8nbYWOe/KapZMFJuIV7kVJwenUcjSO1Twl2aNmVVRQErzZqUz26mw3jgGsGJSuNggNC1Gizf&#10;7tsI+QpvT9kZ6Cx18+GM3JTo4VE4/yIsBgKAMOT+GUteEe6ii8VZQfbX3/whHzohylmDAUu5+3kU&#10;VnFWfddQMExjNCbT2zE2tvfu33v1sb4nzO4Iz8jIaIZcX/Vmbql+xRtYh9sQElrizpT73rz33bjj&#10;DUm1XsckzJ4R/lFvjQylA5uB2V37Kqy50O+h2xP1IygWH1Tocjsd1kdPeRklCvx2bF5ox9xG5S5v&#10;LDyM9/uY9fYnWP0GAAD//wMAUEsDBBQABgAIAAAAIQAtWhIL3gAAAAkBAAAPAAAAZHJzL2Rvd25y&#10;ZXYueG1sTI/LTsMwEEX3SPyDNUjsqAOijZPGqSqklg0bCkgs3XjyUP2IbDcNf8+wosvRPbr3TLWZ&#10;rWEThjh4J+FxkQFD13g9uE7C58fuQQCLSTmtjHco4QcjbOrbm0qV2l/cO06H1DEqcbFUEvqUxpLz&#10;2PRoVVz4ER1lrQ9WJTpDx3VQFyq3hj9l2YpbNTha6NWILz02p8PZSkixNTuhX/XbuP3a70M3Ffjd&#10;Snl/N2/XwBLO6R+GP31Sh5qcjv7sdGRGgnguVoRSkOfACCiEKIAdJSzzJfC64tcf1L8AAAD//wMA&#10;UEsBAi0AFAAGAAgAAAAhALaDOJL+AAAA4QEAABMAAAAAAAAAAAAAAAAAAAAAAFtDb250ZW50X1R5&#10;cGVzXS54bWxQSwECLQAUAAYACAAAACEAOP0h/9YAAACUAQAACwAAAAAAAAAAAAAAAAAvAQAAX3Jl&#10;bHMvLnJlbHNQSwECLQAUAAYACAAAACEAmKeOmiwCAABRBAAADgAAAAAAAAAAAAAAAAAuAgAAZHJz&#10;L2Uyb0RvYy54bWxQSwECLQAUAAYACAAAACEALVoSC94AAAAJAQAADwAAAAAAAAAAAAAAAACGBAAA&#10;ZHJzL2Rvd25yZXYueG1sUEsFBgAAAAAEAAQA8wAAAJEFAAAAAA==&#10;" filled="f" stroked="f" strokeweight=".5pt">
              <v:textbox inset="0,,0">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5B45" w14:textId="77777777" w:rsidR="0033426F" w:rsidRDefault="0033426F" w:rsidP="005C1D70">
      <w:pPr>
        <w:spacing w:after="0" w:line="240" w:lineRule="auto"/>
      </w:pPr>
      <w:r>
        <w:separator/>
      </w:r>
    </w:p>
  </w:footnote>
  <w:footnote w:type="continuationSeparator" w:id="0">
    <w:p w14:paraId="29229712" w14:textId="77777777" w:rsidR="0033426F" w:rsidRDefault="0033426F"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E34A" w14:textId="77777777" w:rsidR="009F1558" w:rsidRDefault="009F1558" w:rsidP="00996FBD">
    <w:pPr>
      <w:pStyle w:val="Header"/>
      <w:ind w:left="-720"/>
    </w:pPr>
  </w:p>
  <w:p w14:paraId="166473A2" w14:textId="77777777" w:rsidR="009F1558" w:rsidRDefault="009F1558" w:rsidP="00996FBD">
    <w:pPr>
      <w:pStyle w:val="Header"/>
      <w:ind w:left="-720"/>
    </w:pPr>
  </w:p>
  <w:p w14:paraId="350B5968" w14:textId="0B1742A5" w:rsidR="009F1558" w:rsidRDefault="009F1558"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7482B4"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83DD" w14:textId="1304E2E7" w:rsidR="009F1558" w:rsidRDefault="009F1558" w:rsidP="00215F97">
    <w:pPr>
      <w:pStyle w:val="Header"/>
      <w:ind w:left="-1440"/>
    </w:pPr>
    <w:r w:rsidRPr="00996FBD">
      <w:rPr>
        <w:noProof/>
      </w:rPr>
      <mc:AlternateContent>
        <mc:Choice Requires="wps">
          <w:drawing>
            <wp:anchor distT="0" distB="0" distL="114300" distR="114300" simplePos="0" relativeHeight="251673600" behindDoc="0" locked="0" layoutInCell="1" allowOverlap="1" wp14:anchorId="315F954A" wp14:editId="327546BE">
              <wp:simplePos x="0" y="0"/>
              <wp:positionH relativeFrom="column">
                <wp:posOffset>4978400</wp:posOffset>
              </wp:positionH>
              <wp:positionV relativeFrom="paragraph">
                <wp:posOffset>1930401</wp:posOffset>
              </wp:positionV>
              <wp:extent cx="1457960" cy="228600"/>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64C509A4" w14:textId="1475E6CA" w:rsidR="009F1558" w:rsidRDefault="00840365" w:rsidP="009E3EDC">
                          <w:pPr>
                            <w:jc w:val="right"/>
                            <w:rPr>
                              <w:rFonts w:ascii="Arial" w:hAnsi="Arial" w:cs="Arial"/>
                              <w:color w:val="AEAAAA"/>
                              <w:sz w:val="20"/>
                              <w:szCs w:val="36"/>
                            </w:rPr>
                          </w:pPr>
                          <w:r>
                            <w:rPr>
                              <w:rFonts w:ascii="Arial" w:hAnsi="Arial" w:cs="Arial"/>
                              <w:color w:val="AEAAAA"/>
                              <w:sz w:val="20"/>
                              <w:szCs w:val="36"/>
                            </w:rPr>
                            <w:t>October</w:t>
                          </w:r>
                          <w:r w:rsidR="00956F2C">
                            <w:rPr>
                              <w:rFonts w:ascii="Arial" w:hAnsi="Arial" w:cs="Arial"/>
                              <w:color w:val="AEAAAA"/>
                              <w:sz w:val="20"/>
                              <w:szCs w:val="36"/>
                            </w:rPr>
                            <w:t xml:space="preserve">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954A" id="_x0000_t202" coordsize="21600,21600" o:spt="202" path="m,l,21600r21600,l21600,xe">
              <v:stroke joinstyle="miter"/>
              <v:path gradientshapeok="t" o:connecttype="rect"/>
            </v:shapetype>
            <v:shape id="Text Box 10" o:spid="_x0000_s1034" type="#_x0000_t202" style="position:absolute;left:0;text-align:left;margin-left:392pt;margin-top:152pt;width:114.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rJJgIAAEoEAAAOAAAAZHJzL2Uyb0RvYy54bWysVF1v2jAUfZ+0/2D5fSSwlXURoWKtmCZV&#10;bSWY+mwch0RKfD3bkLBfv2OH0Krb07QXc3M/ju8995jFTd827Kisq0nnfDpJOVNaUlHrfc5/bNcf&#10;rjlzXuhCNKRVzk/K8Zvl+3eLzmRqRhU1hbIMINplncl55b3JksTJSrXCTcgojWBJthUen3afFFZ0&#10;QG+bZJam86QjWxhLUjkH790Q5MuIX5ZK+seydMqzJufozcfTxnMXzmS5ENneClPV8tyG+IcuWlFr&#10;XHqBuhNesIOt/4Bqa2nJUeknktqEyrKWKs6Aaabpm2k2lTAqzgJynLnQ5P4frHw4PllWF9gd6NGi&#10;xY62qvfsK/UMLvDTGZchbWOQ6Hv4kTv6HZxh7L60bfjFQAxxQJ0u7AY0GYo+XX3+MkdIIjabXc/T&#10;CJ+8VBvr/DdFLQtGzi22F0kVx3vn0QlSx5RwmaZ13TRxg41mXc7nH6/SWHCJoKLRKAwzDL0Gy/e7&#10;Ps48G+fYUXHCeJYGgTgj1zV6uBfOPwkLRaBtqNw/4igbwl10tjiryP76mz/kY1GIctZBYTl3Pw/C&#10;Ks6a7xorBKQfDTsau9HQh/aWINop3o+R0USB9c1olpbaZ4h/FW5BSGiJu3LuR/PWDzrH45FqtYpJ&#10;EJ0R/l5vjAzQgcXA6LZ/FtacafdY2AON2hPZG/aH3IH/1cFTWcfVBF4HFs90Q7BxY+fHFV7E6++Y&#10;9fIXsPwNAAD//wMAUEsDBBQABgAIAAAAIQCcOcxk4AAAAAwBAAAPAAAAZHJzL2Rvd25yZXYueG1s&#10;TI9LT8MwEITvSPwHa5G4UTu0KlWIUyEeN56lleDmxCaJsNeRvUnDv8c5wW13ZzT7TbGdnGWjCbHz&#10;KCFbCGAGa687bCTs3x8uNsAiKdTKejQSfkyEbXl6Uqhc+yO+mXFHDUshGHMloSXqc85j3Rqn4sL3&#10;BpP25YNTlNbQcB3UMYU7yy+FWHOnOkwfWtWb29bU37vBSbAfMTxWgj7Hu+aJXl/4cLjPnqU8P5tu&#10;roGRmejPDDN+QocyMVV+QB2ZlXC1WaUuJGEp5mF2iGy5Blal00oI4GXB/5cofwEAAP//AwBQSwEC&#10;LQAUAAYACAAAACEAtoM4kv4AAADhAQAAEwAAAAAAAAAAAAAAAAAAAAAAW0NvbnRlbnRfVHlwZXNd&#10;LnhtbFBLAQItABQABgAIAAAAIQA4/SH/1gAAAJQBAAALAAAAAAAAAAAAAAAAAC8BAABfcmVscy8u&#10;cmVsc1BLAQItABQABgAIAAAAIQBqsprJJgIAAEoEAAAOAAAAAAAAAAAAAAAAAC4CAABkcnMvZTJv&#10;RG9jLnhtbFBLAQItABQABgAIAAAAIQCcOcxk4AAAAAwBAAAPAAAAAAAAAAAAAAAAAIAEAABkcnMv&#10;ZG93bnJldi54bWxQSwUGAAAAAAQABADzAAAAjQUAAAAA&#10;" filled="f" stroked="f" strokeweight=".5pt">
              <v:textbox inset="0,0,0,0">
                <w:txbxContent>
                  <w:p w14:paraId="64C509A4" w14:textId="1475E6CA" w:rsidR="009F1558" w:rsidRDefault="00840365" w:rsidP="009E3EDC">
                    <w:pPr>
                      <w:jc w:val="right"/>
                      <w:rPr>
                        <w:rFonts w:ascii="Arial" w:hAnsi="Arial" w:cs="Arial"/>
                        <w:color w:val="AEAAAA"/>
                        <w:sz w:val="20"/>
                        <w:szCs w:val="36"/>
                      </w:rPr>
                    </w:pPr>
                    <w:r>
                      <w:rPr>
                        <w:rFonts w:ascii="Arial" w:hAnsi="Arial" w:cs="Arial"/>
                        <w:color w:val="AEAAAA"/>
                        <w:sz w:val="20"/>
                        <w:szCs w:val="36"/>
                      </w:rPr>
                      <w:t>October</w:t>
                    </w:r>
                    <w:r w:rsidR="00956F2C">
                      <w:rPr>
                        <w:rFonts w:ascii="Arial" w:hAnsi="Arial" w:cs="Arial"/>
                        <w:color w:val="AEAAAA"/>
                        <w:sz w:val="20"/>
                        <w:szCs w:val="36"/>
                      </w:rPr>
                      <w:t xml:space="preserve">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v:textbox>
            </v:shape>
          </w:pict>
        </mc:Fallback>
      </mc:AlternateContent>
    </w:r>
    <w:r>
      <w:rPr>
        <w:noProof/>
      </w:rPr>
      <w:drawing>
        <wp:inline distT="0" distB="0" distL="0" distR="0" wp14:anchorId="410F9973" wp14:editId="62AA7521">
          <wp:extent cx="7819247" cy="1839823"/>
          <wp:effectExtent l="0" t="0" r="444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A2FD3"/>
    <w:multiLevelType w:val="multilevel"/>
    <w:tmpl w:val="BD1A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2A458C"/>
    <w:multiLevelType w:val="hybridMultilevel"/>
    <w:tmpl w:val="B0786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001A6"/>
    <w:multiLevelType w:val="hybridMultilevel"/>
    <w:tmpl w:val="DEA646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9404445"/>
    <w:multiLevelType w:val="hybridMultilevel"/>
    <w:tmpl w:val="5E4CE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17636C"/>
    <w:multiLevelType w:val="hybridMultilevel"/>
    <w:tmpl w:val="E63E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tDA1NTE1NjA0MzZV0lEKTi0uzszPAykwMqgFAHiY9x0tAAAA"/>
  </w:docVars>
  <w:rsids>
    <w:rsidRoot w:val="005C1D70"/>
    <w:rsid w:val="000027A0"/>
    <w:rsid w:val="000043EE"/>
    <w:rsid w:val="000068DF"/>
    <w:rsid w:val="00007A7E"/>
    <w:rsid w:val="00011AF4"/>
    <w:rsid w:val="00011F27"/>
    <w:rsid w:val="00013C3B"/>
    <w:rsid w:val="00014A86"/>
    <w:rsid w:val="00016B9E"/>
    <w:rsid w:val="000237AA"/>
    <w:rsid w:val="00024EDD"/>
    <w:rsid w:val="00025E5D"/>
    <w:rsid w:val="00031312"/>
    <w:rsid w:val="00031DB6"/>
    <w:rsid w:val="0003379F"/>
    <w:rsid w:val="0003429B"/>
    <w:rsid w:val="00035619"/>
    <w:rsid w:val="000403BC"/>
    <w:rsid w:val="0004047E"/>
    <w:rsid w:val="00040B82"/>
    <w:rsid w:val="00041240"/>
    <w:rsid w:val="000427FA"/>
    <w:rsid w:val="000445C3"/>
    <w:rsid w:val="00051DC9"/>
    <w:rsid w:val="00054267"/>
    <w:rsid w:val="00055134"/>
    <w:rsid w:val="0005734C"/>
    <w:rsid w:val="00057CD7"/>
    <w:rsid w:val="00064758"/>
    <w:rsid w:val="000722DB"/>
    <w:rsid w:val="00073935"/>
    <w:rsid w:val="00075B54"/>
    <w:rsid w:val="00077C58"/>
    <w:rsid w:val="000814C1"/>
    <w:rsid w:val="0008193C"/>
    <w:rsid w:val="000914FE"/>
    <w:rsid w:val="000929CD"/>
    <w:rsid w:val="00093973"/>
    <w:rsid w:val="00095B7E"/>
    <w:rsid w:val="00096370"/>
    <w:rsid w:val="00096A6C"/>
    <w:rsid w:val="00096E1B"/>
    <w:rsid w:val="0009742D"/>
    <w:rsid w:val="000A2233"/>
    <w:rsid w:val="000A2A48"/>
    <w:rsid w:val="000A3168"/>
    <w:rsid w:val="000A41F2"/>
    <w:rsid w:val="000A4620"/>
    <w:rsid w:val="000A4A44"/>
    <w:rsid w:val="000A52EB"/>
    <w:rsid w:val="000A66DC"/>
    <w:rsid w:val="000A760B"/>
    <w:rsid w:val="000A7E8D"/>
    <w:rsid w:val="000B0253"/>
    <w:rsid w:val="000B2085"/>
    <w:rsid w:val="000B2417"/>
    <w:rsid w:val="000B366C"/>
    <w:rsid w:val="000B3CA3"/>
    <w:rsid w:val="000B6176"/>
    <w:rsid w:val="000C46B8"/>
    <w:rsid w:val="000C4B0C"/>
    <w:rsid w:val="000C55B3"/>
    <w:rsid w:val="000C674B"/>
    <w:rsid w:val="000C7482"/>
    <w:rsid w:val="000C7933"/>
    <w:rsid w:val="000C7B36"/>
    <w:rsid w:val="000D0E03"/>
    <w:rsid w:val="000D21BD"/>
    <w:rsid w:val="000D43D0"/>
    <w:rsid w:val="000D47D0"/>
    <w:rsid w:val="000E2036"/>
    <w:rsid w:val="000E404D"/>
    <w:rsid w:val="000E447D"/>
    <w:rsid w:val="000E4B22"/>
    <w:rsid w:val="000E4CDF"/>
    <w:rsid w:val="000E5951"/>
    <w:rsid w:val="000F2133"/>
    <w:rsid w:val="000F35AF"/>
    <w:rsid w:val="000F5377"/>
    <w:rsid w:val="000F551E"/>
    <w:rsid w:val="000F6A69"/>
    <w:rsid w:val="000F7BFF"/>
    <w:rsid w:val="000F7EC3"/>
    <w:rsid w:val="00101521"/>
    <w:rsid w:val="00103B40"/>
    <w:rsid w:val="001047E4"/>
    <w:rsid w:val="00110FFE"/>
    <w:rsid w:val="0011228C"/>
    <w:rsid w:val="00112B8A"/>
    <w:rsid w:val="00114651"/>
    <w:rsid w:val="00117B3B"/>
    <w:rsid w:val="001209C1"/>
    <w:rsid w:val="001217BF"/>
    <w:rsid w:val="00121B69"/>
    <w:rsid w:val="00121CF0"/>
    <w:rsid w:val="00121F9C"/>
    <w:rsid w:val="00123F1D"/>
    <w:rsid w:val="001240F8"/>
    <w:rsid w:val="001260CB"/>
    <w:rsid w:val="00126195"/>
    <w:rsid w:val="001276F4"/>
    <w:rsid w:val="00127AFA"/>
    <w:rsid w:val="00130B9C"/>
    <w:rsid w:val="00132295"/>
    <w:rsid w:val="0013278D"/>
    <w:rsid w:val="00133187"/>
    <w:rsid w:val="001378C6"/>
    <w:rsid w:val="0014279D"/>
    <w:rsid w:val="00143519"/>
    <w:rsid w:val="00144C3A"/>
    <w:rsid w:val="0014514F"/>
    <w:rsid w:val="00145943"/>
    <w:rsid w:val="00146451"/>
    <w:rsid w:val="00147715"/>
    <w:rsid w:val="00155B0B"/>
    <w:rsid w:val="00156683"/>
    <w:rsid w:val="00156EC5"/>
    <w:rsid w:val="00161B4E"/>
    <w:rsid w:val="00162E7B"/>
    <w:rsid w:val="001645A2"/>
    <w:rsid w:val="00164708"/>
    <w:rsid w:val="00165272"/>
    <w:rsid w:val="00165402"/>
    <w:rsid w:val="0016684C"/>
    <w:rsid w:val="00166ABC"/>
    <w:rsid w:val="00170C4F"/>
    <w:rsid w:val="00170E19"/>
    <w:rsid w:val="0017224E"/>
    <w:rsid w:val="001744D7"/>
    <w:rsid w:val="0018075C"/>
    <w:rsid w:val="00183C83"/>
    <w:rsid w:val="001840EC"/>
    <w:rsid w:val="00184150"/>
    <w:rsid w:val="0018459B"/>
    <w:rsid w:val="001926E4"/>
    <w:rsid w:val="001957F2"/>
    <w:rsid w:val="001A040C"/>
    <w:rsid w:val="001A2A9C"/>
    <w:rsid w:val="001A608E"/>
    <w:rsid w:val="001A6491"/>
    <w:rsid w:val="001A7669"/>
    <w:rsid w:val="001B1D71"/>
    <w:rsid w:val="001B551C"/>
    <w:rsid w:val="001B65CA"/>
    <w:rsid w:val="001B76D2"/>
    <w:rsid w:val="001C047B"/>
    <w:rsid w:val="001C243B"/>
    <w:rsid w:val="001C3E90"/>
    <w:rsid w:val="001C477B"/>
    <w:rsid w:val="001C6F08"/>
    <w:rsid w:val="001C7B17"/>
    <w:rsid w:val="001D06C9"/>
    <w:rsid w:val="001D2EE2"/>
    <w:rsid w:val="001D2FA9"/>
    <w:rsid w:val="001D3A38"/>
    <w:rsid w:val="001D4A8D"/>
    <w:rsid w:val="001D4CFE"/>
    <w:rsid w:val="001D509C"/>
    <w:rsid w:val="001D5DF3"/>
    <w:rsid w:val="001E192A"/>
    <w:rsid w:val="001E2268"/>
    <w:rsid w:val="001E2B7F"/>
    <w:rsid w:val="001E6917"/>
    <w:rsid w:val="001F0507"/>
    <w:rsid w:val="001F0944"/>
    <w:rsid w:val="001F098B"/>
    <w:rsid w:val="001F0FA4"/>
    <w:rsid w:val="001F45DD"/>
    <w:rsid w:val="0020044D"/>
    <w:rsid w:val="00211BCA"/>
    <w:rsid w:val="00212956"/>
    <w:rsid w:val="00213A9D"/>
    <w:rsid w:val="00213F81"/>
    <w:rsid w:val="0021401F"/>
    <w:rsid w:val="00214629"/>
    <w:rsid w:val="00214D8B"/>
    <w:rsid w:val="00215CFE"/>
    <w:rsid w:val="00215F97"/>
    <w:rsid w:val="002165A7"/>
    <w:rsid w:val="002243D2"/>
    <w:rsid w:val="00226A6D"/>
    <w:rsid w:val="00226D09"/>
    <w:rsid w:val="00232F51"/>
    <w:rsid w:val="00233528"/>
    <w:rsid w:val="002339F7"/>
    <w:rsid w:val="00233CEA"/>
    <w:rsid w:val="00234A5C"/>
    <w:rsid w:val="00234B51"/>
    <w:rsid w:val="002404B5"/>
    <w:rsid w:val="00241176"/>
    <w:rsid w:val="002414FC"/>
    <w:rsid w:val="00241D44"/>
    <w:rsid w:val="00245B88"/>
    <w:rsid w:val="002502D2"/>
    <w:rsid w:val="00255D97"/>
    <w:rsid w:val="00255EB5"/>
    <w:rsid w:val="0026335E"/>
    <w:rsid w:val="00265075"/>
    <w:rsid w:val="002659A6"/>
    <w:rsid w:val="0026609E"/>
    <w:rsid w:val="002708C4"/>
    <w:rsid w:val="00271648"/>
    <w:rsid w:val="00274886"/>
    <w:rsid w:val="002751E2"/>
    <w:rsid w:val="0028001F"/>
    <w:rsid w:val="0028079E"/>
    <w:rsid w:val="0028133C"/>
    <w:rsid w:val="00281698"/>
    <w:rsid w:val="00282825"/>
    <w:rsid w:val="002832F3"/>
    <w:rsid w:val="00283318"/>
    <w:rsid w:val="00290E09"/>
    <w:rsid w:val="002912C5"/>
    <w:rsid w:val="0029314A"/>
    <w:rsid w:val="0029476D"/>
    <w:rsid w:val="0029512E"/>
    <w:rsid w:val="002955AA"/>
    <w:rsid w:val="002960FC"/>
    <w:rsid w:val="002967AC"/>
    <w:rsid w:val="0029684A"/>
    <w:rsid w:val="00296B78"/>
    <w:rsid w:val="00297580"/>
    <w:rsid w:val="00297BB0"/>
    <w:rsid w:val="002A18A7"/>
    <w:rsid w:val="002A2138"/>
    <w:rsid w:val="002A7AF5"/>
    <w:rsid w:val="002A7DEA"/>
    <w:rsid w:val="002B031B"/>
    <w:rsid w:val="002B04A2"/>
    <w:rsid w:val="002B0CD0"/>
    <w:rsid w:val="002B220F"/>
    <w:rsid w:val="002B31C6"/>
    <w:rsid w:val="002B4007"/>
    <w:rsid w:val="002B5CC1"/>
    <w:rsid w:val="002B6D36"/>
    <w:rsid w:val="002C1935"/>
    <w:rsid w:val="002C229B"/>
    <w:rsid w:val="002C2F53"/>
    <w:rsid w:val="002C6432"/>
    <w:rsid w:val="002C7703"/>
    <w:rsid w:val="002C798B"/>
    <w:rsid w:val="002D0F7B"/>
    <w:rsid w:val="002D3388"/>
    <w:rsid w:val="002D46F1"/>
    <w:rsid w:val="002D4BD5"/>
    <w:rsid w:val="002D68F9"/>
    <w:rsid w:val="002D7656"/>
    <w:rsid w:val="002D792A"/>
    <w:rsid w:val="002E0AA7"/>
    <w:rsid w:val="002E1986"/>
    <w:rsid w:val="002E2045"/>
    <w:rsid w:val="002E6401"/>
    <w:rsid w:val="002E7066"/>
    <w:rsid w:val="002E71A1"/>
    <w:rsid w:val="002F1B79"/>
    <w:rsid w:val="002F2EB0"/>
    <w:rsid w:val="002F2F80"/>
    <w:rsid w:val="002F5A6A"/>
    <w:rsid w:val="002F5DC3"/>
    <w:rsid w:val="002F77A8"/>
    <w:rsid w:val="0030122C"/>
    <w:rsid w:val="00301C1D"/>
    <w:rsid w:val="00302B13"/>
    <w:rsid w:val="003032DF"/>
    <w:rsid w:val="00303F38"/>
    <w:rsid w:val="003052C2"/>
    <w:rsid w:val="0030574A"/>
    <w:rsid w:val="003070A6"/>
    <w:rsid w:val="00307E75"/>
    <w:rsid w:val="0031343F"/>
    <w:rsid w:val="0031348F"/>
    <w:rsid w:val="00315EC7"/>
    <w:rsid w:val="00315ED7"/>
    <w:rsid w:val="00317567"/>
    <w:rsid w:val="00322F96"/>
    <w:rsid w:val="00323D0F"/>
    <w:rsid w:val="00323FC2"/>
    <w:rsid w:val="0032650B"/>
    <w:rsid w:val="0032793B"/>
    <w:rsid w:val="00331075"/>
    <w:rsid w:val="00331A5D"/>
    <w:rsid w:val="00331D05"/>
    <w:rsid w:val="0033297F"/>
    <w:rsid w:val="00334159"/>
    <w:rsid w:val="0033426F"/>
    <w:rsid w:val="003366E9"/>
    <w:rsid w:val="00336947"/>
    <w:rsid w:val="00340852"/>
    <w:rsid w:val="0034596F"/>
    <w:rsid w:val="003509EE"/>
    <w:rsid w:val="00351FFA"/>
    <w:rsid w:val="0035338A"/>
    <w:rsid w:val="003534F5"/>
    <w:rsid w:val="003569DC"/>
    <w:rsid w:val="00356D33"/>
    <w:rsid w:val="00357E0E"/>
    <w:rsid w:val="0036019D"/>
    <w:rsid w:val="00363856"/>
    <w:rsid w:val="00363D8E"/>
    <w:rsid w:val="00364C32"/>
    <w:rsid w:val="003651A6"/>
    <w:rsid w:val="0036558D"/>
    <w:rsid w:val="00366DA7"/>
    <w:rsid w:val="00370336"/>
    <w:rsid w:val="003709E5"/>
    <w:rsid w:val="0037110D"/>
    <w:rsid w:val="003742C6"/>
    <w:rsid w:val="00374878"/>
    <w:rsid w:val="003754C3"/>
    <w:rsid w:val="00376588"/>
    <w:rsid w:val="00376E67"/>
    <w:rsid w:val="00377387"/>
    <w:rsid w:val="00380146"/>
    <w:rsid w:val="0038303E"/>
    <w:rsid w:val="00385A2C"/>
    <w:rsid w:val="003873A0"/>
    <w:rsid w:val="0038787E"/>
    <w:rsid w:val="003907BC"/>
    <w:rsid w:val="003924E9"/>
    <w:rsid w:val="00392632"/>
    <w:rsid w:val="003938F1"/>
    <w:rsid w:val="003974FF"/>
    <w:rsid w:val="003A309F"/>
    <w:rsid w:val="003A3169"/>
    <w:rsid w:val="003A3DC3"/>
    <w:rsid w:val="003B2EE4"/>
    <w:rsid w:val="003B7A4F"/>
    <w:rsid w:val="003C19BD"/>
    <w:rsid w:val="003C1DC1"/>
    <w:rsid w:val="003C336F"/>
    <w:rsid w:val="003C3B24"/>
    <w:rsid w:val="003C3B39"/>
    <w:rsid w:val="003C4FEE"/>
    <w:rsid w:val="003C650F"/>
    <w:rsid w:val="003C732E"/>
    <w:rsid w:val="003D0E87"/>
    <w:rsid w:val="003D3D89"/>
    <w:rsid w:val="003D4EDF"/>
    <w:rsid w:val="003D5178"/>
    <w:rsid w:val="003D5BAD"/>
    <w:rsid w:val="003D5CC5"/>
    <w:rsid w:val="003E123B"/>
    <w:rsid w:val="003E3F96"/>
    <w:rsid w:val="003E66DD"/>
    <w:rsid w:val="003E7E62"/>
    <w:rsid w:val="003E7F10"/>
    <w:rsid w:val="003F06EA"/>
    <w:rsid w:val="003F1E52"/>
    <w:rsid w:val="003F2AC0"/>
    <w:rsid w:val="003F53A2"/>
    <w:rsid w:val="003F5425"/>
    <w:rsid w:val="003F583E"/>
    <w:rsid w:val="003F7A5E"/>
    <w:rsid w:val="0040163B"/>
    <w:rsid w:val="0040338F"/>
    <w:rsid w:val="00405C87"/>
    <w:rsid w:val="00406D87"/>
    <w:rsid w:val="00407E87"/>
    <w:rsid w:val="00410B19"/>
    <w:rsid w:val="00417D66"/>
    <w:rsid w:val="004206E4"/>
    <w:rsid w:val="00420FAA"/>
    <w:rsid w:val="004235E6"/>
    <w:rsid w:val="00423F94"/>
    <w:rsid w:val="00424629"/>
    <w:rsid w:val="00427DDA"/>
    <w:rsid w:val="004317A3"/>
    <w:rsid w:val="00434065"/>
    <w:rsid w:val="00434EF5"/>
    <w:rsid w:val="00434FBC"/>
    <w:rsid w:val="004378DA"/>
    <w:rsid w:val="00437948"/>
    <w:rsid w:val="00443799"/>
    <w:rsid w:val="0044440F"/>
    <w:rsid w:val="00444663"/>
    <w:rsid w:val="00444CF7"/>
    <w:rsid w:val="00445821"/>
    <w:rsid w:val="004466D2"/>
    <w:rsid w:val="00446A8C"/>
    <w:rsid w:val="0044736D"/>
    <w:rsid w:val="00450975"/>
    <w:rsid w:val="00450A25"/>
    <w:rsid w:val="004532EF"/>
    <w:rsid w:val="004537D3"/>
    <w:rsid w:val="0045759E"/>
    <w:rsid w:val="004603CA"/>
    <w:rsid w:val="0046213A"/>
    <w:rsid w:val="0046252A"/>
    <w:rsid w:val="00463D78"/>
    <w:rsid w:val="004674A8"/>
    <w:rsid w:val="004710D7"/>
    <w:rsid w:val="00471615"/>
    <w:rsid w:val="004727FE"/>
    <w:rsid w:val="00472AE1"/>
    <w:rsid w:val="0047452A"/>
    <w:rsid w:val="00474874"/>
    <w:rsid w:val="004763F5"/>
    <w:rsid w:val="00477034"/>
    <w:rsid w:val="004827A8"/>
    <w:rsid w:val="00482AD8"/>
    <w:rsid w:val="00483BB5"/>
    <w:rsid w:val="0048463F"/>
    <w:rsid w:val="0048697A"/>
    <w:rsid w:val="00490EC5"/>
    <w:rsid w:val="004934B0"/>
    <w:rsid w:val="0049397B"/>
    <w:rsid w:val="00495D8E"/>
    <w:rsid w:val="004A21C9"/>
    <w:rsid w:val="004A407B"/>
    <w:rsid w:val="004A480B"/>
    <w:rsid w:val="004A58E8"/>
    <w:rsid w:val="004B1C5E"/>
    <w:rsid w:val="004B405D"/>
    <w:rsid w:val="004B4C4E"/>
    <w:rsid w:val="004D224E"/>
    <w:rsid w:val="004D34D1"/>
    <w:rsid w:val="004D42D8"/>
    <w:rsid w:val="004D61CB"/>
    <w:rsid w:val="004D6FD9"/>
    <w:rsid w:val="004D7522"/>
    <w:rsid w:val="004D7949"/>
    <w:rsid w:val="004E1E91"/>
    <w:rsid w:val="004E1FF3"/>
    <w:rsid w:val="004E2AC7"/>
    <w:rsid w:val="004E48D2"/>
    <w:rsid w:val="004E53B1"/>
    <w:rsid w:val="004E5BD7"/>
    <w:rsid w:val="004F0430"/>
    <w:rsid w:val="004F3550"/>
    <w:rsid w:val="004F48A9"/>
    <w:rsid w:val="004F48E6"/>
    <w:rsid w:val="004F54B4"/>
    <w:rsid w:val="004F5BA3"/>
    <w:rsid w:val="004F6E15"/>
    <w:rsid w:val="004F7BEC"/>
    <w:rsid w:val="0050361F"/>
    <w:rsid w:val="005046A2"/>
    <w:rsid w:val="0050641C"/>
    <w:rsid w:val="00506614"/>
    <w:rsid w:val="005127E9"/>
    <w:rsid w:val="00512BA2"/>
    <w:rsid w:val="0051378D"/>
    <w:rsid w:val="0051419F"/>
    <w:rsid w:val="00514508"/>
    <w:rsid w:val="00514888"/>
    <w:rsid w:val="00520C19"/>
    <w:rsid w:val="00522CE9"/>
    <w:rsid w:val="00525999"/>
    <w:rsid w:val="00525FA1"/>
    <w:rsid w:val="005301AE"/>
    <w:rsid w:val="005301EF"/>
    <w:rsid w:val="00530D3C"/>
    <w:rsid w:val="00531E8F"/>
    <w:rsid w:val="00532BDB"/>
    <w:rsid w:val="0053563A"/>
    <w:rsid w:val="005416C7"/>
    <w:rsid w:val="00541DF6"/>
    <w:rsid w:val="00543E70"/>
    <w:rsid w:val="00544030"/>
    <w:rsid w:val="0054674E"/>
    <w:rsid w:val="00547C3B"/>
    <w:rsid w:val="00547DD0"/>
    <w:rsid w:val="00550B80"/>
    <w:rsid w:val="005515D6"/>
    <w:rsid w:val="00555908"/>
    <w:rsid w:val="005572CF"/>
    <w:rsid w:val="00557B64"/>
    <w:rsid w:val="00562245"/>
    <w:rsid w:val="005630F1"/>
    <w:rsid w:val="00564BFD"/>
    <w:rsid w:val="005652D2"/>
    <w:rsid w:val="00567BC4"/>
    <w:rsid w:val="00570E73"/>
    <w:rsid w:val="00571345"/>
    <w:rsid w:val="0057379A"/>
    <w:rsid w:val="00573D3B"/>
    <w:rsid w:val="00581037"/>
    <w:rsid w:val="00582149"/>
    <w:rsid w:val="00582BFE"/>
    <w:rsid w:val="00586AAD"/>
    <w:rsid w:val="00590056"/>
    <w:rsid w:val="005916CE"/>
    <w:rsid w:val="0059513C"/>
    <w:rsid w:val="00596070"/>
    <w:rsid w:val="00596627"/>
    <w:rsid w:val="00596790"/>
    <w:rsid w:val="00596876"/>
    <w:rsid w:val="005A219A"/>
    <w:rsid w:val="005A44C7"/>
    <w:rsid w:val="005A5979"/>
    <w:rsid w:val="005A6887"/>
    <w:rsid w:val="005B292E"/>
    <w:rsid w:val="005B33D6"/>
    <w:rsid w:val="005B365C"/>
    <w:rsid w:val="005B477D"/>
    <w:rsid w:val="005B5A79"/>
    <w:rsid w:val="005B7780"/>
    <w:rsid w:val="005B7C4C"/>
    <w:rsid w:val="005C1D70"/>
    <w:rsid w:val="005C22FC"/>
    <w:rsid w:val="005C27A1"/>
    <w:rsid w:val="005C29C1"/>
    <w:rsid w:val="005C2B1F"/>
    <w:rsid w:val="005C2D88"/>
    <w:rsid w:val="005C2F9E"/>
    <w:rsid w:val="005C59CB"/>
    <w:rsid w:val="005D314A"/>
    <w:rsid w:val="005D5738"/>
    <w:rsid w:val="005D65A6"/>
    <w:rsid w:val="005E0046"/>
    <w:rsid w:val="005E0660"/>
    <w:rsid w:val="005E35B7"/>
    <w:rsid w:val="005E4024"/>
    <w:rsid w:val="005F61E2"/>
    <w:rsid w:val="00601835"/>
    <w:rsid w:val="00603925"/>
    <w:rsid w:val="00603D45"/>
    <w:rsid w:val="00607999"/>
    <w:rsid w:val="00611BA6"/>
    <w:rsid w:val="00612C9F"/>
    <w:rsid w:val="00613E83"/>
    <w:rsid w:val="00615864"/>
    <w:rsid w:val="006178DA"/>
    <w:rsid w:val="0062020E"/>
    <w:rsid w:val="00620343"/>
    <w:rsid w:val="00620910"/>
    <w:rsid w:val="006211B4"/>
    <w:rsid w:val="00621633"/>
    <w:rsid w:val="00623B55"/>
    <w:rsid w:val="00623D5A"/>
    <w:rsid w:val="006242E4"/>
    <w:rsid w:val="006245CF"/>
    <w:rsid w:val="00625ABC"/>
    <w:rsid w:val="0063081C"/>
    <w:rsid w:val="00630922"/>
    <w:rsid w:val="00631170"/>
    <w:rsid w:val="00632F74"/>
    <w:rsid w:val="0063377A"/>
    <w:rsid w:val="00635259"/>
    <w:rsid w:val="006366C5"/>
    <w:rsid w:val="006370DE"/>
    <w:rsid w:val="00641BFD"/>
    <w:rsid w:val="00643694"/>
    <w:rsid w:val="00645E5D"/>
    <w:rsid w:val="00646820"/>
    <w:rsid w:val="0064788F"/>
    <w:rsid w:val="00650B4F"/>
    <w:rsid w:val="00651728"/>
    <w:rsid w:val="006526F0"/>
    <w:rsid w:val="00653877"/>
    <w:rsid w:val="006569F4"/>
    <w:rsid w:val="00660447"/>
    <w:rsid w:val="006638F6"/>
    <w:rsid w:val="00663970"/>
    <w:rsid w:val="00663F9A"/>
    <w:rsid w:val="0066505F"/>
    <w:rsid w:val="00665F3D"/>
    <w:rsid w:val="00666A22"/>
    <w:rsid w:val="006745A8"/>
    <w:rsid w:val="00675FB6"/>
    <w:rsid w:val="00677960"/>
    <w:rsid w:val="00680792"/>
    <w:rsid w:val="006811FE"/>
    <w:rsid w:val="006854F9"/>
    <w:rsid w:val="00687163"/>
    <w:rsid w:val="00690366"/>
    <w:rsid w:val="006915D1"/>
    <w:rsid w:val="00692877"/>
    <w:rsid w:val="00692B59"/>
    <w:rsid w:val="00692C46"/>
    <w:rsid w:val="00697EC5"/>
    <w:rsid w:val="00697FB9"/>
    <w:rsid w:val="006A20D7"/>
    <w:rsid w:val="006A3B28"/>
    <w:rsid w:val="006A6909"/>
    <w:rsid w:val="006A692C"/>
    <w:rsid w:val="006B1FA0"/>
    <w:rsid w:val="006B38C4"/>
    <w:rsid w:val="006B41B5"/>
    <w:rsid w:val="006B71AD"/>
    <w:rsid w:val="006B764E"/>
    <w:rsid w:val="006C1713"/>
    <w:rsid w:val="006C2543"/>
    <w:rsid w:val="006C44ED"/>
    <w:rsid w:val="006D18A5"/>
    <w:rsid w:val="006D40C9"/>
    <w:rsid w:val="006D4CB3"/>
    <w:rsid w:val="006D5AD6"/>
    <w:rsid w:val="006D5D51"/>
    <w:rsid w:val="006E0642"/>
    <w:rsid w:val="006E21E7"/>
    <w:rsid w:val="006E42E2"/>
    <w:rsid w:val="006E49AA"/>
    <w:rsid w:val="006E5B17"/>
    <w:rsid w:val="006E5EAE"/>
    <w:rsid w:val="006E6B6C"/>
    <w:rsid w:val="006F090C"/>
    <w:rsid w:val="006F1801"/>
    <w:rsid w:val="006F1B86"/>
    <w:rsid w:val="006F21A5"/>
    <w:rsid w:val="006F2A27"/>
    <w:rsid w:val="006F2A3A"/>
    <w:rsid w:val="006F2D20"/>
    <w:rsid w:val="006F383D"/>
    <w:rsid w:val="006F39E3"/>
    <w:rsid w:val="006F5E73"/>
    <w:rsid w:val="006F6129"/>
    <w:rsid w:val="006F71DD"/>
    <w:rsid w:val="00700399"/>
    <w:rsid w:val="00702D6A"/>
    <w:rsid w:val="00703AD3"/>
    <w:rsid w:val="00704034"/>
    <w:rsid w:val="00704ED8"/>
    <w:rsid w:val="007058D3"/>
    <w:rsid w:val="00705C3D"/>
    <w:rsid w:val="00706685"/>
    <w:rsid w:val="00707886"/>
    <w:rsid w:val="00712D28"/>
    <w:rsid w:val="0071390F"/>
    <w:rsid w:val="0071552F"/>
    <w:rsid w:val="00715896"/>
    <w:rsid w:val="00716ACB"/>
    <w:rsid w:val="00717D73"/>
    <w:rsid w:val="0072100E"/>
    <w:rsid w:val="007210B6"/>
    <w:rsid w:val="0072228E"/>
    <w:rsid w:val="00724D03"/>
    <w:rsid w:val="0072654A"/>
    <w:rsid w:val="00726D1F"/>
    <w:rsid w:val="00727EBB"/>
    <w:rsid w:val="00732536"/>
    <w:rsid w:val="00732C2F"/>
    <w:rsid w:val="00732CA4"/>
    <w:rsid w:val="007343DA"/>
    <w:rsid w:val="00735F86"/>
    <w:rsid w:val="007361B6"/>
    <w:rsid w:val="007400AC"/>
    <w:rsid w:val="007402C1"/>
    <w:rsid w:val="00741A0D"/>
    <w:rsid w:val="00742910"/>
    <w:rsid w:val="00747F8C"/>
    <w:rsid w:val="00751326"/>
    <w:rsid w:val="00754230"/>
    <w:rsid w:val="00755D9E"/>
    <w:rsid w:val="00756238"/>
    <w:rsid w:val="00756248"/>
    <w:rsid w:val="00761689"/>
    <w:rsid w:val="00762787"/>
    <w:rsid w:val="007667FA"/>
    <w:rsid w:val="00766D3F"/>
    <w:rsid w:val="00766F4E"/>
    <w:rsid w:val="007725C0"/>
    <w:rsid w:val="00772D71"/>
    <w:rsid w:val="0077368A"/>
    <w:rsid w:val="00774792"/>
    <w:rsid w:val="007751EB"/>
    <w:rsid w:val="007761D0"/>
    <w:rsid w:val="00776670"/>
    <w:rsid w:val="00777E17"/>
    <w:rsid w:val="007841DB"/>
    <w:rsid w:val="00786712"/>
    <w:rsid w:val="00786916"/>
    <w:rsid w:val="0079056F"/>
    <w:rsid w:val="00791AA8"/>
    <w:rsid w:val="0079254E"/>
    <w:rsid w:val="00793E10"/>
    <w:rsid w:val="007A0788"/>
    <w:rsid w:val="007A192B"/>
    <w:rsid w:val="007A1E85"/>
    <w:rsid w:val="007A2FFC"/>
    <w:rsid w:val="007A371C"/>
    <w:rsid w:val="007A42B7"/>
    <w:rsid w:val="007A448F"/>
    <w:rsid w:val="007A5E45"/>
    <w:rsid w:val="007A6C0E"/>
    <w:rsid w:val="007B0461"/>
    <w:rsid w:val="007B1224"/>
    <w:rsid w:val="007B2485"/>
    <w:rsid w:val="007C2762"/>
    <w:rsid w:val="007C326B"/>
    <w:rsid w:val="007C4C9B"/>
    <w:rsid w:val="007C58D3"/>
    <w:rsid w:val="007D13EC"/>
    <w:rsid w:val="007D272C"/>
    <w:rsid w:val="007D33D1"/>
    <w:rsid w:val="007D3FE7"/>
    <w:rsid w:val="007E07FB"/>
    <w:rsid w:val="007E1FFF"/>
    <w:rsid w:val="007E2D97"/>
    <w:rsid w:val="007E4D14"/>
    <w:rsid w:val="007E4F79"/>
    <w:rsid w:val="007E500E"/>
    <w:rsid w:val="007E70E3"/>
    <w:rsid w:val="007F0098"/>
    <w:rsid w:val="007F0C4B"/>
    <w:rsid w:val="007F45A8"/>
    <w:rsid w:val="007F6E52"/>
    <w:rsid w:val="007F7196"/>
    <w:rsid w:val="008002B1"/>
    <w:rsid w:val="0080095E"/>
    <w:rsid w:val="008014CA"/>
    <w:rsid w:val="008014E7"/>
    <w:rsid w:val="00802261"/>
    <w:rsid w:val="00802C3F"/>
    <w:rsid w:val="0080421B"/>
    <w:rsid w:val="00804869"/>
    <w:rsid w:val="0080562C"/>
    <w:rsid w:val="00814CC5"/>
    <w:rsid w:val="0081544F"/>
    <w:rsid w:val="0082064B"/>
    <w:rsid w:val="008207A5"/>
    <w:rsid w:val="00822212"/>
    <w:rsid w:val="00824645"/>
    <w:rsid w:val="00826DCB"/>
    <w:rsid w:val="00830AB5"/>
    <w:rsid w:val="00830C3B"/>
    <w:rsid w:val="0083518D"/>
    <w:rsid w:val="008351CE"/>
    <w:rsid w:val="00835F3D"/>
    <w:rsid w:val="008402F1"/>
    <w:rsid w:val="00840365"/>
    <w:rsid w:val="0084451F"/>
    <w:rsid w:val="0084584A"/>
    <w:rsid w:val="008469D0"/>
    <w:rsid w:val="008471AE"/>
    <w:rsid w:val="00854D42"/>
    <w:rsid w:val="00855FA1"/>
    <w:rsid w:val="008575E2"/>
    <w:rsid w:val="00860670"/>
    <w:rsid w:val="0086137D"/>
    <w:rsid w:val="00862BD2"/>
    <w:rsid w:val="00865135"/>
    <w:rsid w:val="00873BEC"/>
    <w:rsid w:val="00873F82"/>
    <w:rsid w:val="008747C2"/>
    <w:rsid w:val="008759DD"/>
    <w:rsid w:val="008761DA"/>
    <w:rsid w:val="00882025"/>
    <w:rsid w:val="00882122"/>
    <w:rsid w:val="008864BC"/>
    <w:rsid w:val="0089452F"/>
    <w:rsid w:val="00895AA6"/>
    <w:rsid w:val="0089725C"/>
    <w:rsid w:val="008A2BAF"/>
    <w:rsid w:val="008A4512"/>
    <w:rsid w:val="008B0490"/>
    <w:rsid w:val="008B1467"/>
    <w:rsid w:val="008B2C26"/>
    <w:rsid w:val="008B4A8A"/>
    <w:rsid w:val="008B605A"/>
    <w:rsid w:val="008B6489"/>
    <w:rsid w:val="008B7329"/>
    <w:rsid w:val="008C1ABA"/>
    <w:rsid w:val="008C258F"/>
    <w:rsid w:val="008C3C83"/>
    <w:rsid w:val="008C6368"/>
    <w:rsid w:val="008D0088"/>
    <w:rsid w:val="008D0600"/>
    <w:rsid w:val="008D2011"/>
    <w:rsid w:val="008D3959"/>
    <w:rsid w:val="008D4AFE"/>
    <w:rsid w:val="008D520B"/>
    <w:rsid w:val="008D5A58"/>
    <w:rsid w:val="008D6032"/>
    <w:rsid w:val="008D7EC1"/>
    <w:rsid w:val="008E24F0"/>
    <w:rsid w:val="008E4C3C"/>
    <w:rsid w:val="008F2A77"/>
    <w:rsid w:val="008F2F83"/>
    <w:rsid w:val="008F668C"/>
    <w:rsid w:val="008F73D1"/>
    <w:rsid w:val="008F7FF7"/>
    <w:rsid w:val="00904D0B"/>
    <w:rsid w:val="00904E4D"/>
    <w:rsid w:val="00906021"/>
    <w:rsid w:val="00913674"/>
    <w:rsid w:val="00914FF1"/>
    <w:rsid w:val="009164E6"/>
    <w:rsid w:val="009167C2"/>
    <w:rsid w:val="00917AEB"/>
    <w:rsid w:val="009202CF"/>
    <w:rsid w:val="009235FD"/>
    <w:rsid w:val="009335D9"/>
    <w:rsid w:val="009348AE"/>
    <w:rsid w:val="00934B0C"/>
    <w:rsid w:val="009353EB"/>
    <w:rsid w:val="0093603C"/>
    <w:rsid w:val="00936F18"/>
    <w:rsid w:val="00940786"/>
    <w:rsid w:val="009419C2"/>
    <w:rsid w:val="00941D41"/>
    <w:rsid w:val="0094218B"/>
    <w:rsid w:val="0094288E"/>
    <w:rsid w:val="00942DBE"/>
    <w:rsid w:val="009472F8"/>
    <w:rsid w:val="00947588"/>
    <w:rsid w:val="0095277C"/>
    <w:rsid w:val="009568FC"/>
    <w:rsid w:val="00956F2C"/>
    <w:rsid w:val="0095715B"/>
    <w:rsid w:val="00960B00"/>
    <w:rsid w:val="00961F02"/>
    <w:rsid w:val="00962407"/>
    <w:rsid w:val="00967858"/>
    <w:rsid w:val="00970AF3"/>
    <w:rsid w:val="00973F3B"/>
    <w:rsid w:val="00974997"/>
    <w:rsid w:val="009818B7"/>
    <w:rsid w:val="009822A6"/>
    <w:rsid w:val="00985A60"/>
    <w:rsid w:val="00987228"/>
    <w:rsid w:val="00987E85"/>
    <w:rsid w:val="00992F22"/>
    <w:rsid w:val="0099691C"/>
    <w:rsid w:val="00996A92"/>
    <w:rsid w:val="00996FBD"/>
    <w:rsid w:val="009970ED"/>
    <w:rsid w:val="00997327"/>
    <w:rsid w:val="009A3546"/>
    <w:rsid w:val="009A5189"/>
    <w:rsid w:val="009A6385"/>
    <w:rsid w:val="009B185F"/>
    <w:rsid w:val="009B1B98"/>
    <w:rsid w:val="009B1F37"/>
    <w:rsid w:val="009B2983"/>
    <w:rsid w:val="009B6355"/>
    <w:rsid w:val="009B73D0"/>
    <w:rsid w:val="009C1C41"/>
    <w:rsid w:val="009C31EB"/>
    <w:rsid w:val="009D4CA5"/>
    <w:rsid w:val="009D5606"/>
    <w:rsid w:val="009D7BE7"/>
    <w:rsid w:val="009E139D"/>
    <w:rsid w:val="009E2B77"/>
    <w:rsid w:val="009E3EDC"/>
    <w:rsid w:val="009F1558"/>
    <w:rsid w:val="00A01EEA"/>
    <w:rsid w:val="00A02289"/>
    <w:rsid w:val="00A056E1"/>
    <w:rsid w:val="00A05ADF"/>
    <w:rsid w:val="00A20977"/>
    <w:rsid w:val="00A21B25"/>
    <w:rsid w:val="00A22EC1"/>
    <w:rsid w:val="00A26FC7"/>
    <w:rsid w:val="00A30ACB"/>
    <w:rsid w:val="00A3216E"/>
    <w:rsid w:val="00A35F45"/>
    <w:rsid w:val="00A369E6"/>
    <w:rsid w:val="00A36AEF"/>
    <w:rsid w:val="00A37FF8"/>
    <w:rsid w:val="00A40688"/>
    <w:rsid w:val="00A41649"/>
    <w:rsid w:val="00A42CB5"/>
    <w:rsid w:val="00A44356"/>
    <w:rsid w:val="00A52F7D"/>
    <w:rsid w:val="00A53024"/>
    <w:rsid w:val="00A53117"/>
    <w:rsid w:val="00A53398"/>
    <w:rsid w:val="00A535CF"/>
    <w:rsid w:val="00A54A83"/>
    <w:rsid w:val="00A54E2C"/>
    <w:rsid w:val="00A5587C"/>
    <w:rsid w:val="00A5598B"/>
    <w:rsid w:val="00A57D3D"/>
    <w:rsid w:val="00A609C5"/>
    <w:rsid w:val="00A60F7A"/>
    <w:rsid w:val="00A61C58"/>
    <w:rsid w:val="00A63703"/>
    <w:rsid w:val="00A638EF"/>
    <w:rsid w:val="00A65395"/>
    <w:rsid w:val="00A66E9D"/>
    <w:rsid w:val="00A673D6"/>
    <w:rsid w:val="00A72C1F"/>
    <w:rsid w:val="00A74E95"/>
    <w:rsid w:val="00A765EC"/>
    <w:rsid w:val="00A76662"/>
    <w:rsid w:val="00A77733"/>
    <w:rsid w:val="00A80029"/>
    <w:rsid w:val="00A808C8"/>
    <w:rsid w:val="00A81357"/>
    <w:rsid w:val="00A832A0"/>
    <w:rsid w:val="00A85291"/>
    <w:rsid w:val="00A8740A"/>
    <w:rsid w:val="00A87FF9"/>
    <w:rsid w:val="00A91302"/>
    <w:rsid w:val="00A92042"/>
    <w:rsid w:val="00A92B98"/>
    <w:rsid w:val="00A93709"/>
    <w:rsid w:val="00A943DE"/>
    <w:rsid w:val="00AA09A0"/>
    <w:rsid w:val="00AA103F"/>
    <w:rsid w:val="00AA3857"/>
    <w:rsid w:val="00AA3D54"/>
    <w:rsid w:val="00AA420E"/>
    <w:rsid w:val="00AA5D81"/>
    <w:rsid w:val="00AA5F6C"/>
    <w:rsid w:val="00AA6738"/>
    <w:rsid w:val="00AB012A"/>
    <w:rsid w:val="00AB0290"/>
    <w:rsid w:val="00AB4956"/>
    <w:rsid w:val="00AB795E"/>
    <w:rsid w:val="00AB79DA"/>
    <w:rsid w:val="00AC22FA"/>
    <w:rsid w:val="00AC33C0"/>
    <w:rsid w:val="00AC3CA0"/>
    <w:rsid w:val="00AC50C1"/>
    <w:rsid w:val="00AC58E0"/>
    <w:rsid w:val="00AD0FCB"/>
    <w:rsid w:val="00AD126F"/>
    <w:rsid w:val="00AD2053"/>
    <w:rsid w:val="00AD2DFD"/>
    <w:rsid w:val="00AD4717"/>
    <w:rsid w:val="00AD4CA1"/>
    <w:rsid w:val="00AD531B"/>
    <w:rsid w:val="00AD7654"/>
    <w:rsid w:val="00AE065F"/>
    <w:rsid w:val="00AE276A"/>
    <w:rsid w:val="00AE3251"/>
    <w:rsid w:val="00AE3EED"/>
    <w:rsid w:val="00AF25F5"/>
    <w:rsid w:val="00AF61CF"/>
    <w:rsid w:val="00AF72BC"/>
    <w:rsid w:val="00B002DA"/>
    <w:rsid w:val="00B003E4"/>
    <w:rsid w:val="00B00969"/>
    <w:rsid w:val="00B04F23"/>
    <w:rsid w:val="00B10C95"/>
    <w:rsid w:val="00B11B9E"/>
    <w:rsid w:val="00B1423B"/>
    <w:rsid w:val="00B14624"/>
    <w:rsid w:val="00B16053"/>
    <w:rsid w:val="00B16567"/>
    <w:rsid w:val="00B21928"/>
    <w:rsid w:val="00B21B90"/>
    <w:rsid w:val="00B21C93"/>
    <w:rsid w:val="00B22B92"/>
    <w:rsid w:val="00B245BD"/>
    <w:rsid w:val="00B247D9"/>
    <w:rsid w:val="00B2527C"/>
    <w:rsid w:val="00B26DA8"/>
    <w:rsid w:val="00B31891"/>
    <w:rsid w:val="00B33534"/>
    <w:rsid w:val="00B3434C"/>
    <w:rsid w:val="00B3576E"/>
    <w:rsid w:val="00B376AC"/>
    <w:rsid w:val="00B379DC"/>
    <w:rsid w:val="00B40B29"/>
    <w:rsid w:val="00B44A8B"/>
    <w:rsid w:val="00B45631"/>
    <w:rsid w:val="00B45773"/>
    <w:rsid w:val="00B46C49"/>
    <w:rsid w:val="00B47A4C"/>
    <w:rsid w:val="00B47DA1"/>
    <w:rsid w:val="00B5141C"/>
    <w:rsid w:val="00B51934"/>
    <w:rsid w:val="00B51C9A"/>
    <w:rsid w:val="00B52126"/>
    <w:rsid w:val="00B521B9"/>
    <w:rsid w:val="00B5256B"/>
    <w:rsid w:val="00B52EE0"/>
    <w:rsid w:val="00B5385F"/>
    <w:rsid w:val="00B56BB2"/>
    <w:rsid w:val="00B56DC3"/>
    <w:rsid w:val="00B60431"/>
    <w:rsid w:val="00B63131"/>
    <w:rsid w:val="00B6736E"/>
    <w:rsid w:val="00B6775A"/>
    <w:rsid w:val="00B707F1"/>
    <w:rsid w:val="00B7361A"/>
    <w:rsid w:val="00B7598D"/>
    <w:rsid w:val="00B75A3A"/>
    <w:rsid w:val="00B76DE0"/>
    <w:rsid w:val="00B83686"/>
    <w:rsid w:val="00B90173"/>
    <w:rsid w:val="00B91036"/>
    <w:rsid w:val="00B913DC"/>
    <w:rsid w:val="00B9168F"/>
    <w:rsid w:val="00B93520"/>
    <w:rsid w:val="00B94175"/>
    <w:rsid w:val="00B941EF"/>
    <w:rsid w:val="00B94A76"/>
    <w:rsid w:val="00B958A9"/>
    <w:rsid w:val="00BA120B"/>
    <w:rsid w:val="00BA12B0"/>
    <w:rsid w:val="00BA149E"/>
    <w:rsid w:val="00BA2341"/>
    <w:rsid w:val="00BA30DD"/>
    <w:rsid w:val="00BA5FA2"/>
    <w:rsid w:val="00BB373D"/>
    <w:rsid w:val="00BB5F32"/>
    <w:rsid w:val="00BC16A3"/>
    <w:rsid w:val="00BC1A6E"/>
    <w:rsid w:val="00BC258E"/>
    <w:rsid w:val="00BC3917"/>
    <w:rsid w:val="00BC5E3C"/>
    <w:rsid w:val="00BC6384"/>
    <w:rsid w:val="00BD3982"/>
    <w:rsid w:val="00BD541D"/>
    <w:rsid w:val="00BD615C"/>
    <w:rsid w:val="00BD6D5F"/>
    <w:rsid w:val="00BE148A"/>
    <w:rsid w:val="00BE15C0"/>
    <w:rsid w:val="00BE15D1"/>
    <w:rsid w:val="00BE29BB"/>
    <w:rsid w:val="00BE31C1"/>
    <w:rsid w:val="00BE4712"/>
    <w:rsid w:val="00BE4CA8"/>
    <w:rsid w:val="00BE50E3"/>
    <w:rsid w:val="00BE7FF2"/>
    <w:rsid w:val="00BF01E8"/>
    <w:rsid w:val="00BF0CB7"/>
    <w:rsid w:val="00BF10C4"/>
    <w:rsid w:val="00BF1DC5"/>
    <w:rsid w:val="00BF3AC5"/>
    <w:rsid w:val="00BF3B87"/>
    <w:rsid w:val="00BF3F3B"/>
    <w:rsid w:val="00BF628D"/>
    <w:rsid w:val="00BF6E9A"/>
    <w:rsid w:val="00BF73D5"/>
    <w:rsid w:val="00C00C54"/>
    <w:rsid w:val="00C01EA8"/>
    <w:rsid w:val="00C03A65"/>
    <w:rsid w:val="00C04751"/>
    <w:rsid w:val="00C04AC4"/>
    <w:rsid w:val="00C04B63"/>
    <w:rsid w:val="00C05374"/>
    <w:rsid w:val="00C05A4C"/>
    <w:rsid w:val="00C1318C"/>
    <w:rsid w:val="00C141D9"/>
    <w:rsid w:val="00C2050A"/>
    <w:rsid w:val="00C20D81"/>
    <w:rsid w:val="00C21ED4"/>
    <w:rsid w:val="00C235C1"/>
    <w:rsid w:val="00C25970"/>
    <w:rsid w:val="00C26B87"/>
    <w:rsid w:val="00C27FFD"/>
    <w:rsid w:val="00C302FA"/>
    <w:rsid w:val="00C324AD"/>
    <w:rsid w:val="00C33B79"/>
    <w:rsid w:val="00C35CBD"/>
    <w:rsid w:val="00C35F84"/>
    <w:rsid w:val="00C3693A"/>
    <w:rsid w:val="00C405F8"/>
    <w:rsid w:val="00C40AC7"/>
    <w:rsid w:val="00C45786"/>
    <w:rsid w:val="00C46A7C"/>
    <w:rsid w:val="00C46F61"/>
    <w:rsid w:val="00C501C7"/>
    <w:rsid w:val="00C51DF6"/>
    <w:rsid w:val="00C53BEF"/>
    <w:rsid w:val="00C56F9B"/>
    <w:rsid w:val="00C5719B"/>
    <w:rsid w:val="00C63B15"/>
    <w:rsid w:val="00C64714"/>
    <w:rsid w:val="00C6580F"/>
    <w:rsid w:val="00C65E90"/>
    <w:rsid w:val="00C668FC"/>
    <w:rsid w:val="00C71507"/>
    <w:rsid w:val="00C74189"/>
    <w:rsid w:val="00C74C41"/>
    <w:rsid w:val="00C74D6C"/>
    <w:rsid w:val="00C75ACA"/>
    <w:rsid w:val="00C775DF"/>
    <w:rsid w:val="00C7774D"/>
    <w:rsid w:val="00C777DF"/>
    <w:rsid w:val="00C8086A"/>
    <w:rsid w:val="00C81374"/>
    <w:rsid w:val="00C869EF"/>
    <w:rsid w:val="00C86FC4"/>
    <w:rsid w:val="00C90D24"/>
    <w:rsid w:val="00C91248"/>
    <w:rsid w:val="00C92048"/>
    <w:rsid w:val="00C92D6A"/>
    <w:rsid w:val="00C93D42"/>
    <w:rsid w:val="00C967F5"/>
    <w:rsid w:val="00C969B3"/>
    <w:rsid w:val="00C9730F"/>
    <w:rsid w:val="00C97434"/>
    <w:rsid w:val="00CA54FF"/>
    <w:rsid w:val="00CA705E"/>
    <w:rsid w:val="00CA73C5"/>
    <w:rsid w:val="00CB206F"/>
    <w:rsid w:val="00CB562A"/>
    <w:rsid w:val="00CB7A70"/>
    <w:rsid w:val="00CC5076"/>
    <w:rsid w:val="00CD0272"/>
    <w:rsid w:val="00CD3723"/>
    <w:rsid w:val="00CD7364"/>
    <w:rsid w:val="00CE15E2"/>
    <w:rsid w:val="00CE1D20"/>
    <w:rsid w:val="00CE3E03"/>
    <w:rsid w:val="00CE67FD"/>
    <w:rsid w:val="00CE74A8"/>
    <w:rsid w:val="00CE79E2"/>
    <w:rsid w:val="00CF1BDB"/>
    <w:rsid w:val="00CF22A7"/>
    <w:rsid w:val="00CF261A"/>
    <w:rsid w:val="00CF32A4"/>
    <w:rsid w:val="00CF3B3A"/>
    <w:rsid w:val="00CF5F55"/>
    <w:rsid w:val="00CF64EC"/>
    <w:rsid w:val="00CF7245"/>
    <w:rsid w:val="00CF753F"/>
    <w:rsid w:val="00D0012C"/>
    <w:rsid w:val="00D00F02"/>
    <w:rsid w:val="00D022CB"/>
    <w:rsid w:val="00D1150C"/>
    <w:rsid w:val="00D116B6"/>
    <w:rsid w:val="00D11DDB"/>
    <w:rsid w:val="00D178A6"/>
    <w:rsid w:val="00D202DA"/>
    <w:rsid w:val="00D2037D"/>
    <w:rsid w:val="00D2220F"/>
    <w:rsid w:val="00D23289"/>
    <w:rsid w:val="00D24842"/>
    <w:rsid w:val="00D25674"/>
    <w:rsid w:val="00D26113"/>
    <w:rsid w:val="00D303CC"/>
    <w:rsid w:val="00D30715"/>
    <w:rsid w:val="00D3418C"/>
    <w:rsid w:val="00D34730"/>
    <w:rsid w:val="00D34E3D"/>
    <w:rsid w:val="00D40A27"/>
    <w:rsid w:val="00D41C0B"/>
    <w:rsid w:val="00D42359"/>
    <w:rsid w:val="00D43511"/>
    <w:rsid w:val="00D445CA"/>
    <w:rsid w:val="00D46559"/>
    <w:rsid w:val="00D471B1"/>
    <w:rsid w:val="00D47CEF"/>
    <w:rsid w:val="00D51E81"/>
    <w:rsid w:val="00D528CD"/>
    <w:rsid w:val="00D53F3B"/>
    <w:rsid w:val="00D54686"/>
    <w:rsid w:val="00D617CB"/>
    <w:rsid w:val="00D62ED0"/>
    <w:rsid w:val="00D63D67"/>
    <w:rsid w:val="00D64214"/>
    <w:rsid w:val="00D72098"/>
    <w:rsid w:val="00D736DB"/>
    <w:rsid w:val="00D738EA"/>
    <w:rsid w:val="00D80954"/>
    <w:rsid w:val="00D82686"/>
    <w:rsid w:val="00D82D3D"/>
    <w:rsid w:val="00D8372D"/>
    <w:rsid w:val="00D863DD"/>
    <w:rsid w:val="00D87FA5"/>
    <w:rsid w:val="00D97023"/>
    <w:rsid w:val="00D97CDA"/>
    <w:rsid w:val="00DA01D2"/>
    <w:rsid w:val="00DA0C06"/>
    <w:rsid w:val="00DA0CAE"/>
    <w:rsid w:val="00DA305C"/>
    <w:rsid w:val="00DA5AB8"/>
    <w:rsid w:val="00DA5C98"/>
    <w:rsid w:val="00DB15BE"/>
    <w:rsid w:val="00DB19B3"/>
    <w:rsid w:val="00DB4F70"/>
    <w:rsid w:val="00DC03CA"/>
    <w:rsid w:val="00DC0B70"/>
    <w:rsid w:val="00DD0331"/>
    <w:rsid w:val="00DD0E06"/>
    <w:rsid w:val="00DD1280"/>
    <w:rsid w:val="00DD1D93"/>
    <w:rsid w:val="00DE0438"/>
    <w:rsid w:val="00DE2B5F"/>
    <w:rsid w:val="00DE2CAA"/>
    <w:rsid w:val="00DE2D95"/>
    <w:rsid w:val="00DE3493"/>
    <w:rsid w:val="00DE4B79"/>
    <w:rsid w:val="00DE51B0"/>
    <w:rsid w:val="00DE5972"/>
    <w:rsid w:val="00DE657A"/>
    <w:rsid w:val="00DE786D"/>
    <w:rsid w:val="00DF08BD"/>
    <w:rsid w:val="00DF2D57"/>
    <w:rsid w:val="00DF3BBC"/>
    <w:rsid w:val="00DF3F48"/>
    <w:rsid w:val="00DF3FB6"/>
    <w:rsid w:val="00DF4221"/>
    <w:rsid w:val="00DF59DC"/>
    <w:rsid w:val="00DF6306"/>
    <w:rsid w:val="00DF7E4A"/>
    <w:rsid w:val="00E03FBA"/>
    <w:rsid w:val="00E078C8"/>
    <w:rsid w:val="00E102EF"/>
    <w:rsid w:val="00E10330"/>
    <w:rsid w:val="00E1133C"/>
    <w:rsid w:val="00E12091"/>
    <w:rsid w:val="00E1321A"/>
    <w:rsid w:val="00E1471C"/>
    <w:rsid w:val="00E15499"/>
    <w:rsid w:val="00E177E0"/>
    <w:rsid w:val="00E200AE"/>
    <w:rsid w:val="00E22653"/>
    <w:rsid w:val="00E2400A"/>
    <w:rsid w:val="00E2533E"/>
    <w:rsid w:val="00E304BB"/>
    <w:rsid w:val="00E30509"/>
    <w:rsid w:val="00E31BB9"/>
    <w:rsid w:val="00E32A05"/>
    <w:rsid w:val="00E33D68"/>
    <w:rsid w:val="00E33E21"/>
    <w:rsid w:val="00E34484"/>
    <w:rsid w:val="00E358BF"/>
    <w:rsid w:val="00E3601B"/>
    <w:rsid w:val="00E37122"/>
    <w:rsid w:val="00E377F8"/>
    <w:rsid w:val="00E3787D"/>
    <w:rsid w:val="00E4338D"/>
    <w:rsid w:val="00E45291"/>
    <w:rsid w:val="00E452CE"/>
    <w:rsid w:val="00E462AF"/>
    <w:rsid w:val="00E462DD"/>
    <w:rsid w:val="00E474BC"/>
    <w:rsid w:val="00E5185A"/>
    <w:rsid w:val="00E546A3"/>
    <w:rsid w:val="00E547A0"/>
    <w:rsid w:val="00E54998"/>
    <w:rsid w:val="00E54EC9"/>
    <w:rsid w:val="00E55650"/>
    <w:rsid w:val="00E558C7"/>
    <w:rsid w:val="00E56567"/>
    <w:rsid w:val="00E60A77"/>
    <w:rsid w:val="00E625A8"/>
    <w:rsid w:val="00E65242"/>
    <w:rsid w:val="00E65C69"/>
    <w:rsid w:val="00E73A0C"/>
    <w:rsid w:val="00E73B54"/>
    <w:rsid w:val="00E74773"/>
    <w:rsid w:val="00E804F6"/>
    <w:rsid w:val="00E81166"/>
    <w:rsid w:val="00E81C61"/>
    <w:rsid w:val="00E83289"/>
    <w:rsid w:val="00E83CE6"/>
    <w:rsid w:val="00E83DBE"/>
    <w:rsid w:val="00E84B03"/>
    <w:rsid w:val="00E871BE"/>
    <w:rsid w:val="00E90F1D"/>
    <w:rsid w:val="00E92AD6"/>
    <w:rsid w:val="00E93D58"/>
    <w:rsid w:val="00E9431E"/>
    <w:rsid w:val="00E948E7"/>
    <w:rsid w:val="00E94C4B"/>
    <w:rsid w:val="00E95C20"/>
    <w:rsid w:val="00E97EF9"/>
    <w:rsid w:val="00EA1F7D"/>
    <w:rsid w:val="00EA24B6"/>
    <w:rsid w:val="00EA4649"/>
    <w:rsid w:val="00EA5A21"/>
    <w:rsid w:val="00EA62EC"/>
    <w:rsid w:val="00EB05BF"/>
    <w:rsid w:val="00EB063A"/>
    <w:rsid w:val="00EB2F87"/>
    <w:rsid w:val="00EB45DB"/>
    <w:rsid w:val="00EB5646"/>
    <w:rsid w:val="00EB5F01"/>
    <w:rsid w:val="00EB6BD1"/>
    <w:rsid w:val="00EB6D68"/>
    <w:rsid w:val="00EB7D0D"/>
    <w:rsid w:val="00EC36E9"/>
    <w:rsid w:val="00EC53EF"/>
    <w:rsid w:val="00EC6008"/>
    <w:rsid w:val="00EC69AA"/>
    <w:rsid w:val="00ED1171"/>
    <w:rsid w:val="00ED2F33"/>
    <w:rsid w:val="00ED43EB"/>
    <w:rsid w:val="00ED4B71"/>
    <w:rsid w:val="00ED5922"/>
    <w:rsid w:val="00EE032A"/>
    <w:rsid w:val="00EE1BCC"/>
    <w:rsid w:val="00EE1EB5"/>
    <w:rsid w:val="00EE303D"/>
    <w:rsid w:val="00EE38F3"/>
    <w:rsid w:val="00EE3BCC"/>
    <w:rsid w:val="00EF11B1"/>
    <w:rsid w:val="00EF6BC7"/>
    <w:rsid w:val="00F0039E"/>
    <w:rsid w:val="00F009F2"/>
    <w:rsid w:val="00F03B13"/>
    <w:rsid w:val="00F04DFA"/>
    <w:rsid w:val="00F06A7B"/>
    <w:rsid w:val="00F07010"/>
    <w:rsid w:val="00F166D3"/>
    <w:rsid w:val="00F17C04"/>
    <w:rsid w:val="00F20174"/>
    <w:rsid w:val="00F2291F"/>
    <w:rsid w:val="00F245C7"/>
    <w:rsid w:val="00F30AA9"/>
    <w:rsid w:val="00F31D49"/>
    <w:rsid w:val="00F328FA"/>
    <w:rsid w:val="00F44E63"/>
    <w:rsid w:val="00F5682A"/>
    <w:rsid w:val="00F56A0B"/>
    <w:rsid w:val="00F56A0C"/>
    <w:rsid w:val="00F60983"/>
    <w:rsid w:val="00F61B48"/>
    <w:rsid w:val="00F62139"/>
    <w:rsid w:val="00F6243D"/>
    <w:rsid w:val="00F62C13"/>
    <w:rsid w:val="00F62F7D"/>
    <w:rsid w:val="00F630D8"/>
    <w:rsid w:val="00F66730"/>
    <w:rsid w:val="00F6788D"/>
    <w:rsid w:val="00F704A3"/>
    <w:rsid w:val="00F70FFB"/>
    <w:rsid w:val="00F75D3D"/>
    <w:rsid w:val="00F7788F"/>
    <w:rsid w:val="00F7794F"/>
    <w:rsid w:val="00F816FC"/>
    <w:rsid w:val="00F853FB"/>
    <w:rsid w:val="00F85BF4"/>
    <w:rsid w:val="00F87045"/>
    <w:rsid w:val="00F87121"/>
    <w:rsid w:val="00F90690"/>
    <w:rsid w:val="00F925FE"/>
    <w:rsid w:val="00F94DD8"/>
    <w:rsid w:val="00F950C7"/>
    <w:rsid w:val="00F965F7"/>
    <w:rsid w:val="00F97F3B"/>
    <w:rsid w:val="00FA0133"/>
    <w:rsid w:val="00FA2601"/>
    <w:rsid w:val="00FA505E"/>
    <w:rsid w:val="00FA52BE"/>
    <w:rsid w:val="00FB2425"/>
    <w:rsid w:val="00FB24B3"/>
    <w:rsid w:val="00FB36A6"/>
    <w:rsid w:val="00FC0184"/>
    <w:rsid w:val="00FC0E9A"/>
    <w:rsid w:val="00FC3567"/>
    <w:rsid w:val="00FC4BB6"/>
    <w:rsid w:val="00FC51CD"/>
    <w:rsid w:val="00FC5F6A"/>
    <w:rsid w:val="00FD075A"/>
    <w:rsid w:val="00FD30D0"/>
    <w:rsid w:val="00FD4654"/>
    <w:rsid w:val="00FE05B1"/>
    <w:rsid w:val="00FE2C98"/>
    <w:rsid w:val="00FE3224"/>
    <w:rsid w:val="00FE38BA"/>
    <w:rsid w:val="00FE3FBC"/>
    <w:rsid w:val="00FE4580"/>
    <w:rsid w:val="00FE688C"/>
    <w:rsid w:val="00FF29E7"/>
    <w:rsid w:val="00FF2F6B"/>
    <w:rsid w:val="00FF59AF"/>
    <w:rsid w:val="00FF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F6A6F6"/>
  <w15:chartTrackingRefBased/>
  <w15:docId w15:val="{26704373-2F7C-4828-8093-904B95DE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666666"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666666"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666666"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272727"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EndnoteText">
    <w:name w:val="endnote text"/>
    <w:basedOn w:val="Normal"/>
    <w:link w:val="EndnoteTextChar"/>
    <w:uiPriority w:val="99"/>
    <w:semiHidden/>
    <w:unhideWhenUsed/>
    <w:rsid w:val="00756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23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756238"/>
    <w:rPr>
      <w:vertAlign w:val="superscript"/>
    </w:rPr>
  </w:style>
  <w:style w:type="character" w:styleId="Hyperlink">
    <w:name w:val="Hyperlink"/>
    <w:basedOn w:val="DefaultParagraphFont"/>
    <w:uiPriority w:val="99"/>
    <w:unhideWhenUsed/>
    <w:rsid w:val="00756238"/>
    <w:rPr>
      <w:color w:val="0000FF"/>
      <w:u w:val="single"/>
    </w:rPr>
  </w:style>
  <w:style w:type="paragraph" w:styleId="ListParagraph">
    <w:name w:val="List Paragraph"/>
    <w:basedOn w:val="Normal"/>
    <w:uiPriority w:val="34"/>
    <w:qFormat/>
    <w:rsid w:val="00726D1F"/>
    <w:pPr>
      <w:ind w:left="720"/>
      <w:contextualSpacing/>
    </w:pPr>
  </w:style>
  <w:style w:type="table" w:styleId="TableGrid">
    <w:name w:val="Table Grid"/>
    <w:basedOn w:val="TableNormal"/>
    <w:uiPriority w:val="39"/>
    <w:rsid w:val="008B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3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E2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33E21"/>
    <w:rPr>
      <w:vertAlign w:val="superscript"/>
    </w:rPr>
  </w:style>
  <w:style w:type="paragraph" w:styleId="NormalWeb">
    <w:name w:val="Normal (Web)"/>
    <w:basedOn w:val="Normal"/>
    <w:uiPriority w:val="99"/>
    <w:semiHidden/>
    <w:unhideWhenUsed/>
    <w:rsid w:val="00307E75"/>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09397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93973"/>
    <w:rPr>
      <w:rFonts w:ascii="Calibri" w:hAnsi="Calibri"/>
      <w:sz w:val="22"/>
      <w:szCs w:val="21"/>
    </w:rPr>
  </w:style>
  <w:style w:type="character" w:styleId="UnresolvedMention">
    <w:name w:val="Unresolved Mention"/>
    <w:basedOn w:val="DefaultParagraphFont"/>
    <w:uiPriority w:val="99"/>
    <w:rsid w:val="00093973"/>
    <w:rPr>
      <w:color w:val="605E5C"/>
      <w:shd w:val="clear" w:color="auto" w:fill="E1DFDD"/>
    </w:rPr>
  </w:style>
  <w:style w:type="paragraph" w:styleId="Revision">
    <w:name w:val="Revision"/>
    <w:hidden/>
    <w:uiPriority w:val="99"/>
    <w:semiHidden/>
    <w:rsid w:val="00C869EF"/>
    <w:rPr>
      <w:rFonts w:ascii="Calibri" w:eastAsia="Times New Roman" w:hAnsi="Calibri" w:cs="Times New Roman"/>
      <w:sz w:val="22"/>
      <w:szCs w:val="22"/>
    </w:rPr>
  </w:style>
  <w:style w:type="character" w:styleId="IntenseReference">
    <w:name w:val="Intense Reference"/>
    <w:basedOn w:val="DefaultParagraphFont"/>
    <w:uiPriority w:val="32"/>
    <w:qFormat/>
    <w:rsid w:val="00E1133C"/>
    <w:rPr>
      <w:b/>
      <w:bCs/>
      <w:smallCaps/>
      <w:color w:val="175E95" w:themeColor="accent1"/>
      <w:spacing w:val="5"/>
    </w:rPr>
  </w:style>
  <w:style w:type="character" w:styleId="Strong">
    <w:name w:val="Strong"/>
    <w:basedOn w:val="DefaultParagraphFont"/>
    <w:uiPriority w:val="22"/>
    <w:qFormat/>
    <w:rsid w:val="00E1133C"/>
    <w:rPr>
      <w:b/>
      <w:bCs/>
    </w:rPr>
  </w:style>
  <w:style w:type="character" w:styleId="IntenseEmphasis">
    <w:name w:val="Intense Emphasis"/>
    <w:basedOn w:val="DefaultParagraphFont"/>
    <w:uiPriority w:val="21"/>
    <w:qFormat/>
    <w:rsid w:val="003974FF"/>
    <w:rPr>
      <w:i/>
      <w:iCs/>
      <w:color w:val="175E95" w:themeColor="accent1"/>
    </w:rPr>
  </w:style>
  <w:style w:type="paragraph" w:styleId="NoSpacing">
    <w:name w:val="No Spacing"/>
    <w:uiPriority w:val="1"/>
    <w:qFormat/>
    <w:rsid w:val="006B71AD"/>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6358">
      <w:bodyDiv w:val="1"/>
      <w:marLeft w:val="0"/>
      <w:marRight w:val="0"/>
      <w:marTop w:val="0"/>
      <w:marBottom w:val="0"/>
      <w:divBdr>
        <w:top w:val="none" w:sz="0" w:space="0" w:color="auto"/>
        <w:left w:val="none" w:sz="0" w:space="0" w:color="auto"/>
        <w:bottom w:val="none" w:sz="0" w:space="0" w:color="auto"/>
        <w:right w:val="none" w:sz="0" w:space="0" w:color="auto"/>
      </w:divBdr>
    </w:div>
    <w:div w:id="64694279">
      <w:bodyDiv w:val="1"/>
      <w:marLeft w:val="0"/>
      <w:marRight w:val="0"/>
      <w:marTop w:val="0"/>
      <w:marBottom w:val="0"/>
      <w:divBdr>
        <w:top w:val="none" w:sz="0" w:space="0" w:color="auto"/>
        <w:left w:val="none" w:sz="0" w:space="0" w:color="auto"/>
        <w:bottom w:val="none" w:sz="0" w:space="0" w:color="auto"/>
        <w:right w:val="none" w:sz="0" w:space="0" w:color="auto"/>
      </w:divBdr>
    </w:div>
    <w:div w:id="111292882">
      <w:bodyDiv w:val="1"/>
      <w:marLeft w:val="0"/>
      <w:marRight w:val="0"/>
      <w:marTop w:val="0"/>
      <w:marBottom w:val="0"/>
      <w:divBdr>
        <w:top w:val="none" w:sz="0" w:space="0" w:color="auto"/>
        <w:left w:val="none" w:sz="0" w:space="0" w:color="auto"/>
        <w:bottom w:val="none" w:sz="0" w:space="0" w:color="auto"/>
        <w:right w:val="none" w:sz="0" w:space="0" w:color="auto"/>
      </w:divBdr>
    </w:div>
    <w:div w:id="147749329">
      <w:bodyDiv w:val="1"/>
      <w:marLeft w:val="0"/>
      <w:marRight w:val="0"/>
      <w:marTop w:val="0"/>
      <w:marBottom w:val="0"/>
      <w:divBdr>
        <w:top w:val="none" w:sz="0" w:space="0" w:color="auto"/>
        <w:left w:val="none" w:sz="0" w:space="0" w:color="auto"/>
        <w:bottom w:val="none" w:sz="0" w:space="0" w:color="auto"/>
        <w:right w:val="none" w:sz="0" w:space="0" w:color="auto"/>
      </w:divBdr>
    </w:div>
    <w:div w:id="154762539">
      <w:bodyDiv w:val="1"/>
      <w:marLeft w:val="0"/>
      <w:marRight w:val="0"/>
      <w:marTop w:val="0"/>
      <w:marBottom w:val="0"/>
      <w:divBdr>
        <w:top w:val="none" w:sz="0" w:space="0" w:color="auto"/>
        <w:left w:val="none" w:sz="0" w:space="0" w:color="auto"/>
        <w:bottom w:val="none" w:sz="0" w:space="0" w:color="auto"/>
        <w:right w:val="none" w:sz="0" w:space="0" w:color="auto"/>
      </w:divBdr>
    </w:div>
    <w:div w:id="217786902">
      <w:bodyDiv w:val="1"/>
      <w:marLeft w:val="0"/>
      <w:marRight w:val="0"/>
      <w:marTop w:val="0"/>
      <w:marBottom w:val="0"/>
      <w:divBdr>
        <w:top w:val="none" w:sz="0" w:space="0" w:color="auto"/>
        <w:left w:val="none" w:sz="0" w:space="0" w:color="auto"/>
        <w:bottom w:val="none" w:sz="0" w:space="0" w:color="auto"/>
        <w:right w:val="none" w:sz="0" w:space="0" w:color="auto"/>
      </w:divBdr>
    </w:div>
    <w:div w:id="231933455">
      <w:bodyDiv w:val="1"/>
      <w:marLeft w:val="0"/>
      <w:marRight w:val="0"/>
      <w:marTop w:val="0"/>
      <w:marBottom w:val="0"/>
      <w:divBdr>
        <w:top w:val="none" w:sz="0" w:space="0" w:color="auto"/>
        <w:left w:val="none" w:sz="0" w:space="0" w:color="auto"/>
        <w:bottom w:val="none" w:sz="0" w:space="0" w:color="auto"/>
        <w:right w:val="none" w:sz="0" w:space="0" w:color="auto"/>
      </w:divBdr>
    </w:div>
    <w:div w:id="321281699">
      <w:bodyDiv w:val="1"/>
      <w:marLeft w:val="0"/>
      <w:marRight w:val="0"/>
      <w:marTop w:val="0"/>
      <w:marBottom w:val="0"/>
      <w:divBdr>
        <w:top w:val="none" w:sz="0" w:space="0" w:color="auto"/>
        <w:left w:val="none" w:sz="0" w:space="0" w:color="auto"/>
        <w:bottom w:val="none" w:sz="0" w:space="0" w:color="auto"/>
        <w:right w:val="none" w:sz="0" w:space="0" w:color="auto"/>
      </w:divBdr>
    </w:div>
    <w:div w:id="374041759">
      <w:bodyDiv w:val="1"/>
      <w:marLeft w:val="0"/>
      <w:marRight w:val="0"/>
      <w:marTop w:val="0"/>
      <w:marBottom w:val="0"/>
      <w:divBdr>
        <w:top w:val="none" w:sz="0" w:space="0" w:color="auto"/>
        <w:left w:val="none" w:sz="0" w:space="0" w:color="auto"/>
        <w:bottom w:val="none" w:sz="0" w:space="0" w:color="auto"/>
        <w:right w:val="none" w:sz="0" w:space="0" w:color="auto"/>
      </w:divBdr>
    </w:div>
    <w:div w:id="541752271">
      <w:bodyDiv w:val="1"/>
      <w:marLeft w:val="0"/>
      <w:marRight w:val="0"/>
      <w:marTop w:val="0"/>
      <w:marBottom w:val="0"/>
      <w:divBdr>
        <w:top w:val="none" w:sz="0" w:space="0" w:color="auto"/>
        <w:left w:val="none" w:sz="0" w:space="0" w:color="auto"/>
        <w:bottom w:val="none" w:sz="0" w:space="0" w:color="auto"/>
        <w:right w:val="none" w:sz="0" w:space="0" w:color="auto"/>
      </w:divBdr>
    </w:div>
    <w:div w:id="636837449">
      <w:bodyDiv w:val="1"/>
      <w:marLeft w:val="0"/>
      <w:marRight w:val="0"/>
      <w:marTop w:val="0"/>
      <w:marBottom w:val="0"/>
      <w:divBdr>
        <w:top w:val="none" w:sz="0" w:space="0" w:color="auto"/>
        <w:left w:val="none" w:sz="0" w:space="0" w:color="auto"/>
        <w:bottom w:val="none" w:sz="0" w:space="0" w:color="auto"/>
        <w:right w:val="none" w:sz="0" w:space="0" w:color="auto"/>
      </w:divBdr>
    </w:div>
    <w:div w:id="693307556">
      <w:bodyDiv w:val="1"/>
      <w:marLeft w:val="0"/>
      <w:marRight w:val="0"/>
      <w:marTop w:val="0"/>
      <w:marBottom w:val="0"/>
      <w:divBdr>
        <w:top w:val="none" w:sz="0" w:space="0" w:color="auto"/>
        <w:left w:val="none" w:sz="0" w:space="0" w:color="auto"/>
        <w:bottom w:val="none" w:sz="0" w:space="0" w:color="auto"/>
        <w:right w:val="none" w:sz="0" w:space="0" w:color="auto"/>
      </w:divBdr>
    </w:div>
    <w:div w:id="737822021">
      <w:bodyDiv w:val="1"/>
      <w:marLeft w:val="0"/>
      <w:marRight w:val="0"/>
      <w:marTop w:val="0"/>
      <w:marBottom w:val="0"/>
      <w:divBdr>
        <w:top w:val="none" w:sz="0" w:space="0" w:color="auto"/>
        <w:left w:val="none" w:sz="0" w:space="0" w:color="auto"/>
        <w:bottom w:val="none" w:sz="0" w:space="0" w:color="auto"/>
        <w:right w:val="none" w:sz="0" w:space="0" w:color="auto"/>
      </w:divBdr>
    </w:div>
    <w:div w:id="748112748">
      <w:bodyDiv w:val="1"/>
      <w:marLeft w:val="0"/>
      <w:marRight w:val="0"/>
      <w:marTop w:val="0"/>
      <w:marBottom w:val="0"/>
      <w:divBdr>
        <w:top w:val="none" w:sz="0" w:space="0" w:color="auto"/>
        <w:left w:val="none" w:sz="0" w:space="0" w:color="auto"/>
        <w:bottom w:val="none" w:sz="0" w:space="0" w:color="auto"/>
        <w:right w:val="none" w:sz="0" w:space="0" w:color="auto"/>
      </w:divBdr>
    </w:div>
    <w:div w:id="784428423">
      <w:bodyDiv w:val="1"/>
      <w:marLeft w:val="0"/>
      <w:marRight w:val="0"/>
      <w:marTop w:val="0"/>
      <w:marBottom w:val="0"/>
      <w:divBdr>
        <w:top w:val="none" w:sz="0" w:space="0" w:color="auto"/>
        <w:left w:val="none" w:sz="0" w:space="0" w:color="auto"/>
        <w:bottom w:val="none" w:sz="0" w:space="0" w:color="auto"/>
        <w:right w:val="none" w:sz="0" w:space="0" w:color="auto"/>
      </w:divBdr>
    </w:div>
    <w:div w:id="786895840">
      <w:bodyDiv w:val="1"/>
      <w:marLeft w:val="0"/>
      <w:marRight w:val="0"/>
      <w:marTop w:val="0"/>
      <w:marBottom w:val="0"/>
      <w:divBdr>
        <w:top w:val="none" w:sz="0" w:space="0" w:color="auto"/>
        <w:left w:val="none" w:sz="0" w:space="0" w:color="auto"/>
        <w:bottom w:val="none" w:sz="0" w:space="0" w:color="auto"/>
        <w:right w:val="none" w:sz="0" w:space="0" w:color="auto"/>
      </w:divBdr>
    </w:div>
    <w:div w:id="793713330">
      <w:bodyDiv w:val="1"/>
      <w:marLeft w:val="0"/>
      <w:marRight w:val="0"/>
      <w:marTop w:val="0"/>
      <w:marBottom w:val="0"/>
      <w:divBdr>
        <w:top w:val="none" w:sz="0" w:space="0" w:color="auto"/>
        <w:left w:val="none" w:sz="0" w:space="0" w:color="auto"/>
        <w:bottom w:val="none" w:sz="0" w:space="0" w:color="auto"/>
        <w:right w:val="none" w:sz="0" w:space="0" w:color="auto"/>
      </w:divBdr>
    </w:div>
    <w:div w:id="821628751">
      <w:bodyDiv w:val="1"/>
      <w:marLeft w:val="0"/>
      <w:marRight w:val="0"/>
      <w:marTop w:val="0"/>
      <w:marBottom w:val="0"/>
      <w:divBdr>
        <w:top w:val="none" w:sz="0" w:space="0" w:color="auto"/>
        <w:left w:val="none" w:sz="0" w:space="0" w:color="auto"/>
        <w:bottom w:val="none" w:sz="0" w:space="0" w:color="auto"/>
        <w:right w:val="none" w:sz="0" w:space="0" w:color="auto"/>
      </w:divBdr>
    </w:div>
    <w:div w:id="965814358">
      <w:bodyDiv w:val="1"/>
      <w:marLeft w:val="0"/>
      <w:marRight w:val="0"/>
      <w:marTop w:val="0"/>
      <w:marBottom w:val="0"/>
      <w:divBdr>
        <w:top w:val="none" w:sz="0" w:space="0" w:color="auto"/>
        <w:left w:val="none" w:sz="0" w:space="0" w:color="auto"/>
        <w:bottom w:val="none" w:sz="0" w:space="0" w:color="auto"/>
        <w:right w:val="none" w:sz="0" w:space="0" w:color="auto"/>
      </w:divBdr>
    </w:div>
    <w:div w:id="1000087557">
      <w:bodyDiv w:val="1"/>
      <w:marLeft w:val="0"/>
      <w:marRight w:val="0"/>
      <w:marTop w:val="0"/>
      <w:marBottom w:val="0"/>
      <w:divBdr>
        <w:top w:val="none" w:sz="0" w:space="0" w:color="auto"/>
        <w:left w:val="none" w:sz="0" w:space="0" w:color="auto"/>
        <w:bottom w:val="none" w:sz="0" w:space="0" w:color="auto"/>
        <w:right w:val="none" w:sz="0" w:space="0" w:color="auto"/>
      </w:divBdr>
    </w:div>
    <w:div w:id="1204825394">
      <w:bodyDiv w:val="1"/>
      <w:marLeft w:val="0"/>
      <w:marRight w:val="0"/>
      <w:marTop w:val="0"/>
      <w:marBottom w:val="0"/>
      <w:divBdr>
        <w:top w:val="none" w:sz="0" w:space="0" w:color="auto"/>
        <w:left w:val="none" w:sz="0" w:space="0" w:color="auto"/>
        <w:bottom w:val="none" w:sz="0" w:space="0" w:color="auto"/>
        <w:right w:val="none" w:sz="0" w:space="0" w:color="auto"/>
      </w:divBdr>
    </w:div>
    <w:div w:id="1227648609">
      <w:bodyDiv w:val="1"/>
      <w:marLeft w:val="0"/>
      <w:marRight w:val="0"/>
      <w:marTop w:val="0"/>
      <w:marBottom w:val="0"/>
      <w:divBdr>
        <w:top w:val="none" w:sz="0" w:space="0" w:color="auto"/>
        <w:left w:val="none" w:sz="0" w:space="0" w:color="auto"/>
        <w:bottom w:val="none" w:sz="0" w:space="0" w:color="auto"/>
        <w:right w:val="none" w:sz="0" w:space="0" w:color="auto"/>
      </w:divBdr>
    </w:div>
    <w:div w:id="1237782326">
      <w:bodyDiv w:val="1"/>
      <w:marLeft w:val="0"/>
      <w:marRight w:val="0"/>
      <w:marTop w:val="0"/>
      <w:marBottom w:val="0"/>
      <w:divBdr>
        <w:top w:val="none" w:sz="0" w:space="0" w:color="auto"/>
        <w:left w:val="none" w:sz="0" w:space="0" w:color="auto"/>
        <w:bottom w:val="none" w:sz="0" w:space="0" w:color="auto"/>
        <w:right w:val="none" w:sz="0" w:space="0" w:color="auto"/>
      </w:divBdr>
    </w:div>
    <w:div w:id="1242107392">
      <w:bodyDiv w:val="1"/>
      <w:marLeft w:val="0"/>
      <w:marRight w:val="0"/>
      <w:marTop w:val="0"/>
      <w:marBottom w:val="0"/>
      <w:divBdr>
        <w:top w:val="none" w:sz="0" w:space="0" w:color="auto"/>
        <w:left w:val="none" w:sz="0" w:space="0" w:color="auto"/>
        <w:bottom w:val="none" w:sz="0" w:space="0" w:color="auto"/>
        <w:right w:val="none" w:sz="0" w:space="0" w:color="auto"/>
      </w:divBdr>
    </w:div>
    <w:div w:id="1257398649">
      <w:bodyDiv w:val="1"/>
      <w:marLeft w:val="0"/>
      <w:marRight w:val="0"/>
      <w:marTop w:val="0"/>
      <w:marBottom w:val="0"/>
      <w:divBdr>
        <w:top w:val="none" w:sz="0" w:space="0" w:color="auto"/>
        <w:left w:val="none" w:sz="0" w:space="0" w:color="auto"/>
        <w:bottom w:val="none" w:sz="0" w:space="0" w:color="auto"/>
        <w:right w:val="none" w:sz="0" w:space="0" w:color="auto"/>
      </w:divBdr>
    </w:div>
    <w:div w:id="1322655018">
      <w:bodyDiv w:val="1"/>
      <w:marLeft w:val="0"/>
      <w:marRight w:val="0"/>
      <w:marTop w:val="0"/>
      <w:marBottom w:val="0"/>
      <w:divBdr>
        <w:top w:val="none" w:sz="0" w:space="0" w:color="auto"/>
        <w:left w:val="none" w:sz="0" w:space="0" w:color="auto"/>
        <w:bottom w:val="none" w:sz="0" w:space="0" w:color="auto"/>
        <w:right w:val="none" w:sz="0" w:space="0" w:color="auto"/>
      </w:divBdr>
    </w:div>
    <w:div w:id="1333142309">
      <w:bodyDiv w:val="1"/>
      <w:marLeft w:val="0"/>
      <w:marRight w:val="0"/>
      <w:marTop w:val="0"/>
      <w:marBottom w:val="0"/>
      <w:divBdr>
        <w:top w:val="none" w:sz="0" w:space="0" w:color="auto"/>
        <w:left w:val="none" w:sz="0" w:space="0" w:color="auto"/>
        <w:bottom w:val="none" w:sz="0" w:space="0" w:color="auto"/>
        <w:right w:val="none" w:sz="0" w:space="0" w:color="auto"/>
      </w:divBdr>
    </w:div>
    <w:div w:id="1387031130">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398212816">
      <w:bodyDiv w:val="1"/>
      <w:marLeft w:val="0"/>
      <w:marRight w:val="0"/>
      <w:marTop w:val="0"/>
      <w:marBottom w:val="0"/>
      <w:divBdr>
        <w:top w:val="none" w:sz="0" w:space="0" w:color="auto"/>
        <w:left w:val="none" w:sz="0" w:space="0" w:color="auto"/>
        <w:bottom w:val="none" w:sz="0" w:space="0" w:color="auto"/>
        <w:right w:val="none" w:sz="0" w:space="0" w:color="auto"/>
      </w:divBdr>
    </w:div>
    <w:div w:id="1463690512">
      <w:bodyDiv w:val="1"/>
      <w:marLeft w:val="0"/>
      <w:marRight w:val="0"/>
      <w:marTop w:val="0"/>
      <w:marBottom w:val="0"/>
      <w:divBdr>
        <w:top w:val="none" w:sz="0" w:space="0" w:color="auto"/>
        <w:left w:val="none" w:sz="0" w:space="0" w:color="auto"/>
        <w:bottom w:val="none" w:sz="0" w:space="0" w:color="auto"/>
        <w:right w:val="none" w:sz="0" w:space="0" w:color="auto"/>
      </w:divBdr>
    </w:div>
    <w:div w:id="1495991831">
      <w:bodyDiv w:val="1"/>
      <w:marLeft w:val="0"/>
      <w:marRight w:val="0"/>
      <w:marTop w:val="0"/>
      <w:marBottom w:val="0"/>
      <w:divBdr>
        <w:top w:val="none" w:sz="0" w:space="0" w:color="auto"/>
        <w:left w:val="none" w:sz="0" w:space="0" w:color="auto"/>
        <w:bottom w:val="none" w:sz="0" w:space="0" w:color="auto"/>
        <w:right w:val="none" w:sz="0" w:space="0" w:color="auto"/>
      </w:divBdr>
    </w:div>
    <w:div w:id="1522431447">
      <w:bodyDiv w:val="1"/>
      <w:marLeft w:val="0"/>
      <w:marRight w:val="0"/>
      <w:marTop w:val="0"/>
      <w:marBottom w:val="0"/>
      <w:divBdr>
        <w:top w:val="none" w:sz="0" w:space="0" w:color="auto"/>
        <w:left w:val="none" w:sz="0" w:space="0" w:color="auto"/>
        <w:bottom w:val="none" w:sz="0" w:space="0" w:color="auto"/>
        <w:right w:val="none" w:sz="0" w:space="0" w:color="auto"/>
      </w:divBdr>
    </w:div>
    <w:div w:id="1572888198">
      <w:bodyDiv w:val="1"/>
      <w:marLeft w:val="0"/>
      <w:marRight w:val="0"/>
      <w:marTop w:val="0"/>
      <w:marBottom w:val="0"/>
      <w:divBdr>
        <w:top w:val="none" w:sz="0" w:space="0" w:color="auto"/>
        <w:left w:val="none" w:sz="0" w:space="0" w:color="auto"/>
        <w:bottom w:val="none" w:sz="0" w:space="0" w:color="auto"/>
        <w:right w:val="none" w:sz="0" w:space="0" w:color="auto"/>
      </w:divBdr>
    </w:div>
    <w:div w:id="1605917129">
      <w:bodyDiv w:val="1"/>
      <w:marLeft w:val="0"/>
      <w:marRight w:val="0"/>
      <w:marTop w:val="0"/>
      <w:marBottom w:val="0"/>
      <w:divBdr>
        <w:top w:val="none" w:sz="0" w:space="0" w:color="auto"/>
        <w:left w:val="none" w:sz="0" w:space="0" w:color="auto"/>
        <w:bottom w:val="none" w:sz="0" w:space="0" w:color="auto"/>
        <w:right w:val="none" w:sz="0" w:space="0" w:color="auto"/>
      </w:divBdr>
    </w:div>
    <w:div w:id="1623998563">
      <w:bodyDiv w:val="1"/>
      <w:marLeft w:val="0"/>
      <w:marRight w:val="0"/>
      <w:marTop w:val="0"/>
      <w:marBottom w:val="0"/>
      <w:divBdr>
        <w:top w:val="none" w:sz="0" w:space="0" w:color="auto"/>
        <w:left w:val="none" w:sz="0" w:space="0" w:color="auto"/>
        <w:bottom w:val="none" w:sz="0" w:space="0" w:color="auto"/>
        <w:right w:val="none" w:sz="0" w:space="0" w:color="auto"/>
      </w:divBdr>
    </w:div>
    <w:div w:id="1626810275">
      <w:bodyDiv w:val="1"/>
      <w:marLeft w:val="0"/>
      <w:marRight w:val="0"/>
      <w:marTop w:val="0"/>
      <w:marBottom w:val="0"/>
      <w:divBdr>
        <w:top w:val="none" w:sz="0" w:space="0" w:color="auto"/>
        <w:left w:val="none" w:sz="0" w:space="0" w:color="auto"/>
        <w:bottom w:val="none" w:sz="0" w:space="0" w:color="auto"/>
        <w:right w:val="none" w:sz="0" w:space="0" w:color="auto"/>
      </w:divBdr>
    </w:div>
    <w:div w:id="1717847827">
      <w:bodyDiv w:val="1"/>
      <w:marLeft w:val="0"/>
      <w:marRight w:val="0"/>
      <w:marTop w:val="0"/>
      <w:marBottom w:val="0"/>
      <w:divBdr>
        <w:top w:val="none" w:sz="0" w:space="0" w:color="auto"/>
        <w:left w:val="none" w:sz="0" w:space="0" w:color="auto"/>
        <w:bottom w:val="none" w:sz="0" w:space="0" w:color="auto"/>
        <w:right w:val="none" w:sz="0" w:space="0" w:color="auto"/>
      </w:divBdr>
    </w:div>
    <w:div w:id="1756784712">
      <w:bodyDiv w:val="1"/>
      <w:marLeft w:val="0"/>
      <w:marRight w:val="0"/>
      <w:marTop w:val="0"/>
      <w:marBottom w:val="0"/>
      <w:divBdr>
        <w:top w:val="none" w:sz="0" w:space="0" w:color="auto"/>
        <w:left w:val="none" w:sz="0" w:space="0" w:color="auto"/>
        <w:bottom w:val="none" w:sz="0" w:space="0" w:color="auto"/>
        <w:right w:val="none" w:sz="0" w:space="0" w:color="auto"/>
      </w:divBdr>
    </w:div>
    <w:div w:id="1766077246">
      <w:bodyDiv w:val="1"/>
      <w:marLeft w:val="0"/>
      <w:marRight w:val="0"/>
      <w:marTop w:val="0"/>
      <w:marBottom w:val="0"/>
      <w:divBdr>
        <w:top w:val="none" w:sz="0" w:space="0" w:color="auto"/>
        <w:left w:val="none" w:sz="0" w:space="0" w:color="auto"/>
        <w:bottom w:val="none" w:sz="0" w:space="0" w:color="auto"/>
        <w:right w:val="none" w:sz="0" w:space="0" w:color="auto"/>
      </w:divBdr>
    </w:div>
    <w:div w:id="1773282871">
      <w:bodyDiv w:val="1"/>
      <w:marLeft w:val="0"/>
      <w:marRight w:val="0"/>
      <w:marTop w:val="0"/>
      <w:marBottom w:val="0"/>
      <w:divBdr>
        <w:top w:val="none" w:sz="0" w:space="0" w:color="auto"/>
        <w:left w:val="none" w:sz="0" w:space="0" w:color="auto"/>
        <w:bottom w:val="none" w:sz="0" w:space="0" w:color="auto"/>
        <w:right w:val="none" w:sz="0" w:space="0" w:color="auto"/>
      </w:divBdr>
    </w:div>
    <w:div w:id="1794787384">
      <w:bodyDiv w:val="1"/>
      <w:marLeft w:val="0"/>
      <w:marRight w:val="0"/>
      <w:marTop w:val="0"/>
      <w:marBottom w:val="0"/>
      <w:divBdr>
        <w:top w:val="none" w:sz="0" w:space="0" w:color="auto"/>
        <w:left w:val="none" w:sz="0" w:space="0" w:color="auto"/>
        <w:bottom w:val="none" w:sz="0" w:space="0" w:color="auto"/>
        <w:right w:val="none" w:sz="0" w:space="0" w:color="auto"/>
      </w:divBdr>
    </w:div>
    <w:div w:id="1796363935">
      <w:bodyDiv w:val="1"/>
      <w:marLeft w:val="0"/>
      <w:marRight w:val="0"/>
      <w:marTop w:val="0"/>
      <w:marBottom w:val="0"/>
      <w:divBdr>
        <w:top w:val="none" w:sz="0" w:space="0" w:color="auto"/>
        <w:left w:val="none" w:sz="0" w:space="0" w:color="auto"/>
        <w:bottom w:val="none" w:sz="0" w:space="0" w:color="auto"/>
        <w:right w:val="none" w:sz="0" w:space="0" w:color="auto"/>
      </w:divBdr>
    </w:div>
    <w:div w:id="1837765702">
      <w:bodyDiv w:val="1"/>
      <w:marLeft w:val="0"/>
      <w:marRight w:val="0"/>
      <w:marTop w:val="0"/>
      <w:marBottom w:val="0"/>
      <w:divBdr>
        <w:top w:val="none" w:sz="0" w:space="0" w:color="auto"/>
        <w:left w:val="none" w:sz="0" w:space="0" w:color="auto"/>
        <w:bottom w:val="none" w:sz="0" w:space="0" w:color="auto"/>
        <w:right w:val="none" w:sz="0" w:space="0" w:color="auto"/>
      </w:divBdr>
    </w:div>
    <w:div w:id="1888294366">
      <w:bodyDiv w:val="1"/>
      <w:marLeft w:val="0"/>
      <w:marRight w:val="0"/>
      <w:marTop w:val="0"/>
      <w:marBottom w:val="0"/>
      <w:divBdr>
        <w:top w:val="none" w:sz="0" w:space="0" w:color="auto"/>
        <w:left w:val="none" w:sz="0" w:space="0" w:color="auto"/>
        <w:bottom w:val="none" w:sz="0" w:space="0" w:color="auto"/>
        <w:right w:val="none" w:sz="0" w:space="0" w:color="auto"/>
      </w:divBdr>
    </w:div>
    <w:div w:id="1967739948">
      <w:bodyDiv w:val="1"/>
      <w:marLeft w:val="0"/>
      <w:marRight w:val="0"/>
      <w:marTop w:val="0"/>
      <w:marBottom w:val="0"/>
      <w:divBdr>
        <w:top w:val="none" w:sz="0" w:space="0" w:color="auto"/>
        <w:left w:val="none" w:sz="0" w:space="0" w:color="auto"/>
        <w:bottom w:val="none" w:sz="0" w:space="0" w:color="auto"/>
        <w:right w:val="none" w:sz="0" w:space="0" w:color="auto"/>
      </w:divBdr>
    </w:div>
    <w:div w:id="1978105804">
      <w:bodyDiv w:val="1"/>
      <w:marLeft w:val="0"/>
      <w:marRight w:val="0"/>
      <w:marTop w:val="0"/>
      <w:marBottom w:val="0"/>
      <w:divBdr>
        <w:top w:val="none" w:sz="0" w:space="0" w:color="auto"/>
        <w:left w:val="none" w:sz="0" w:space="0" w:color="auto"/>
        <w:bottom w:val="none" w:sz="0" w:space="0" w:color="auto"/>
        <w:right w:val="none" w:sz="0" w:space="0" w:color="auto"/>
      </w:divBdr>
    </w:div>
    <w:div w:id="20762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 Custom">
      <a:dk1>
        <a:srgbClr val="272727"/>
      </a:dk1>
      <a:lt1>
        <a:srgbClr val="FFFFFF"/>
      </a:lt1>
      <a:dk2>
        <a:srgbClr val="272727"/>
      </a:dk2>
      <a:lt2>
        <a:srgbClr val="CCCCCC"/>
      </a:lt2>
      <a:accent1>
        <a:srgbClr val="175E95"/>
      </a:accent1>
      <a:accent2>
        <a:srgbClr val="1F8FC1"/>
      </a:accent2>
      <a:accent3>
        <a:srgbClr val="69ACC7"/>
      </a:accent3>
      <a:accent4>
        <a:srgbClr val="95C6DF"/>
      </a:accent4>
      <a:accent5>
        <a:srgbClr val="DFA536"/>
      </a:accent5>
      <a:accent6>
        <a:srgbClr val="E07423"/>
      </a:accent6>
      <a:hlink>
        <a:srgbClr val="1F37B1"/>
      </a:hlink>
      <a:folHlink>
        <a:srgbClr val="1542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C38F59EE9A634286BA8691B18D1796" ma:contentTypeVersion="13" ma:contentTypeDescription="Create a new document." ma:contentTypeScope="" ma:versionID="727c036d7bc32b1e51d820446ab61b71">
  <xsd:schema xmlns:xsd="http://www.w3.org/2001/XMLSchema" xmlns:xs="http://www.w3.org/2001/XMLSchema" xmlns:p="http://schemas.microsoft.com/office/2006/metadata/properties" xmlns:ns3="19929a56-2e7e-441b-97ae-0acdcf76fc27" xmlns:ns4="8f95687c-7f2e-4dbc-baff-1eacb9adf4eb" targetNamespace="http://schemas.microsoft.com/office/2006/metadata/properties" ma:root="true" ma:fieldsID="755ffef407047ac123d369caa1a607af" ns3:_="" ns4:_="">
    <xsd:import namespace="19929a56-2e7e-441b-97ae-0acdcf76fc27"/>
    <xsd:import namespace="8f95687c-7f2e-4dbc-baff-1eacb9adf4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29a56-2e7e-441b-97ae-0acdcf76f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5687c-7f2e-4dbc-baff-1eacb9adf4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C76E4-E99F-41AA-AE5D-189BDDEE09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8E2ED9-C783-468E-AD28-84D5ADA824E7}">
  <ds:schemaRefs>
    <ds:schemaRef ds:uri="http://schemas.openxmlformats.org/officeDocument/2006/bibliography"/>
  </ds:schemaRefs>
</ds:datastoreItem>
</file>

<file path=customXml/itemProps3.xml><?xml version="1.0" encoding="utf-8"?>
<ds:datastoreItem xmlns:ds="http://schemas.openxmlformats.org/officeDocument/2006/customXml" ds:itemID="{9B60679A-80A4-43A8-8236-46EB27AE8D55}">
  <ds:schemaRefs>
    <ds:schemaRef ds:uri="http://schemas.microsoft.com/sharepoint/v3/contenttype/forms"/>
  </ds:schemaRefs>
</ds:datastoreItem>
</file>

<file path=customXml/itemProps4.xml><?xml version="1.0" encoding="utf-8"?>
<ds:datastoreItem xmlns:ds="http://schemas.openxmlformats.org/officeDocument/2006/customXml" ds:itemID="{2F15EE56-2062-4364-BCBB-3B410A841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29a56-2e7e-441b-97ae-0acdcf76fc27"/>
    <ds:schemaRef ds:uri="8f95687c-7f2e-4dbc-baff-1eacb9adf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863</Words>
  <Characters>4344</Characters>
  <Application>Microsoft Office Word</Application>
  <DocSecurity>0</DocSecurity>
  <Lines>117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Ernst, Patti (AssetMark)</cp:lastModifiedBy>
  <cp:revision>4</cp:revision>
  <cp:lastPrinted>2018-06-28T23:05:00Z</cp:lastPrinted>
  <dcterms:created xsi:type="dcterms:W3CDTF">2022-10-12T14:22:00Z</dcterms:created>
  <dcterms:modified xsi:type="dcterms:W3CDTF">2022-10-12T14:28:00Z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0x01010024C38F59EE9A634286BA8691B18D1796</vt:lpwstr>
  </property>
  <property fmtid="{D5CDD505-2E9C-101B-9397-08002B2CF9AE}" pid="3" name="GrammarlyDocumentId">
    <vt:lpwstr>76d68c296621d977c93a3e555347c6ccd5184ab8e7132bed14d920afb6d77bb8</vt:lpwstr>
  </property>
</Properties>
</file>