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53632"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3962AC07" w14:textId="77777777" w:rsidR="00F647BF" w:rsidRPr="00FB2425" w:rsidRDefault="00F647BF" w:rsidP="00F647BF">
      <w:pPr>
        <w:spacing w:after="0"/>
        <w:ind w:left="1440" w:right="-360"/>
        <w:rPr>
          <w:rFonts w:ascii="Arial" w:hAnsi="Arial" w:cs="Arial"/>
          <w:b/>
          <w:color w:val="037EBB"/>
          <w:szCs w:val="20"/>
        </w:rPr>
      </w:pPr>
      <w:r>
        <w:rPr>
          <w:noProof/>
        </w:rPr>
        <w:drawing>
          <wp:anchor distT="0" distB="0" distL="114300" distR="114300" simplePos="0" relativeHeight="251666944" behindDoc="0" locked="0" layoutInCell="1" allowOverlap="1" wp14:anchorId="21229DFF" wp14:editId="6C7ED966">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65920" behindDoc="0" locked="0" layoutInCell="1" allowOverlap="1" wp14:anchorId="43E348DB" wp14:editId="016EE589">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96E6B4D" w14:textId="77777777" w:rsidR="00F647BF" w:rsidRPr="002815AB" w:rsidRDefault="00F647BF" w:rsidP="00F647BF">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3C172BE2" w14:textId="77777777" w:rsidR="00F647BF" w:rsidRPr="00525FA1" w:rsidRDefault="00F647BF" w:rsidP="005760DF">
      <w:pPr>
        <w:spacing w:after="0"/>
        <w:ind w:left="1440" w:right="-360"/>
        <w:rPr>
          <w:rFonts w:ascii="Arial" w:hAnsi="Arial" w:cs="Arial"/>
          <w:b/>
          <w:color w:val="3B3838" w:themeColor="background2" w:themeShade="40"/>
          <w:sz w:val="20"/>
          <w:szCs w:val="20"/>
        </w:rPr>
      </w:pPr>
    </w:p>
    <w:p w14:paraId="31A6FA57" w14:textId="2EBD042C" w:rsidR="005760DF" w:rsidRDefault="00542AE2" w:rsidP="005760D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In October, the developed </w:t>
      </w:r>
      <w:r w:rsidR="00900B67">
        <w:rPr>
          <w:rFonts w:ascii="Arial" w:hAnsi="Arial" w:cs="Arial"/>
          <w:color w:val="3B3838" w:themeColor="background2" w:themeShade="40"/>
          <w:sz w:val="20"/>
          <w:szCs w:val="20"/>
        </w:rPr>
        <w:t xml:space="preserve">market </w:t>
      </w:r>
      <w:r w:rsidR="00896F28">
        <w:rPr>
          <w:rFonts w:ascii="Arial" w:hAnsi="Arial" w:cs="Arial"/>
          <w:color w:val="3B3838" w:themeColor="background2" w:themeShade="40"/>
          <w:sz w:val="20"/>
          <w:szCs w:val="20"/>
        </w:rPr>
        <w:t>e</w:t>
      </w:r>
      <w:r w:rsidR="008148BF">
        <w:rPr>
          <w:rFonts w:ascii="Arial" w:hAnsi="Arial" w:cs="Arial"/>
          <w:color w:val="3B3838" w:themeColor="background2" w:themeShade="40"/>
          <w:sz w:val="20"/>
          <w:szCs w:val="20"/>
        </w:rPr>
        <w:t>quit</w:t>
      </w:r>
      <w:r w:rsidR="00900B67">
        <w:rPr>
          <w:rFonts w:ascii="Arial" w:hAnsi="Arial" w:cs="Arial"/>
          <w:color w:val="3B3838" w:themeColor="background2" w:themeShade="40"/>
          <w:sz w:val="20"/>
          <w:szCs w:val="20"/>
        </w:rPr>
        <w:t>ies</w:t>
      </w:r>
      <w:r w:rsidR="008148BF">
        <w:rPr>
          <w:rFonts w:ascii="Arial" w:hAnsi="Arial" w:cs="Arial"/>
          <w:color w:val="3B3838" w:themeColor="background2" w:themeShade="40"/>
          <w:sz w:val="20"/>
          <w:szCs w:val="20"/>
        </w:rPr>
        <w:t xml:space="preserve"> market saw its first positive</w:t>
      </w:r>
      <w:r w:rsidR="00900B67">
        <w:rPr>
          <w:rFonts w:ascii="Arial" w:hAnsi="Arial" w:cs="Arial"/>
          <w:color w:val="3B3838" w:themeColor="background2" w:themeShade="40"/>
          <w:sz w:val="20"/>
          <w:szCs w:val="20"/>
        </w:rPr>
        <w:t xml:space="preserve"> monthly</w:t>
      </w:r>
      <w:r w:rsidR="008148BF">
        <w:rPr>
          <w:rFonts w:ascii="Arial" w:hAnsi="Arial" w:cs="Arial"/>
          <w:color w:val="3B3838" w:themeColor="background2" w:themeShade="40"/>
          <w:sz w:val="20"/>
          <w:szCs w:val="20"/>
        </w:rPr>
        <w:t xml:space="preserve"> return</w:t>
      </w:r>
      <w:r w:rsidR="00436070">
        <w:rPr>
          <w:rFonts w:ascii="Arial" w:hAnsi="Arial" w:cs="Arial"/>
          <w:color w:val="3B3838" w:themeColor="background2" w:themeShade="40"/>
          <w:sz w:val="20"/>
          <w:szCs w:val="20"/>
        </w:rPr>
        <w:t xml:space="preserve"> </w:t>
      </w:r>
      <w:r w:rsidR="008148BF">
        <w:rPr>
          <w:rFonts w:ascii="Arial" w:hAnsi="Arial" w:cs="Arial"/>
          <w:color w:val="3B3838" w:themeColor="background2" w:themeShade="40"/>
          <w:sz w:val="20"/>
          <w:szCs w:val="20"/>
        </w:rPr>
        <w:t>since July</w:t>
      </w:r>
      <w:r w:rsidR="006C1464">
        <w:rPr>
          <w:rFonts w:ascii="Arial" w:hAnsi="Arial" w:cs="Arial"/>
          <w:color w:val="3B3838" w:themeColor="background2" w:themeShade="40"/>
          <w:sz w:val="20"/>
          <w:szCs w:val="20"/>
        </w:rPr>
        <w:t>.</w:t>
      </w:r>
      <w:r w:rsidR="00900B67">
        <w:rPr>
          <w:rFonts w:ascii="Arial" w:hAnsi="Arial" w:cs="Arial"/>
          <w:color w:val="3B3838" w:themeColor="background2" w:themeShade="40"/>
          <w:sz w:val="20"/>
          <w:szCs w:val="20"/>
        </w:rPr>
        <w:t xml:space="preserve"> The rally </w:t>
      </w:r>
      <w:r w:rsidR="00896F28">
        <w:rPr>
          <w:rFonts w:ascii="Arial" w:hAnsi="Arial" w:cs="Arial"/>
          <w:color w:val="3B3838" w:themeColor="background2" w:themeShade="40"/>
          <w:sz w:val="20"/>
          <w:szCs w:val="20"/>
        </w:rPr>
        <w:t>came amid mixed earnings from the tech giants that dominate US equity market index performance and a stronger</w:t>
      </w:r>
      <w:r w:rsidR="00C37D1C">
        <w:rPr>
          <w:rFonts w:ascii="Arial" w:hAnsi="Arial" w:cs="Arial"/>
          <w:color w:val="3B3838" w:themeColor="background2" w:themeShade="40"/>
          <w:sz w:val="20"/>
          <w:szCs w:val="20"/>
        </w:rPr>
        <w:t>-than-</w:t>
      </w:r>
      <w:r w:rsidR="00896F28">
        <w:rPr>
          <w:rFonts w:ascii="Arial" w:hAnsi="Arial" w:cs="Arial"/>
          <w:color w:val="3B3838" w:themeColor="background2" w:themeShade="40"/>
          <w:sz w:val="20"/>
          <w:szCs w:val="20"/>
        </w:rPr>
        <w:t xml:space="preserve">expected initial estimate of </w:t>
      </w:r>
      <w:r w:rsidR="00C37D1C">
        <w:rPr>
          <w:rFonts w:ascii="Arial" w:hAnsi="Arial" w:cs="Arial"/>
          <w:color w:val="3B3838" w:themeColor="background2" w:themeShade="40"/>
          <w:sz w:val="20"/>
          <w:szCs w:val="20"/>
        </w:rPr>
        <w:t>third-</w:t>
      </w:r>
      <w:r w:rsidR="008415E0">
        <w:rPr>
          <w:rFonts w:ascii="Arial" w:hAnsi="Arial" w:cs="Arial"/>
          <w:color w:val="3B3838" w:themeColor="background2" w:themeShade="40"/>
          <w:sz w:val="20"/>
          <w:szCs w:val="20"/>
        </w:rPr>
        <w:t>quarter economic growth (GDP)</w:t>
      </w:r>
      <w:r w:rsidR="00896F28">
        <w:rPr>
          <w:rFonts w:ascii="Arial" w:hAnsi="Arial" w:cs="Arial"/>
          <w:color w:val="3B3838" w:themeColor="background2" w:themeShade="40"/>
          <w:sz w:val="20"/>
          <w:szCs w:val="20"/>
        </w:rPr>
        <w:t>, which rose 2.6% after two prior quarters of contraction.</w:t>
      </w:r>
      <w:r w:rsidR="006C1464">
        <w:rPr>
          <w:rFonts w:ascii="Arial" w:hAnsi="Arial" w:cs="Arial"/>
          <w:color w:val="3B3838" w:themeColor="background2" w:themeShade="40"/>
          <w:sz w:val="20"/>
          <w:szCs w:val="20"/>
        </w:rPr>
        <w:t xml:space="preserve"> </w:t>
      </w:r>
      <w:r w:rsidR="00A15EC3">
        <w:rPr>
          <w:rFonts w:ascii="Arial" w:hAnsi="Arial" w:cs="Arial"/>
          <w:color w:val="3B3838" w:themeColor="background2" w:themeShade="40"/>
          <w:sz w:val="20"/>
          <w:szCs w:val="20"/>
        </w:rPr>
        <w:t xml:space="preserve">US </w:t>
      </w:r>
      <w:r w:rsidR="00B07C99">
        <w:rPr>
          <w:rFonts w:ascii="Arial" w:hAnsi="Arial" w:cs="Arial"/>
          <w:color w:val="3B3838" w:themeColor="background2" w:themeShade="40"/>
          <w:sz w:val="20"/>
          <w:szCs w:val="20"/>
        </w:rPr>
        <w:t>equities led the way, returning 8.1%, followed by international developed equities returning 5.4%. Emerging markets declined 3.1%</w:t>
      </w:r>
      <w:r w:rsidR="00436070">
        <w:rPr>
          <w:rFonts w:ascii="Arial" w:hAnsi="Arial" w:cs="Arial"/>
          <w:color w:val="3B3838" w:themeColor="background2" w:themeShade="40"/>
          <w:sz w:val="20"/>
          <w:szCs w:val="20"/>
        </w:rPr>
        <w:t>,</w:t>
      </w:r>
      <w:r w:rsidR="00023DD2">
        <w:rPr>
          <w:rFonts w:ascii="Arial" w:hAnsi="Arial" w:cs="Arial"/>
          <w:color w:val="3B3838" w:themeColor="background2" w:themeShade="40"/>
          <w:sz w:val="20"/>
          <w:szCs w:val="20"/>
        </w:rPr>
        <w:t xml:space="preserve"> </w:t>
      </w:r>
      <w:r w:rsidR="00B07C99">
        <w:rPr>
          <w:rFonts w:ascii="Arial" w:hAnsi="Arial" w:cs="Arial"/>
          <w:color w:val="3B3838" w:themeColor="background2" w:themeShade="40"/>
          <w:sz w:val="20"/>
          <w:szCs w:val="20"/>
        </w:rPr>
        <w:t xml:space="preserve">with China </w:t>
      </w:r>
      <w:r w:rsidR="0096208C">
        <w:rPr>
          <w:rFonts w:ascii="Arial" w:hAnsi="Arial" w:cs="Arial"/>
          <w:color w:val="3B3838" w:themeColor="background2" w:themeShade="40"/>
          <w:sz w:val="20"/>
          <w:szCs w:val="20"/>
        </w:rPr>
        <w:t>falling 16.8</w:t>
      </w:r>
      <w:r w:rsidR="00A15EC3">
        <w:rPr>
          <w:rFonts w:ascii="Arial" w:hAnsi="Arial" w:cs="Arial"/>
          <w:color w:val="3B3838" w:themeColor="background2" w:themeShade="40"/>
          <w:sz w:val="20"/>
          <w:szCs w:val="20"/>
        </w:rPr>
        <w:t>%</w:t>
      </w:r>
      <w:r w:rsidR="00DB23EC">
        <w:rPr>
          <w:rFonts w:ascii="Arial" w:hAnsi="Arial" w:cs="Arial"/>
          <w:color w:val="3B3838" w:themeColor="background2" w:themeShade="40"/>
          <w:sz w:val="20"/>
          <w:szCs w:val="20"/>
        </w:rPr>
        <w:t xml:space="preserve">. </w:t>
      </w:r>
      <w:r w:rsidR="00023DD2">
        <w:rPr>
          <w:rFonts w:ascii="Arial" w:hAnsi="Arial" w:cs="Arial"/>
          <w:color w:val="3B3838" w:themeColor="background2" w:themeShade="40"/>
          <w:sz w:val="20"/>
          <w:szCs w:val="20"/>
        </w:rPr>
        <w:t>China</w:t>
      </w:r>
      <w:r w:rsidR="00C37D1C">
        <w:rPr>
          <w:rFonts w:ascii="Arial" w:hAnsi="Arial" w:cs="Arial"/>
          <w:color w:val="3B3838" w:themeColor="background2" w:themeShade="40"/>
          <w:sz w:val="20"/>
          <w:szCs w:val="20"/>
        </w:rPr>
        <w:t>'</w:t>
      </w:r>
      <w:r w:rsidR="00023DD2">
        <w:rPr>
          <w:rFonts w:ascii="Arial" w:hAnsi="Arial" w:cs="Arial"/>
          <w:color w:val="3B3838" w:themeColor="background2" w:themeShade="40"/>
          <w:sz w:val="20"/>
          <w:szCs w:val="20"/>
        </w:rPr>
        <w:t xml:space="preserve">s losses stemmed from changes in </w:t>
      </w:r>
      <w:r w:rsidR="00DB23EC">
        <w:rPr>
          <w:rFonts w:ascii="Arial" w:hAnsi="Arial" w:cs="Arial"/>
          <w:color w:val="3B3838" w:themeColor="background2" w:themeShade="40"/>
          <w:sz w:val="20"/>
          <w:szCs w:val="20"/>
        </w:rPr>
        <w:t xml:space="preserve">political </w:t>
      </w:r>
      <w:r w:rsidR="00023DD2">
        <w:rPr>
          <w:rFonts w:ascii="Arial" w:hAnsi="Arial" w:cs="Arial"/>
          <w:color w:val="3B3838" w:themeColor="background2" w:themeShade="40"/>
          <w:sz w:val="20"/>
          <w:szCs w:val="20"/>
        </w:rPr>
        <w:t>party leadership</w:t>
      </w:r>
      <w:r w:rsidR="00DB23EC">
        <w:rPr>
          <w:rFonts w:ascii="Arial" w:hAnsi="Arial" w:cs="Arial"/>
          <w:color w:val="3B3838" w:themeColor="background2" w:themeShade="40"/>
          <w:sz w:val="20"/>
          <w:szCs w:val="20"/>
        </w:rPr>
        <w:t xml:space="preserve">, </w:t>
      </w:r>
      <w:r w:rsidR="008415E0">
        <w:rPr>
          <w:rFonts w:ascii="Arial" w:hAnsi="Arial" w:cs="Arial"/>
          <w:color w:val="3B3838" w:themeColor="background2" w:themeShade="40"/>
          <w:sz w:val="20"/>
          <w:szCs w:val="20"/>
        </w:rPr>
        <w:t>hitting internet companies especially hard</w:t>
      </w:r>
      <w:r w:rsidR="00436070">
        <w:rPr>
          <w:rFonts w:ascii="Arial" w:hAnsi="Arial" w:cs="Arial"/>
          <w:color w:val="3B3838" w:themeColor="background2" w:themeShade="40"/>
          <w:sz w:val="20"/>
          <w:szCs w:val="20"/>
        </w:rPr>
        <w:t>.</w:t>
      </w:r>
      <w:r w:rsidR="00023DD2">
        <w:rPr>
          <w:rFonts w:ascii="Arial" w:hAnsi="Arial" w:cs="Arial"/>
          <w:color w:val="3B3838" w:themeColor="background2" w:themeShade="40"/>
          <w:sz w:val="20"/>
          <w:szCs w:val="20"/>
        </w:rPr>
        <w:t xml:space="preserve"> </w:t>
      </w:r>
    </w:p>
    <w:p w14:paraId="113786DE" w14:textId="77777777" w:rsidR="005760DF" w:rsidRDefault="005760DF" w:rsidP="005760DF">
      <w:pPr>
        <w:spacing w:after="0" w:line="240" w:lineRule="auto"/>
        <w:ind w:left="1440" w:right="-360"/>
        <w:rPr>
          <w:rFonts w:ascii="Arial" w:hAnsi="Arial" w:cs="Arial"/>
          <w:color w:val="3B3838" w:themeColor="background2" w:themeShade="40"/>
          <w:sz w:val="20"/>
          <w:szCs w:val="20"/>
        </w:rPr>
      </w:pPr>
    </w:p>
    <w:p w14:paraId="2A9D6ACD" w14:textId="4A35BFA0" w:rsidR="005F0F22" w:rsidRDefault="005F0F22" w:rsidP="005760D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All sectors in the S&amp;P 500 saw </w:t>
      </w:r>
      <w:r w:rsidR="00541453">
        <w:rPr>
          <w:rFonts w:ascii="Arial" w:hAnsi="Arial" w:cs="Arial"/>
          <w:color w:val="3B3838" w:themeColor="background2" w:themeShade="40"/>
          <w:sz w:val="20"/>
          <w:szCs w:val="20"/>
        </w:rPr>
        <w:t>positive</w:t>
      </w:r>
      <w:r>
        <w:rPr>
          <w:rFonts w:ascii="Arial" w:hAnsi="Arial" w:cs="Arial"/>
          <w:color w:val="3B3838" w:themeColor="background2" w:themeShade="40"/>
          <w:sz w:val="20"/>
          <w:szCs w:val="20"/>
        </w:rPr>
        <w:t xml:space="preserve"> performance for the month</w:t>
      </w:r>
      <w:r w:rsidR="00541453">
        <w:rPr>
          <w:rFonts w:ascii="Arial" w:hAnsi="Arial" w:cs="Arial"/>
          <w:color w:val="3B3838" w:themeColor="background2" w:themeShade="40"/>
          <w:sz w:val="20"/>
          <w:szCs w:val="20"/>
        </w:rPr>
        <w:t xml:space="preserve">. </w:t>
      </w:r>
      <w:r w:rsidR="00BB3397">
        <w:rPr>
          <w:rFonts w:ascii="Arial" w:hAnsi="Arial" w:cs="Arial"/>
          <w:color w:val="3B3838" w:themeColor="background2" w:themeShade="40"/>
          <w:sz w:val="20"/>
          <w:szCs w:val="20"/>
        </w:rPr>
        <w:t xml:space="preserve">After a difficult September, Energy </w:t>
      </w:r>
      <w:r w:rsidR="00436070">
        <w:rPr>
          <w:rFonts w:ascii="Arial" w:hAnsi="Arial" w:cs="Arial"/>
          <w:color w:val="3B3838" w:themeColor="background2" w:themeShade="40"/>
          <w:sz w:val="20"/>
          <w:szCs w:val="20"/>
        </w:rPr>
        <w:t>surged</w:t>
      </w:r>
      <w:r w:rsidR="00BB3397">
        <w:rPr>
          <w:rFonts w:ascii="Arial" w:hAnsi="Arial" w:cs="Arial"/>
          <w:color w:val="3B3838" w:themeColor="background2" w:themeShade="40"/>
          <w:sz w:val="20"/>
          <w:szCs w:val="20"/>
        </w:rPr>
        <w:t xml:space="preserve"> 25% </w:t>
      </w:r>
      <w:r w:rsidR="00436070">
        <w:rPr>
          <w:rFonts w:ascii="Arial" w:hAnsi="Arial" w:cs="Arial"/>
          <w:color w:val="3B3838" w:themeColor="background2" w:themeShade="40"/>
          <w:sz w:val="20"/>
          <w:szCs w:val="20"/>
        </w:rPr>
        <w:t>in October</w:t>
      </w:r>
      <w:r w:rsidR="0000050D">
        <w:rPr>
          <w:rFonts w:ascii="Arial" w:hAnsi="Arial" w:cs="Arial"/>
          <w:color w:val="3B3838" w:themeColor="background2" w:themeShade="40"/>
          <w:sz w:val="20"/>
          <w:szCs w:val="20"/>
        </w:rPr>
        <w:t xml:space="preserve"> and </w:t>
      </w:r>
      <w:r w:rsidR="008415E0">
        <w:rPr>
          <w:rFonts w:ascii="Arial" w:hAnsi="Arial" w:cs="Arial"/>
          <w:color w:val="3B3838" w:themeColor="background2" w:themeShade="40"/>
          <w:sz w:val="20"/>
          <w:szCs w:val="20"/>
        </w:rPr>
        <w:t>remains</w:t>
      </w:r>
      <w:r w:rsidR="0000050D">
        <w:rPr>
          <w:rFonts w:ascii="Arial" w:hAnsi="Arial" w:cs="Arial"/>
          <w:color w:val="3B3838" w:themeColor="background2" w:themeShade="40"/>
          <w:sz w:val="20"/>
          <w:szCs w:val="20"/>
        </w:rPr>
        <w:t xml:space="preserve"> the only positive sector</w:t>
      </w:r>
      <w:r w:rsidR="00B061AD">
        <w:rPr>
          <w:rFonts w:ascii="Arial" w:hAnsi="Arial" w:cs="Arial"/>
          <w:color w:val="3B3838" w:themeColor="background2" w:themeShade="40"/>
          <w:sz w:val="20"/>
          <w:szCs w:val="20"/>
        </w:rPr>
        <w:t xml:space="preserve"> </w:t>
      </w:r>
      <w:r w:rsidR="000D138B">
        <w:rPr>
          <w:rFonts w:ascii="Arial" w:hAnsi="Arial" w:cs="Arial"/>
          <w:color w:val="3B3838" w:themeColor="background2" w:themeShade="40"/>
          <w:sz w:val="20"/>
          <w:szCs w:val="20"/>
        </w:rPr>
        <w:t>for the year</w:t>
      </w:r>
      <w:r w:rsidR="00C37D1C">
        <w:rPr>
          <w:rFonts w:ascii="Arial" w:hAnsi="Arial" w:cs="Arial"/>
          <w:color w:val="3B3838" w:themeColor="background2" w:themeShade="40"/>
          <w:sz w:val="20"/>
          <w:szCs w:val="20"/>
        </w:rPr>
        <w:t>,</w:t>
      </w:r>
      <w:r w:rsidR="0000050D">
        <w:rPr>
          <w:rFonts w:ascii="Arial" w:hAnsi="Arial" w:cs="Arial"/>
          <w:color w:val="3B3838" w:themeColor="background2" w:themeShade="40"/>
          <w:sz w:val="20"/>
          <w:szCs w:val="20"/>
        </w:rPr>
        <w:t xml:space="preserve"> with a 68.6% return.</w:t>
      </w:r>
      <w:r w:rsidR="00436070">
        <w:rPr>
          <w:rFonts w:ascii="Arial" w:hAnsi="Arial" w:cs="Arial"/>
          <w:color w:val="3B3838" w:themeColor="background2" w:themeShade="40"/>
          <w:sz w:val="20"/>
          <w:szCs w:val="20"/>
        </w:rPr>
        <w:t xml:space="preserve"> </w:t>
      </w:r>
      <w:r w:rsidR="0000050D">
        <w:rPr>
          <w:rFonts w:ascii="Arial" w:hAnsi="Arial" w:cs="Arial"/>
          <w:color w:val="3B3838" w:themeColor="background2" w:themeShade="40"/>
          <w:sz w:val="20"/>
          <w:szCs w:val="20"/>
        </w:rPr>
        <w:t>OPEC+</w:t>
      </w:r>
      <w:r w:rsidR="00C37D1C">
        <w:rPr>
          <w:rFonts w:ascii="Arial" w:hAnsi="Arial" w:cs="Arial"/>
          <w:color w:val="3B3838" w:themeColor="background2" w:themeShade="40"/>
          <w:sz w:val="20"/>
          <w:szCs w:val="20"/>
        </w:rPr>
        <w:t>'</w:t>
      </w:r>
      <w:r w:rsidR="0000050D">
        <w:rPr>
          <w:rFonts w:ascii="Arial" w:hAnsi="Arial" w:cs="Arial"/>
          <w:color w:val="3B3838" w:themeColor="background2" w:themeShade="40"/>
          <w:sz w:val="20"/>
          <w:szCs w:val="20"/>
        </w:rPr>
        <w:t xml:space="preserve">s decision to cut </w:t>
      </w:r>
      <w:r w:rsidR="000D0C50">
        <w:rPr>
          <w:rFonts w:ascii="Arial" w:hAnsi="Arial" w:cs="Arial"/>
          <w:color w:val="3B3838" w:themeColor="background2" w:themeShade="40"/>
          <w:sz w:val="20"/>
          <w:szCs w:val="20"/>
        </w:rPr>
        <w:t xml:space="preserve">oil </w:t>
      </w:r>
      <w:r w:rsidR="0000050D">
        <w:rPr>
          <w:rFonts w:ascii="Arial" w:hAnsi="Arial" w:cs="Arial"/>
          <w:color w:val="3B3838" w:themeColor="background2" w:themeShade="40"/>
          <w:sz w:val="20"/>
          <w:szCs w:val="20"/>
        </w:rPr>
        <w:t xml:space="preserve">production and the ongoing Russia-Ukraine war </w:t>
      </w:r>
      <w:r w:rsidR="000D0C50">
        <w:rPr>
          <w:rFonts w:ascii="Arial" w:hAnsi="Arial" w:cs="Arial"/>
          <w:color w:val="3B3838" w:themeColor="background2" w:themeShade="40"/>
          <w:sz w:val="20"/>
          <w:szCs w:val="20"/>
        </w:rPr>
        <w:t xml:space="preserve">continue to pressure </w:t>
      </w:r>
      <w:r w:rsidR="00C37D1C">
        <w:rPr>
          <w:rFonts w:ascii="Arial" w:hAnsi="Arial" w:cs="Arial"/>
          <w:color w:val="3B3838" w:themeColor="background2" w:themeShade="40"/>
          <w:sz w:val="20"/>
          <w:szCs w:val="20"/>
        </w:rPr>
        <w:t xml:space="preserve">the </w:t>
      </w:r>
      <w:r w:rsidR="000D0C50">
        <w:rPr>
          <w:rFonts w:ascii="Arial" w:hAnsi="Arial" w:cs="Arial"/>
          <w:color w:val="3B3838" w:themeColor="background2" w:themeShade="40"/>
          <w:sz w:val="20"/>
          <w:szCs w:val="20"/>
        </w:rPr>
        <w:t>global energy supply. Industrials and Financials followed Energy as the second</w:t>
      </w:r>
      <w:r w:rsidR="003C789F">
        <w:rPr>
          <w:rFonts w:ascii="Arial" w:hAnsi="Arial" w:cs="Arial"/>
          <w:color w:val="3B3838" w:themeColor="background2" w:themeShade="40"/>
          <w:sz w:val="20"/>
          <w:szCs w:val="20"/>
        </w:rPr>
        <w:t>-</w:t>
      </w:r>
      <w:r w:rsidR="000D0C50">
        <w:rPr>
          <w:rFonts w:ascii="Arial" w:hAnsi="Arial" w:cs="Arial"/>
          <w:color w:val="3B3838" w:themeColor="background2" w:themeShade="40"/>
          <w:sz w:val="20"/>
          <w:szCs w:val="20"/>
        </w:rPr>
        <w:t xml:space="preserve"> and third</w:t>
      </w:r>
      <w:r w:rsidR="003C789F">
        <w:rPr>
          <w:rFonts w:ascii="Arial" w:hAnsi="Arial" w:cs="Arial"/>
          <w:color w:val="3B3838" w:themeColor="background2" w:themeShade="40"/>
          <w:sz w:val="20"/>
          <w:szCs w:val="20"/>
        </w:rPr>
        <w:t>-</w:t>
      </w:r>
      <w:r w:rsidR="000D0C50">
        <w:rPr>
          <w:rFonts w:ascii="Arial" w:hAnsi="Arial" w:cs="Arial"/>
          <w:color w:val="3B3838" w:themeColor="background2" w:themeShade="40"/>
          <w:sz w:val="20"/>
          <w:szCs w:val="20"/>
        </w:rPr>
        <w:t>best performers</w:t>
      </w:r>
      <w:r w:rsidR="00C37D1C">
        <w:rPr>
          <w:rFonts w:ascii="Arial" w:hAnsi="Arial" w:cs="Arial"/>
          <w:color w:val="3B3838" w:themeColor="background2" w:themeShade="40"/>
          <w:sz w:val="20"/>
          <w:szCs w:val="20"/>
        </w:rPr>
        <w:t>,</w:t>
      </w:r>
      <w:r w:rsidR="000D0C50">
        <w:rPr>
          <w:rFonts w:ascii="Arial" w:hAnsi="Arial" w:cs="Arial"/>
          <w:color w:val="3B3838" w:themeColor="background2" w:themeShade="40"/>
          <w:sz w:val="20"/>
          <w:szCs w:val="20"/>
        </w:rPr>
        <w:t xml:space="preserve"> while Consumer Discretionary and Communication Services were the worst performers. For equity size and style, </w:t>
      </w:r>
      <w:r w:rsidR="00711087">
        <w:rPr>
          <w:rFonts w:ascii="Arial" w:hAnsi="Arial" w:cs="Arial"/>
          <w:color w:val="3B3838" w:themeColor="background2" w:themeShade="40"/>
          <w:sz w:val="20"/>
          <w:szCs w:val="20"/>
        </w:rPr>
        <w:t xml:space="preserve">October provided consistent themes with </w:t>
      </w:r>
      <w:r w:rsidR="000D0C50">
        <w:rPr>
          <w:rFonts w:ascii="Arial" w:hAnsi="Arial" w:cs="Arial"/>
          <w:color w:val="3B3838" w:themeColor="background2" w:themeShade="40"/>
          <w:sz w:val="20"/>
          <w:szCs w:val="20"/>
        </w:rPr>
        <w:t>small caps outperform</w:t>
      </w:r>
      <w:r w:rsidR="00711087">
        <w:rPr>
          <w:rFonts w:ascii="Arial" w:hAnsi="Arial" w:cs="Arial"/>
          <w:color w:val="3B3838" w:themeColor="background2" w:themeShade="40"/>
          <w:sz w:val="20"/>
          <w:szCs w:val="20"/>
        </w:rPr>
        <w:t>ing</w:t>
      </w:r>
      <w:r w:rsidR="000D0C50">
        <w:rPr>
          <w:rFonts w:ascii="Arial" w:hAnsi="Arial" w:cs="Arial"/>
          <w:color w:val="3B3838" w:themeColor="background2" w:themeShade="40"/>
          <w:sz w:val="20"/>
          <w:szCs w:val="20"/>
        </w:rPr>
        <w:t xml:space="preserve"> large and value</w:t>
      </w:r>
      <w:r w:rsidR="00EF73D9">
        <w:rPr>
          <w:rFonts w:ascii="Arial" w:hAnsi="Arial" w:cs="Arial"/>
          <w:color w:val="3B3838" w:themeColor="background2" w:themeShade="40"/>
          <w:sz w:val="20"/>
          <w:szCs w:val="20"/>
        </w:rPr>
        <w:t xml:space="preserve"> </w:t>
      </w:r>
      <w:r w:rsidR="00711087">
        <w:rPr>
          <w:rFonts w:ascii="Arial" w:hAnsi="Arial" w:cs="Arial"/>
          <w:color w:val="3B3838" w:themeColor="background2" w:themeShade="40"/>
          <w:sz w:val="20"/>
          <w:szCs w:val="20"/>
        </w:rPr>
        <w:t>stocks continuing</w:t>
      </w:r>
      <w:r w:rsidR="00EF73D9">
        <w:rPr>
          <w:rFonts w:ascii="Arial" w:hAnsi="Arial" w:cs="Arial"/>
          <w:color w:val="3B3838" w:themeColor="background2" w:themeShade="40"/>
          <w:sz w:val="20"/>
          <w:szCs w:val="20"/>
        </w:rPr>
        <w:t xml:space="preserve"> </w:t>
      </w:r>
      <w:r w:rsidR="00711087">
        <w:rPr>
          <w:rFonts w:ascii="Arial" w:hAnsi="Arial" w:cs="Arial"/>
          <w:color w:val="3B3838" w:themeColor="background2" w:themeShade="40"/>
          <w:sz w:val="20"/>
          <w:szCs w:val="20"/>
        </w:rPr>
        <w:t xml:space="preserve">their </w:t>
      </w:r>
      <w:r w:rsidR="00EF73D9">
        <w:rPr>
          <w:rFonts w:ascii="Arial" w:hAnsi="Arial" w:cs="Arial"/>
          <w:color w:val="3B3838" w:themeColor="background2" w:themeShade="40"/>
          <w:sz w:val="20"/>
          <w:szCs w:val="20"/>
        </w:rPr>
        <w:t xml:space="preserve">outperformance </w:t>
      </w:r>
      <w:proofErr w:type="gramStart"/>
      <w:r w:rsidR="00EF73D9">
        <w:rPr>
          <w:rFonts w:ascii="Arial" w:hAnsi="Arial" w:cs="Arial"/>
          <w:color w:val="3B3838" w:themeColor="background2" w:themeShade="40"/>
          <w:sz w:val="20"/>
          <w:szCs w:val="20"/>
        </w:rPr>
        <w:t>over growth</w:t>
      </w:r>
      <w:proofErr w:type="gramEnd"/>
      <w:r w:rsidR="00EF73D9">
        <w:rPr>
          <w:rFonts w:ascii="Arial" w:hAnsi="Arial" w:cs="Arial"/>
          <w:color w:val="3B3838" w:themeColor="background2" w:themeShade="40"/>
          <w:sz w:val="20"/>
          <w:szCs w:val="20"/>
        </w:rPr>
        <w:t>.</w:t>
      </w:r>
    </w:p>
    <w:p w14:paraId="17099612" w14:textId="65CEE570" w:rsidR="00C8357A" w:rsidRDefault="00C8357A" w:rsidP="005760DF">
      <w:pPr>
        <w:spacing w:after="0" w:line="240" w:lineRule="auto"/>
        <w:ind w:left="1440" w:right="-360"/>
        <w:rPr>
          <w:rFonts w:ascii="Arial" w:hAnsi="Arial" w:cs="Arial"/>
          <w:color w:val="3B3838" w:themeColor="background2" w:themeShade="40"/>
          <w:sz w:val="20"/>
          <w:szCs w:val="20"/>
        </w:rPr>
      </w:pPr>
    </w:p>
    <w:p w14:paraId="402B907E" w14:textId="0B6203BA" w:rsidR="00244DF1" w:rsidRDefault="00FD011F" w:rsidP="00244DF1">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Bond markets were mostly negative for the month </w:t>
      </w:r>
      <w:r w:rsidR="00E7228B">
        <w:rPr>
          <w:rFonts w:ascii="Arial" w:hAnsi="Arial" w:cs="Arial"/>
          <w:color w:val="3B3838" w:themeColor="background2" w:themeShade="40"/>
          <w:sz w:val="20"/>
          <w:szCs w:val="20"/>
        </w:rPr>
        <w:t xml:space="preserve">as central banks continued with interest rate hikes </w:t>
      </w:r>
      <w:r>
        <w:rPr>
          <w:rFonts w:ascii="Arial" w:hAnsi="Arial" w:cs="Arial"/>
          <w:color w:val="3B3838" w:themeColor="background2" w:themeShade="40"/>
          <w:sz w:val="20"/>
          <w:szCs w:val="20"/>
        </w:rPr>
        <w:t xml:space="preserve">with </w:t>
      </w:r>
      <w:r w:rsidR="00E7228B">
        <w:rPr>
          <w:rFonts w:ascii="Arial" w:hAnsi="Arial" w:cs="Arial"/>
          <w:color w:val="3B3838" w:themeColor="background2" w:themeShade="40"/>
          <w:sz w:val="20"/>
          <w:szCs w:val="20"/>
        </w:rPr>
        <w:t xml:space="preserve">two notable exceptions. </w:t>
      </w:r>
      <w:r>
        <w:rPr>
          <w:rFonts w:ascii="Arial" w:hAnsi="Arial" w:cs="Arial"/>
          <w:color w:val="3B3838" w:themeColor="background2" w:themeShade="40"/>
          <w:sz w:val="20"/>
          <w:szCs w:val="20"/>
        </w:rPr>
        <w:t xml:space="preserve">US </w:t>
      </w:r>
      <w:r w:rsidR="00C37D1C">
        <w:rPr>
          <w:rFonts w:ascii="Arial" w:hAnsi="Arial" w:cs="Arial"/>
          <w:color w:val="3B3838" w:themeColor="background2" w:themeShade="40"/>
          <w:sz w:val="20"/>
          <w:szCs w:val="20"/>
        </w:rPr>
        <w:t>high-</w:t>
      </w:r>
      <w:r>
        <w:rPr>
          <w:rFonts w:ascii="Arial" w:hAnsi="Arial" w:cs="Arial"/>
          <w:color w:val="3B3838" w:themeColor="background2" w:themeShade="40"/>
          <w:sz w:val="20"/>
          <w:szCs w:val="20"/>
        </w:rPr>
        <w:t xml:space="preserve">yield bonds </w:t>
      </w:r>
      <w:r w:rsidR="00E7228B">
        <w:rPr>
          <w:rFonts w:ascii="Arial" w:hAnsi="Arial" w:cs="Arial"/>
          <w:color w:val="3B3838" w:themeColor="background2" w:themeShade="40"/>
          <w:sz w:val="20"/>
          <w:szCs w:val="20"/>
        </w:rPr>
        <w:t>gained</w:t>
      </w:r>
      <w:r>
        <w:rPr>
          <w:rFonts w:ascii="Arial" w:hAnsi="Arial" w:cs="Arial"/>
          <w:color w:val="3B3838" w:themeColor="background2" w:themeShade="40"/>
          <w:sz w:val="20"/>
          <w:szCs w:val="20"/>
        </w:rPr>
        <w:t xml:space="preserve"> 2.6%</w:t>
      </w:r>
      <w:r w:rsidR="00C37D1C">
        <w:rPr>
          <w:rFonts w:ascii="Arial" w:hAnsi="Arial" w:cs="Arial"/>
          <w:color w:val="3B3838" w:themeColor="background2" w:themeShade="40"/>
          <w:sz w:val="20"/>
          <w:szCs w:val="20"/>
        </w:rPr>
        <w:t>,</w:t>
      </w:r>
      <w:r w:rsidR="00E7228B">
        <w:rPr>
          <w:rFonts w:ascii="Arial" w:hAnsi="Arial" w:cs="Arial"/>
          <w:color w:val="3B3838" w:themeColor="background2" w:themeShade="40"/>
          <w:sz w:val="20"/>
          <w:szCs w:val="20"/>
        </w:rPr>
        <w:t xml:space="preserve"> and </w:t>
      </w:r>
      <w:r w:rsidR="00C37D1C">
        <w:rPr>
          <w:rFonts w:ascii="Arial" w:hAnsi="Arial" w:cs="Arial"/>
          <w:color w:val="3B3838" w:themeColor="background2" w:themeShade="40"/>
          <w:sz w:val="20"/>
          <w:szCs w:val="20"/>
        </w:rPr>
        <w:t>inflation-</w:t>
      </w:r>
      <w:r w:rsidR="00E7228B">
        <w:rPr>
          <w:rFonts w:ascii="Arial" w:hAnsi="Arial" w:cs="Arial"/>
          <w:color w:val="3B3838" w:themeColor="background2" w:themeShade="40"/>
          <w:sz w:val="20"/>
          <w:szCs w:val="20"/>
        </w:rPr>
        <w:t>protected TIPS gained 1.2%</w:t>
      </w:r>
      <w:r>
        <w:rPr>
          <w:rFonts w:ascii="Arial" w:hAnsi="Arial" w:cs="Arial"/>
          <w:color w:val="3B3838" w:themeColor="background2" w:themeShade="40"/>
          <w:sz w:val="20"/>
          <w:szCs w:val="20"/>
        </w:rPr>
        <w:t>.</w:t>
      </w:r>
      <w:r w:rsidR="00FE16CA">
        <w:rPr>
          <w:rFonts w:ascii="Arial" w:hAnsi="Arial" w:cs="Arial"/>
          <w:color w:val="3B3838" w:themeColor="background2" w:themeShade="40"/>
          <w:sz w:val="20"/>
          <w:szCs w:val="20"/>
        </w:rPr>
        <w:t xml:space="preserve"> The US dollar </w:t>
      </w:r>
      <w:r w:rsidR="00436070">
        <w:rPr>
          <w:rFonts w:ascii="Arial" w:hAnsi="Arial" w:cs="Arial"/>
          <w:color w:val="3B3838" w:themeColor="background2" w:themeShade="40"/>
          <w:sz w:val="20"/>
          <w:szCs w:val="20"/>
        </w:rPr>
        <w:t xml:space="preserve">took a breather and </w:t>
      </w:r>
      <w:r w:rsidR="00FE16CA">
        <w:rPr>
          <w:rFonts w:ascii="Arial" w:hAnsi="Arial" w:cs="Arial"/>
          <w:color w:val="3B3838" w:themeColor="background2" w:themeShade="40"/>
          <w:sz w:val="20"/>
          <w:szCs w:val="20"/>
        </w:rPr>
        <w:t>weakened slightly in October,</w:t>
      </w:r>
      <w:r w:rsidR="00244DF1">
        <w:rPr>
          <w:rFonts w:ascii="Arial" w:hAnsi="Arial" w:cs="Arial"/>
          <w:color w:val="3B3838" w:themeColor="background2" w:themeShade="40"/>
          <w:sz w:val="20"/>
          <w:szCs w:val="20"/>
        </w:rPr>
        <w:t xml:space="preserve"> declining 0.4%,</w:t>
      </w:r>
      <w:r w:rsidR="00FE16CA">
        <w:rPr>
          <w:rFonts w:ascii="Arial" w:hAnsi="Arial" w:cs="Arial"/>
          <w:color w:val="3B3838" w:themeColor="background2" w:themeShade="40"/>
          <w:sz w:val="20"/>
          <w:szCs w:val="20"/>
        </w:rPr>
        <w:t xml:space="preserve"> but its </w:t>
      </w:r>
      <w:r w:rsidR="00B84864">
        <w:rPr>
          <w:rFonts w:ascii="Arial" w:hAnsi="Arial" w:cs="Arial"/>
          <w:color w:val="3B3838" w:themeColor="background2" w:themeShade="40"/>
          <w:sz w:val="20"/>
          <w:szCs w:val="20"/>
        </w:rPr>
        <w:t>year</w:t>
      </w:r>
      <w:r w:rsidR="00C37D1C">
        <w:rPr>
          <w:rFonts w:ascii="Arial" w:hAnsi="Arial" w:cs="Arial"/>
          <w:color w:val="3B3838" w:themeColor="background2" w:themeShade="40"/>
          <w:sz w:val="20"/>
          <w:szCs w:val="20"/>
        </w:rPr>
        <w:t>-to-date gains continue</w:t>
      </w:r>
      <w:r w:rsidR="00FE16CA">
        <w:rPr>
          <w:rFonts w:ascii="Arial" w:hAnsi="Arial" w:cs="Arial"/>
          <w:color w:val="3B3838" w:themeColor="background2" w:themeShade="40"/>
          <w:sz w:val="20"/>
          <w:szCs w:val="20"/>
        </w:rPr>
        <w:t xml:space="preserve"> to be a major headwind for</w:t>
      </w:r>
      <w:r w:rsidR="00436070">
        <w:rPr>
          <w:rFonts w:ascii="Arial" w:hAnsi="Arial" w:cs="Arial"/>
          <w:color w:val="3B3838" w:themeColor="background2" w:themeShade="40"/>
          <w:sz w:val="20"/>
          <w:szCs w:val="20"/>
        </w:rPr>
        <w:t xml:space="preserve"> international investments</w:t>
      </w:r>
      <w:r w:rsidR="00FE16CA">
        <w:rPr>
          <w:rFonts w:ascii="Arial" w:hAnsi="Arial" w:cs="Arial"/>
          <w:color w:val="3B3838" w:themeColor="background2" w:themeShade="40"/>
          <w:sz w:val="20"/>
          <w:szCs w:val="20"/>
        </w:rPr>
        <w:t>.</w:t>
      </w:r>
    </w:p>
    <w:p w14:paraId="240BB913" w14:textId="77777777" w:rsidR="00244DF1" w:rsidRDefault="00244DF1" w:rsidP="00244DF1">
      <w:pPr>
        <w:spacing w:after="0" w:line="240" w:lineRule="auto"/>
        <w:ind w:left="1440" w:right="-360"/>
        <w:rPr>
          <w:rFonts w:ascii="Arial" w:hAnsi="Arial" w:cs="Arial"/>
          <w:color w:val="3B3838" w:themeColor="background2" w:themeShade="40"/>
          <w:sz w:val="20"/>
          <w:szCs w:val="20"/>
        </w:rPr>
      </w:pPr>
    </w:p>
    <w:p w14:paraId="184899A2" w14:textId="214380E9" w:rsidR="00407842" w:rsidRDefault="00E31510" w:rsidP="00407842">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lastRenderedPageBreak/>
        <w:t xml:space="preserve">The Global 60/40 portfolio </w:t>
      </w:r>
      <w:r w:rsidR="00E7228B">
        <w:rPr>
          <w:rFonts w:ascii="Arial" w:hAnsi="Arial" w:cs="Arial"/>
          <w:color w:val="3B3838" w:themeColor="background2" w:themeShade="40"/>
          <w:sz w:val="20"/>
          <w:szCs w:val="20"/>
        </w:rPr>
        <w:t>gained</w:t>
      </w:r>
      <w:r>
        <w:rPr>
          <w:rFonts w:ascii="Arial" w:hAnsi="Arial" w:cs="Arial"/>
          <w:color w:val="3B3838" w:themeColor="background2" w:themeShade="40"/>
          <w:sz w:val="20"/>
          <w:szCs w:val="20"/>
        </w:rPr>
        <w:t xml:space="preserve"> 3.4%, falling squarely between global equities and bonds</w:t>
      </w:r>
      <w:r w:rsidR="00C37D1C">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unlike previous months where the balanced approach offered little relief. </w:t>
      </w:r>
      <w:r w:rsidR="00C37D1C">
        <w:rPr>
          <w:rFonts w:ascii="Arial" w:hAnsi="Arial" w:cs="Arial"/>
          <w:color w:val="3B3838" w:themeColor="background2" w:themeShade="40"/>
          <w:sz w:val="20"/>
          <w:szCs w:val="20"/>
        </w:rPr>
        <w:t xml:space="preserve">REITs </w:t>
      </w:r>
      <w:r>
        <w:rPr>
          <w:rFonts w:ascii="Arial" w:hAnsi="Arial" w:cs="Arial"/>
          <w:color w:val="3B3838" w:themeColor="background2" w:themeShade="40"/>
          <w:sz w:val="20"/>
          <w:szCs w:val="20"/>
        </w:rPr>
        <w:t>were positive but underperformed broader equitie</w:t>
      </w:r>
      <w:r w:rsidR="005760DF">
        <w:rPr>
          <w:rFonts w:ascii="Arial" w:hAnsi="Arial" w:cs="Arial"/>
          <w:color w:val="3B3838" w:themeColor="background2" w:themeShade="40"/>
          <w:sz w:val="20"/>
          <w:szCs w:val="20"/>
        </w:rPr>
        <w:t xml:space="preserve">s and are still the </w:t>
      </w:r>
      <w:proofErr w:type="gramStart"/>
      <w:r w:rsidR="005760DF">
        <w:rPr>
          <w:rFonts w:ascii="Arial" w:hAnsi="Arial" w:cs="Arial"/>
          <w:color w:val="3B3838" w:themeColor="background2" w:themeShade="40"/>
          <w:sz w:val="20"/>
          <w:szCs w:val="20"/>
        </w:rPr>
        <w:t>second</w:t>
      </w:r>
      <w:r w:rsidR="001A7B72">
        <w:rPr>
          <w:rFonts w:ascii="Arial" w:hAnsi="Arial" w:cs="Arial"/>
          <w:color w:val="3B3838" w:themeColor="background2" w:themeShade="40"/>
          <w:sz w:val="20"/>
          <w:szCs w:val="20"/>
        </w:rPr>
        <w:t>-</w:t>
      </w:r>
      <w:r w:rsidR="00C37D1C">
        <w:rPr>
          <w:rFonts w:ascii="Arial" w:hAnsi="Arial" w:cs="Arial"/>
          <w:color w:val="3B3838" w:themeColor="background2" w:themeShade="40"/>
          <w:sz w:val="20"/>
          <w:szCs w:val="20"/>
        </w:rPr>
        <w:t>worst</w:t>
      </w:r>
      <w:proofErr w:type="gramEnd"/>
      <w:r w:rsidR="00C37D1C">
        <w:rPr>
          <w:rFonts w:ascii="Arial" w:hAnsi="Arial" w:cs="Arial"/>
          <w:color w:val="3B3838" w:themeColor="background2" w:themeShade="40"/>
          <w:sz w:val="20"/>
          <w:szCs w:val="20"/>
        </w:rPr>
        <w:t>-</w:t>
      </w:r>
      <w:r w:rsidR="005760DF">
        <w:rPr>
          <w:rFonts w:ascii="Arial" w:hAnsi="Arial" w:cs="Arial"/>
          <w:color w:val="3B3838" w:themeColor="background2" w:themeShade="40"/>
          <w:sz w:val="20"/>
          <w:szCs w:val="20"/>
        </w:rPr>
        <w:t xml:space="preserve">performing asset class behind emerging market equities for the year. </w:t>
      </w:r>
      <w:r w:rsidR="00436070">
        <w:rPr>
          <w:rFonts w:ascii="Arial" w:hAnsi="Arial" w:cs="Arial"/>
          <w:color w:val="3B3838" w:themeColor="background2" w:themeShade="40"/>
          <w:sz w:val="20"/>
          <w:szCs w:val="20"/>
        </w:rPr>
        <w:t>Broad c</w:t>
      </w:r>
      <w:r w:rsidR="005760DF">
        <w:rPr>
          <w:rFonts w:ascii="Arial" w:hAnsi="Arial" w:cs="Arial"/>
          <w:color w:val="3B3838" w:themeColor="background2" w:themeShade="40"/>
          <w:sz w:val="20"/>
          <w:szCs w:val="20"/>
        </w:rPr>
        <w:t xml:space="preserve">ommodities </w:t>
      </w:r>
      <w:r w:rsidR="00436070">
        <w:rPr>
          <w:rFonts w:ascii="Arial" w:hAnsi="Arial" w:cs="Arial"/>
          <w:color w:val="3B3838" w:themeColor="background2" w:themeShade="40"/>
          <w:sz w:val="20"/>
          <w:szCs w:val="20"/>
        </w:rPr>
        <w:t>gained</w:t>
      </w:r>
      <w:r w:rsidR="00C37D1C">
        <w:rPr>
          <w:rFonts w:ascii="Arial" w:hAnsi="Arial" w:cs="Arial"/>
          <w:color w:val="3B3838" w:themeColor="background2" w:themeShade="40"/>
          <w:sz w:val="20"/>
          <w:szCs w:val="20"/>
        </w:rPr>
        <w:t>,</w:t>
      </w:r>
      <w:r w:rsidR="00436070">
        <w:rPr>
          <w:rFonts w:ascii="Arial" w:hAnsi="Arial" w:cs="Arial"/>
          <w:color w:val="3B3838" w:themeColor="background2" w:themeShade="40"/>
          <w:sz w:val="20"/>
          <w:szCs w:val="20"/>
        </w:rPr>
        <w:t xml:space="preserve"> helped by </w:t>
      </w:r>
      <w:r w:rsidR="00D27D82">
        <w:rPr>
          <w:rFonts w:ascii="Arial" w:hAnsi="Arial" w:cs="Arial"/>
          <w:color w:val="3B3838" w:themeColor="background2" w:themeShade="40"/>
          <w:sz w:val="20"/>
          <w:szCs w:val="20"/>
        </w:rPr>
        <w:t>e</w:t>
      </w:r>
      <w:r w:rsidR="00436070">
        <w:rPr>
          <w:rFonts w:ascii="Arial" w:hAnsi="Arial" w:cs="Arial"/>
          <w:color w:val="3B3838" w:themeColor="background2" w:themeShade="40"/>
          <w:sz w:val="20"/>
          <w:szCs w:val="20"/>
        </w:rPr>
        <w:t xml:space="preserve">nergy </w:t>
      </w:r>
      <w:r w:rsidR="00C37D1C">
        <w:rPr>
          <w:rFonts w:ascii="Arial" w:hAnsi="Arial" w:cs="Arial"/>
          <w:color w:val="3B3838" w:themeColor="background2" w:themeShade="40"/>
          <w:sz w:val="20"/>
          <w:szCs w:val="20"/>
        </w:rPr>
        <w:t xml:space="preserve">and </w:t>
      </w:r>
      <w:r w:rsidR="00436070">
        <w:rPr>
          <w:rFonts w:ascii="Arial" w:hAnsi="Arial" w:cs="Arial"/>
          <w:color w:val="3B3838" w:themeColor="background2" w:themeShade="40"/>
          <w:sz w:val="20"/>
          <w:szCs w:val="20"/>
        </w:rPr>
        <w:t>grains for the month</w:t>
      </w:r>
      <w:r w:rsidR="00AB570B">
        <w:rPr>
          <w:rFonts w:ascii="Arial" w:hAnsi="Arial" w:cs="Arial"/>
          <w:color w:val="3B3838" w:themeColor="background2" w:themeShade="40"/>
          <w:sz w:val="20"/>
          <w:szCs w:val="20"/>
        </w:rPr>
        <w:t>, and</w:t>
      </w:r>
      <w:r w:rsidR="00C37D1C">
        <w:rPr>
          <w:rFonts w:ascii="Arial" w:hAnsi="Arial" w:cs="Arial"/>
          <w:color w:val="3B3838" w:themeColor="background2" w:themeShade="40"/>
          <w:sz w:val="20"/>
          <w:szCs w:val="20"/>
        </w:rPr>
        <w:t xml:space="preserve"> remain</w:t>
      </w:r>
      <w:r w:rsidR="00436070">
        <w:rPr>
          <w:rFonts w:ascii="Arial" w:hAnsi="Arial" w:cs="Arial"/>
          <w:color w:val="3B3838" w:themeColor="background2" w:themeShade="40"/>
          <w:sz w:val="20"/>
          <w:szCs w:val="20"/>
        </w:rPr>
        <w:t xml:space="preserve"> one of the few positive investments for the year</w:t>
      </w:r>
      <w:r w:rsidR="00244DF1">
        <w:rPr>
          <w:rFonts w:ascii="Arial" w:hAnsi="Arial" w:cs="Arial"/>
          <w:color w:val="3B3838" w:themeColor="background2" w:themeShade="40"/>
          <w:sz w:val="20"/>
          <w:szCs w:val="20"/>
        </w:rPr>
        <w:t xml:space="preserve">. Gold </w:t>
      </w:r>
      <w:r w:rsidR="00E7228B">
        <w:rPr>
          <w:rFonts w:ascii="Arial" w:hAnsi="Arial" w:cs="Arial"/>
          <w:color w:val="3B3838" w:themeColor="background2" w:themeShade="40"/>
          <w:sz w:val="20"/>
          <w:szCs w:val="20"/>
        </w:rPr>
        <w:t>continued to struggle</w:t>
      </w:r>
      <w:r w:rsidR="00C37D1C">
        <w:rPr>
          <w:rFonts w:ascii="Arial" w:hAnsi="Arial" w:cs="Arial"/>
          <w:color w:val="3B3838" w:themeColor="background2" w:themeShade="40"/>
          <w:sz w:val="20"/>
          <w:szCs w:val="20"/>
        </w:rPr>
        <w:t xml:space="preserve"> and </w:t>
      </w:r>
      <w:r w:rsidR="009A6E47">
        <w:rPr>
          <w:rFonts w:ascii="Arial" w:hAnsi="Arial" w:cs="Arial"/>
          <w:color w:val="3B3838" w:themeColor="background2" w:themeShade="40"/>
          <w:sz w:val="20"/>
          <w:szCs w:val="20"/>
        </w:rPr>
        <w:t xml:space="preserve">fell </w:t>
      </w:r>
      <w:r w:rsidR="00C37D1C">
        <w:rPr>
          <w:rFonts w:ascii="Arial" w:hAnsi="Arial" w:cs="Arial"/>
          <w:color w:val="3B3838" w:themeColor="background2" w:themeShade="40"/>
          <w:sz w:val="20"/>
          <w:szCs w:val="20"/>
        </w:rPr>
        <w:t>1.6% for the month, remaining</w:t>
      </w:r>
      <w:r w:rsidR="00E7228B">
        <w:rPr>
          <w:rFonts w:ascii="Arial" w:hAnsi="Arial" w:cs="Arial"/>
          <w:color w:val="3B3838" w:themeColor="background2" w:themeShade="40"/>
          <w:sz w:val="20"/>
          <w:szCs w:val="20"/>
        </w:rPr>
        <w:t xml:space="preserve"> negative for the year despite ongoing inflation concerns</w:t>
      </w:r>
      <w:r w:rsidR="00244DF1">
        <w:rPr>
          <w:rFonts w:ascii="Arial" w:hAnsi="Arial" w:cs="Arial"/>
          <w:color w:val="3B3838" w:themeColor="background2" w:themeShade="40"/>
          <w:sz w:val="20"/>
          <w:szCs w:val="20"/>
        </w:rPr>
        <w:t>.</w:t>
      </w:r>
    </w:p>
    <w:p w14:paraId="0B7FA56B" w14:textId="53DEB2A2" w:rsidR="00BA46AA" w:rsidRDefault="00436070" w:rsidP="00244DF1">
      <w:pPr>
        <w:spacing w:after="0"/>
        <w:ind w:right="-360"/>
        <w:rPr>
          <w:rFonts w:ascii="Arial" w:hAnsi="Arial" w:cs="Arial"/>
          <w:color w:val="3B3838" w:themeColor="background2" w:themeShade="40"/>
          <w:sz w:val="20"/>
          <w:szCs w:val="20"/>
        </w:rPr>
      </w:pPr>
      <w:r>
        <w:rPr>
          <w:noProof/>
        </w:rPr>
        <w:drawing>
          <wp:anchor distT="0" distB="0" distL="114300" distR="114300" simplePos="0" relativeHeight="251664896" behindDoc="0" locked="0" layoutInCell="1" allowOverlap="1" wp14:anchorId="1668626F" wp14:editId="31EA1E8E">
            <wp:simplePos x="0" y="0"/>
            <wp:positionH relativeFrom="margin">
              <wp:posOffset>866775</wp:posOffset>
            </wp:positionH>
            <wp:positionV relativeFrom="page">
              <wp:posOffset>2352675</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44DF1">
        <w:rPr>
          <w:rFonts w:ascii="Arial" w:hAnsi="Arial" w:cs="Arial"/>
          <w:color w:val="7F7F7F" w:themeColor="text1" w:themeTint="80"/>
          <w:sz w:val="18"/>
          <w:szCs w:val="18"/>
        </w:rPr>
        <w:t xml:space="preserve">                           </w:t>
      </w:r>
      <w:r w:rsidR="00244DF1" w:rsidRPr="005C2C8A">
        <w:rPr>
          <w:rFonts w:ascii="Arial" w:hAnsi="Arial" w:cs="Arial"/>
          <w:color w:val="7F7F7F" w:themeColor="text1" w:themeTint="80"/>
          <w:sz w:val="18"/>
          <w:szCs w:val="18"/>
        </w:rPr>
        <w:t>Source:  Zephyr Style Advisor</w:t>
      </w:r>
    </w:p>
    <w:p w14:paraId="02517EF1" w14:textId="1F61F337" w:rsidR="00BA46AA" w:rsidRDefault="00BA46AA" w:rsidP="00F647BF">
      <w:pPr>
        <w:autoSpaceDE w:val="0"/>
        <w:autoSpaceDN w:val="0"/>
        <w:spacing w:after="0"/>
        <w:ind w:right="-360" w:hanging="540"/>
        <w:rPr>
          <w:rFonts w:ascii="Arial" w:hAnsi="Arial" w:cs="Arial"/>
          <w:color w:val="343433"/>
          <w:sz w:val="21"/>
        </w:rPr>
      </w:pPr>
    </w:p>
    <w:p w14:paraId="7DE43C7F" w14:textId="4D904E54" w:rsidR="00244DF1" w:rsidRDefault="00244DF1" w:rsidP="00F647BF">
      <w:pPr>
        <w:autoSpaceDE w:val="0"/>
        <w:autoSpaceDN w:val="0"/>
        <w:spacing w:after="0"/>
        <w:ind w:right="-360" w:hanging="540"/>
        <w:rPr>
          <w:rFonts w:ascii="Arial" w:hAnsi="Arial" w:cs="Arial"/>
          <w:color w:val="343433"/>
          <w:sz w:val="21"/>
        </w:rPr>
      </w:pPr>
    </w:p>
    <w:p w14:paraId="4B5F6F31" w14:textId="1BC48A0D" w:rsidR="00EA6EEB" w:rsidRDefault="006239C2" w:rsidP="00B17F31">
      <w:pPr>
        <w:autoSpaceDE w:val="0"/>
        <w:autoSpaceDN w:val="0"/>
        <w:spacing w:after="0"/>
        <w:ind w:right="-360" w:hanging="540"/>
        <w:rPr>
          <w:rFonts w:ascii="Arial" w:hAnsi="Arial" w:cs="Arial"/>
          <w:color w:val="343433"/>
          <w:sz w:val="21"/>
        </w:rPr>
      </w:pPr>
      <w:r>
        <w:rPr>
          <w:rFonts w:ascii="Arial" w:hAnsi="Arial" w:cs="Arial"/>
          <w:color w:val="343433"/>
          <w:sz w:val="21"/>
        </w:rPr>
        <w:t>INDEX DEFINITIONS</w:t>
      </w:r>
    </w:p>
    <w:p w14:paraId="5DF0E126" w14:textId="77777777" w:rsidR="000C47EF" w:rsidRDefault="000C47EF" w:rsidP="00B17F31">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7073"/>
      </w:tblGrid>
      <w:tr w:rsidR="00EA6EEB" w:rsidRPr="00567CF8" w14:paraId="3C85C575" w14:textId="77777777" w:rsidTr="00DD4470">
        <w:trPr>
          <w:trHeight w:val="264"/>
        </w:trPr>
        <w:tc>
          <w:tcPr>
            <w:tcW w:w="1654" w:type="dxa"/>
            <w:tcBorders>
              <w:top w:val="nil"/>
              <w:left w:val="nil"/>
              <w:bottom w:val="nil"/>
              <w:right w:val="nil"/>
            </w:tcBorders>
            <w:shd w:val="clear" w:color="auto" w:fill="auto"/>
            <w:noWrap/>
            <w:vAlign w:val="bottom"/>
            <w:hideMark/>
          </w:tcPr>
          <w:p w14:paraId="27398B89" w14:textId="77777777" w:rsidR="00EA6EEB" w:rsidRPr="00567CF8" w:rsidRDefault="00EA6EEB" w:rsidP="00DD4470">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65AACD5A" w14:textId="77777777" w:rsidR="00EA6EEB" w:rsidRPr="00567CF8" w:rsidRDefault="00EA6EEB" w:rsidP="00DD4470">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tcBorders>
              <w:top w:val="nil"/>
              <w:left w:val="nil"/>
              <w:bottom w:val="nil"/>
              <w:right w:val="nil"/>
            </w:tcBorders>
            <w:shd w:val="clear" w:color="auto" w:fill="auto"/>
            <w:noWrap/>
            <w:vAlign w:val="bottom"/>
            <w:hideMark/>
          </w:tcPr>
          <w:p w14:paraId="6494D394" w14:textId="77777777" w:rsidR="00EA6EEB" w:rsidRPr="00567CF8" w:rsidRDefault="00EA6EEB" w:rsidP="00DD4470">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bookmarkEnd w:id="0"/>
      <w:tr w:rsidR="00695857" w:rsidRPr="002637B9" w14:paraId="613E8F86" w14:textId="77777777" w:rsidTr="000C47EF">
        <w:trPr>
          <w:trHeight w:val="762"/>
        </w:trPr>
        <w:tc>
          <w:tcPr>
            <w:tcW w:w="1654" w:type="dxa"/>
            <w:tcBorders>
              <w:top w:val="nil"/>
              <w:left w:val="nil"/>
              <w:bottom w:val="nil"/>
              <w:right w:val="nil"/>
            </w:tcBorders>
            <w:shd w:val="clear" w:color="auto" w:fill="auto"/>
            <w:hideMark/>
          </w:tcPr>
          <w:p w14:paraId="72F4FA89" w14:textId="02C6DBFB"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China</w:t>
            </w:r>
          </w:p>
        </w:tc>
        <w:tc>
          <w:tcPr>
            <w:tcW w:w="1929" w:type="dxa"/>
            <w:tcBorders>
              <w:top w:val="nil"/>
              <w:left w:val="nil"/>
              <w:bottom w:val="nil"/>
              <w:right w:val="nil"/>
            </w:tcBorders>
            <w:shd w:val="clear" w:color="auto" w:fill="auto"/>
            <w:hideMark/>
          </w:tcPr>
          <w:p w14:paraId="3B3C3C3A" w14:textId="5820DC6E"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MSCI China</w:t>
            </w:r>
          </w:p>
        </w:tc>
        <w:tc>
          <w:tcPr>
            <w:tcW w:w="7073" w:type="dxa"/>
            <w:tcBorders>
              <w:top w:val="nil"/>
              <w:left w:val="nil"/>
              <w:bottom w:val="nil"/>
              <w:right w:val="nil"/>
            </w:tcBorders>
            <w:shd w:val="clear" w:color="auto" w:fill="auto"/>
            <w:hideMark/>
          </w:tcPr>
          <w:p w14:paraId="10DF4AA0" w14:textId="4569584A"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measures the performance of large and mid-cap shares in China including: China H shares, B shares, Red chips, P chips</w:t>
            </w:r>
            <w:r w:rsidR="00C37D1C">
              <w:rPr>
                <w:rFonts w:ascii="Arial" w:hAnsi="Arial" w:cs="Arial"/>
                <w:sz w:val="18"/>
                <w:szCs w:val="18"/>
              </w:rPr>
              <w:t>,</w:t>
            </w:r>
            <w:r w:rsidRPr="000C47EF">
              <w:rPr>
                <w:rFonts w:ascii="Arial" w:hAnsi="Arial" w:cs="Arial"/>
                <w:sz w:val="18"/>
                <w:szCs w:val="18"/>
              </w:rPr>
              <w:t xml:space="preserve"> and foreign listings (e.g.</w:t>
            </w:r>
            <w:r w:rsidR="00C37D1C">
              <w:rPr>
                <w:rFonts w:ascii="Arial" w:hAnsi="Arial" w:cs="Arial"/>
                <w:sz w:val="18"/>
                <w:szCs w:val="18"/>
              </w:rPr>
              <w:t>,</w:t>
            </w:r>
            <w:r w:rsidRPr="000C47EF">
              <w:rPr>
                <w:rFonts w:ascii="Arial" w:hAnsi="Arial" w:cs="Arial"/>
                <w:sz w:val="18"/>
                <w:szCs w:val="18"/>
              </w:rPr>
              <w:t xml:space="preserve"> ADRs). Index covers about 85% of the China equity universe.</w:t>
            </w:r>
          </w:p>
        </w:tc>
      </w:tr>
      <w:tr w:rsidR="00695857" w:rsidRPr="002637B9" w14:paraId="4E52CE1D" w14:textId="77777777" w:rsidTr="000C47EF">
        <w:trPr>
          <w:trHeight w:val="906"/>
        </w:trPr>
        <w:tc>
          <w:tcPr>
            <w:tcW w:w="1654" w:type="dxa"/>
            <w:tcBorders>
              <w:top w:val="nil"/>
              <w:left w:val="nil"/>
              <w:bottom w:val="nil"/>
              <w:right w:val="nil"/>
            </w:tcBorders>
            <w:shd w:val="clear" w:color="auto" w:fill="auto"/>
            <w:hideMark/>
          </w:tcPr>
          <w:p w14:paraId="179794E6" w14:textId="40E0B429"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Commodities</w:t>
            </w:r>
          </w:p>
        </w:tc>
        <w:tc>
          <w:tcPr>
            <w:tcW w:w="1929" w:type="dxa"/>
            <w:tcBorders>
              <w:top w:val="nil"/>
              <w:left w:val="nil"/>
              <w:bottom w:val="nil"/>
              <w:right w:val="nil"/>
            </w:tcBorders>
            <w:shd w:val="clear" w:color="auto" w:fill="auto"/>
            <w:hideMark/>
          </w:tcPr>
          <w:p w14:paraId="59CDAA0E" w14:textId="65BE04D4"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Bloomberg Commodity</w:t>
            </w:r>
          </w:p>
        </w:tc>
        <w:tc>
          <w:tcPr>
            <w:tcW w:w="7073" w:type="dxa"/>
            <w:tcBorders>
              <w:top w:val="nil"/>
              <w:left w:val="nil"/>
              <w:bottom w:val="nil"/>
              <w:right w:val="nil"/>
            </w:tcBorders>
            <w:shd w:val="clear" w:color="auto" w:fill="auto"/>
            <w:hideMark/>
          </w:tcPr>
          <w:p w14:paraId="57896E21" w14:textId="73401935"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measures the price of physical commodities futures contracts traded on US exchanges, except aluminum, nickel</w:t>
            </w:r>
            <w:r w:rsidR="00C37D1C">
              <w:rPr>
                <w:rFonts w:ascii="Arial" w:hAnsi="Arial" w:cs="Arial"/>
                <w:sz w:val="18"/>
                <w:szCs w:val="18"/>
              </w:rPr>
              <w:t>,</w:t>
            </w:r>
            <w:r w:rsidRPr="000C47EF">
              <w:rPr>
                <w:rFonts w:ascii="Arial" w:hAnsi="Arial" w:cs="Arial"/>
                <w:sz w:val="18"/>
                <w:szCs w:val="18"/>
              </w:rPr>
              <w:t xml:space="preserve"> and zinc, which trade on the London Metal Exchange. Weightings are determined by rules designed to </w:t>
            </w:r>
            <w:r w:rsidR="00C37D1C">
              <w:rPr>
                <w:rFonts w:ascii="Arial" w:hAnsi="Arial" w:cs="Arial"/>
                <w:sz w:val="18"/>
                <w:szCs w:val="18"/>
              </w:rPr>
              <w:t>e</w:t>
            </w:r>
            <w:r w:rsidR="00C37D1C" w:rsidRPr="000C47EF">
              <w:rPr>
                <w:rFonts w:ascii="Arial" w:hAnsi="Arial" w:cs="Arial"/>
                <w:sz w:val="18"/>
                <w:szCs w:val="18"/>
              </w:rPr>
              <w:t xml:space="preserve">nsure </w:t>
            </w:r>
            <w:r w:rsidRPr="000C47EF">
              <w:rPr>
                <w:rFonts w:ascii="Arial" w:hAnsi="Arial" w:cs="Arial"/>
                <w:sz w:val="18"/>
                <w:szCs w:val="18"/>
              </w:rPr>
              <w:t xml:space="preserve">diversified commodity exposure. </w:t>
            </w:r>
          </w:p>
        </w:tc>
      </w:tr>
      <w:tr w:rsidR="00695857" w:rsidRPr="002637B9" w14:paraId="4495472F" w14:textId="77777777" w:rsidTr="00DD4470">
        <w:trPr>
          <w:trHeight w:val="636"/>
        </w:trPr>
        <w:tc>
          <w:tcPr>
            <w:tcW w:w="1654" w:type="dxa"/>
            <w:tcBorders>
              <w:top w:val="nil"/>
              <w:left w:val="nil"/>
              <w:bottom w:val="nil"/>
              <w:right w:val="nil"/>
            </w:tcBorders>
            <w:shd w:val="clear" w:color="auto" w:fill="auto"/>
          </w:tcPr>
          <w:p w14:paraId="54301665" w14:textId="081C1B35"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Emerging Markets Equity</w:t>
            </w:r>
          </w:p>
        </w:tc>
        <w:tc>
          <w:tcPr>
            <w:tcW w:w="1929" w:type="dxa"/>
            <w:tcBorders>
              <w:top w:val="nil"/>
              <w:left w:val="nil"/>
              <w:bottom w:val="nil"/>
              <w:right w:val="nil"/>
            </w:tcBorders>
            <w:shd w:val="clear" w:color="auto" w:fill="auto"/>
          </w:tcPr>
          <w:p w14:paraId="216AD14B" w14:textId="47620330"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MSCI Emerging Markets</w:t>
            </w:r>
          </w:p>
        </w:tc>
        <w:tc>
          <w:tcPr>
            <w:tcW w:w="7073" w:type="dxa"/>
            <w:tcBorders>
              <w:top w:val="nil"/>
              <w:left w:val="nil"/>
              <w:bottom w:val="nil"/>
              <w:right w:val="nil"/>
            </w:tcBorders>
            <w:shd w:val="clear" w:color="auto" w:fill="auto"/>
          </w:tcPr>
          <w:p w14:paraId="0BD34F48" w14:textId="1169013E"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measures the equity market performance of countries considered to represent emerging markets. </w:t>
            </w:r>
          </w:p>
        </w:tc>
      </w:tr>
      <w:tr w:rsidR="00695857" w:rsidRPr="002637B9" w14:paraId="17BEC073" w14:textId="77777777" w:rsidTr="000C47EF">
        <w:trPr>
          <w:trHeight w:val="807"/>
        </w:trPr>
        <w:tc>
          <w:tcPr>
            <w:tcW w:w="1654" w:type="dxa"/>
            <w:tcBorders>
              <w:top w:val="nil"/>
              <w:left w:val="nil"/>
              <w:bottom w:val="nil"/>
              <w:right w:val="nil"/>
            </w:tcBorders>
            <w:shd w:val="clear" w:color="auto" w:fill="auto"/>
            <w:hideMark/>
          </w:tcPr>
          <w:p w14:paraId="2DD8C199" w14:textId="26E9D54B"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Emerging Markets Fixed Income</w:t>
            </w:r>
          </w:p>
        </w:tc>
        <w:tc>
          <w:tcPr>
            <w:tcW w:w="1929" w:type="dxa"/>
            <w:tcBorders>
              <w:top w:val="nil"/>
              <w:left w:val="nil"/>
              <w:bottom w:val="nil"/>
              <w:right w:val="nil"/>
            </w:tcBorders>
            <w:shd w:val="clear" w:color="auto" w:fill="auto"/>
            <w:hideMark/>
          </w:tcPr>
          <w:p w14:paraId="49560BCC" w14:textId="0FA52C52" w:rsidR="00695857" w:rsidRPr="000C47EF" w:rsidRDefault="00E949F6" w:rsidP="00695857">
            <w:pPr>
              <w:spacing w:after="0" w:line="240" w:lineRule="auto"/>
              <w:rPr>
                <w:rFonts w:ascii="Arial" w:hAnsi="Arial" w:cs="Arial"/>
                <w:color w:val="000000"/>
                <w:sz w:val="18"/>
                <w:szCs w:val="18"/>
              </w:rPr>
            </w:pPr>
            <w:r w:rsidRPr="000C47EF">
              <w:rPr>
                <w:rFonts w:ascii="Arial" w:hAnsi="Arial" w:cs="Arial"/>
                <w:sz w:val="18"/>
                <w:szCs w:val="18"/>
              </w:rPr>
              <w:t xml:space="preserve">Bloomberg </w:t>
            </w:r>
            <w:r w:rsidR="00695857" w:rsidRPr="000C47EF">
              <w:rPr>
                <w:rFonts w:ascii="Arial" w:hAnsi="Arial" w:cs="Arial"/>
                <w:sz w:val="18"/>
                <w:szCs w:val="18"/>
              </w:rPr>
              <w:t xml:space="preserve">Emerging Markets </w:t>
            </w:r>
            <w:proofErr w:type="gramStart"/>
            <w:r w:rsidR="00695857" w:rsidRPr="000C47EF">
              <w:rPr>
                <w:rFonts w:ascii="Arial" w:hAnsi="Arial" w:cs="Arial"/>
                <w:sz w:val="18"/>
                <w:szCs w:val="18"/>
              </w:rPr>
              <w:t>USD  Aggregate</w:t>
            </w:r>
            <w:proofErr w:type="gramEnd"/>
          </w:p>
        </w:tc>
        <w:tc>
          <w:tcPr>
            <w:tcW w:w="7073" w:type="dxa"/>
            <w:tcBorders>
              <w:top w:val="nil"/>
              <w:left w:val="nil"/>
              <w:bottom w:val="nil"/>
              <w:right w:val="nil"/>
            </w:tcBorders>
            <w:shd w:val="clear" w:color="auto" w:fill="auto"/>
            <w:hideMark/>
          </w:tcPr>
          <w:p w14:paraId="3B8C7DB1" w14:textId="277833C6"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measures the performance of hard-currency emerging markets debt including fixed and floating-rate USD-denominated debt issued from sovereign, quasi-sovereign, and corporate emerging markets debt.  </w:t>
            </w:r>
          </w:p>
        </w:tc>
      </w:tr>
      <w:tr w:rsidR="00695857" w:rsidRPr="002637B9" w14:paraId="6B2EDAD8" w14:textId="77777777" w:rsidTr="000C47EF">
        <w:trPr>
          <w:trHeight w:val="789"/>
        </w:trPr>
        <w:tc>
          <w:tcPr>
            <w:tcW w:w="1654" w:type="dxa"/>
            <w:tcBorders>
              <w:top w:val="nil"/>
              <w:left w:val="nil"/>
              <w:bottom w:val="nil"/>
              <w:right w:val="nil"/>
            </w:tcBorders>
            <w:shd w:val="clear" w:color="auto" w:fill="auto"/>
            <w:hideMark/>
          </w:tcPr>
          <w:p w14:paraId="0BE9CAC1" w14:textId="0E6515A4"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Global 60/40 Index Blend</w:t>
            </w:r>
          </w:p>
        </w:tc>
        <w:tc>
          <w:tcPr>
            <w:tcW w:w="1929" w:type="dxa"/>
            <w:tcBorders>
              <w:top w:val="nil"/>
              <w:left w:val="nil"/>
              <w:bottom w:val="nil"/>
              <w:right w:val="nil"/>
            </w:tcBorders>
            <w:shd w:val="clear" w:color="auto" w:fill="auto"/>
            <w:hideMark/>
          </w:tcPr>
          <w:p w14:paraId="5BA26A49" w14:textId="5BF7F5B5"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60% MSCI ACWI, 40% </w:t>
            </w:r>
            <w:r w:rsidR="00E949F6" w:rsidRPr="000C47EF">
              <w:rPr>
                <w:rFonts w:ascii="Arial" w:hAnsi="Arial" w:cs="Arial"/>
                <w:sz w:val="18"/>
                <w:szCs w:val="18"/>
              </w:rPr>
              <w:t>Bloomberg</w:t>
            </w:r>
            <w:r w:rsidRPr="000C47EF">
              <w:rPr>
                <w:rFonts w:ascii="Arial" w:hAnsi="Arial" w:cs="Arial"/>
                <w:sz w:val="18"/>
                <w:szCs w:val="18"/>
              </w:rPr>
              <w:t xml:space="preserve"> Global Aggregate</w:t>
            </w:r>
          </w:p>
        </w:tc>
        <w:tc>
          <w:tcPr>
            <w:tcW w:w="7073" w:type="dxa"/>
            <w:tcBorders>
              <w:top w:val="nil"/>
              <w:left w:val="nil"/>
              <w:bottom w:val="nil"/>
              <w:right w:val="nil"/>
            </w:tcBorders>
            <w:shd w:val="clear" w:color="auto" w:fill="auto"/>
            <w:hideMark/>
          </w:tcPr>
          <w:p w14:paraId="00D44A31" w14:textId="77C7EE44"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measures the performance of a blend of global equities and global bond indexes used as a benchmark for balanced portfolios</w:t>
            </w:r>
          </w:p>
        </w:tc>
      </w:tr>
      <w:tr w:rsidR="00695857" w:rsidRPr="002637B9" w14:paraId="710FCD3D" w14:textId="77777777" w:rsidTr="00DD4470">
        <w:trPr>
          <w:trHeight w:val="636"/>
        </w:trPr>
        <w:tc>
          <w:tcPr>
            <w:tcW w:w="1654" w:type="dxa"/>
            <w:tcBorders>
              <w:top w:val="nil"/>
              <w:left w:val="nil"/>
              <w:bottom w:val="nil"/>
              <w:right w:val="nil"/>
            </w:tcBorders>
            <w:shd w:val="clear" w:color="auto" w:fill="auto"/>
            <w:hideMark/>
          </w:tcPr>
          <w:p w14:paraId="73509040" w14:textId="1D8B5719"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Global Equity</w:t>
            </w:r>
          </w:p>
        </w:tc>
        <w:tc>
          <w:tcPr>
            <w:tcW w:w="1929" w:type="dxa"/>
            <w:tcBorders>
              <w:top w:val="nil"/>
              <w:left w:val="nil"/>
              <w:bottom w:val="nil"/>
              <w:right w:val="nil"/>
            </w:tcBorders>
            <w:shd w:val="clear" w:color="auto" w:fill="auto"/>
            <w:hideMark/>
          </w:tcPr>
          <w:p w14:paraId="74BAE31B" w14:textId="5E1F7C4C"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MSCI ACWI </w:t>
            </w:r>
          </w:p>
        </w:tc>
        <w:tc>
          <w:tcPr>
            <w:tcW w:w="7073" w:type="dxa"/>
            <w:tcBorders>
              <w:top w:val="nil"/>
              <w:left w:val="nil"/>
              <w:bottom w:val="nil"/>
              <w:right w:val="nil"/>
            </w:tcBorders>
            <w:shd w:val="clear" w:color="auto" w:fill="auto"/>
            <w:hideMark/>
          </w:tcPr>
          <w:p w14:paraId="40A76663" w14:textId="4E01D04D"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measures large- and mid-cap equity performance of developed and emerging markets. Represents approximately 85% of the global equity investment universe. </w:t>
            </w:r>
          </w:p>
        </w:tc>
      </w:tr>
      <w:tr w:rsidR="00695857" w:rsidRPr="002637B9" w14:paraId="79121B1A" w14:textId="77777777" w:rsidTr="000C47EF">
        <w:trPr>
          <w:trHeight w:val="807"/>
        </w:trPr>
        <w:tc>
          <w:tcPr>
            <w:tcW w:w="1654" w:type="dxa"/>
            <w:tcBorders>
              <w:top w:val="nil"/>
              <w:left w:val="nil"/>
              <w:bottom w:val="nil"/>
              <w:right w:val="nil"/>
            </w:tcBorders>
            <w:shd w:val="clear" w:color="auto" w:fill="auto"/>
            <w:hideMark/>
          </w:tcPr>
          <w:p w14:paraId="3904DB77" w14:textId="67B2A2C5"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lastRenderedPageBreak/>
              <w:t>Global Fixed Income</w:t>
            </w:r>
          </w:p>
        </w:tc>
        <w:tc>
          <w:tcPr>
            <w:tcW w:w="1929" w:type="dxa"/>
            <w:tcBorders>
              <w:top w:val="nil"/>
              <w:left w:val="nil"/>
              <w:bottom w:val="nil"/>
              <w:right w:val="nil"/>
            </w:tcBorders>
            <w:shd w:val="clear" w:color="auto" w:fill="auto"/>
            <w:hideMark/>
          </w:tcPr>
          <w:p w14:paraId="420FFFB6" w14:textId="593943BE" w:rsidR="00695857" w:rsidRPr="000C47EF" w:rsidRDefault="00E949F6" w:rsidP="00695857">
            <w:pPr>
              <w:spacing w:after="0" w:line="240" w:lineRule="auto"/>
              <w:rPr>
                <w:rFonts w:ascii="Arial" w:hAnsi="Arial" w:cs="Arial"/>
                <w:color w:val="000000"/>
                <w:sz w:val="18"/>
                <w:szCs w:val="18"/>
              </w:rPr>
            </w:pPr>
            <w:r w:rsidRPr="000C47EF">
              <w:rPr>
                <w:rFonts w:ascii="Arial" w:hAnsi="Arial" w:cs="Arial"/>
                <w:sz w:val="18"/>
                <w:szCs w:val="18"/>
              </w:rPr>
              <w:t>Bloomberg</w:t>
            </w:r>
            <w:r w:rsidR="00695857" w:rsidRPr="000C47EF">
              <w:rPr>
                <w:rFonts w:ascii="Arial" w:hAnsi="Arial" w:cs="Arial"/>
                <w:sz w:val="18"/>
                <w:szCs w:val="18"/>
              </w:rPr>
              <w:t xml:space="preserve"> Global Aggregate</w:t>
            </w:r>
          </w:p>
        </w:tc>
        <w:tc>
          <w:tcPr>
            <w:tcW w:w="7073" w:type="dxa"/>
            <w:tcBorders>
              <w:top w:val="nil"/>
              <w:left w:val="nil"/>
              <w:bottom w:val="nil"/>
              <w:right w:val="nil"/>
            </w:tcBorders>
            <w:shd w:val="clear" w:color="auto" w:fill="auto"/>
            <w:hideMark/>
          </w:tcPr>
          <w:p w14:paraId="5AE0B1CE" w14:textId="36A0E62D"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measures the performance of global, investment-grade debt from 24 local currency markets. This benchmark includes treasury, government-related, </w:t>
            </w:r>
            <w:proofErr w:type="gramStart"/>
            <w:r w:rsidRPr="000C47EF">
              <w:rPr>
                <w:rFonts w:ascii="Arial" w:hAnsi="Arial" w:cs="Arial"/>
                <w:sz w:val="18"/>
                <w:szCs w:val="18"/>
              </w:rPr>
              <w:t>corporate</w:t>
            </w:r>
            <w:proofErr w:type="gramEnd"/>
            <w:r w:rsidRPr="000C47EF">
              <w:rPr>
                <w:rFonts w:ascii="Arial" w:hAnsi="Arial" w:cs="Arial"/>
                <w:sz w:val="18"/>
                <w:szCs w:val="18"/>
              </w:rPr>
              <w:t xml:space="preserve"> and securitized fixed-rate bonds from both developed and emerging markets issuers.</w:t>
            </w:r>
          </w:p>
        </w:tc>
      </w:tr>
      <w:tr w:rsidR="00695857" w:rsidRPr="002637B9" w14:paraId="7D9F3409" w14:textId="77777777" w:rsidTr="00DD4470">
        <w:trPr>
          <w:trHeight w:val="636"/>
        </w:trPr>
        <w:tc>
          <w:tcPr>
            <w:tcW w:w="1654" w:type="dxa"/>
            <w:tcBorders>
              <w:top w:val="nil"/>
              <w:left w:val="nil"/>
              <w:bottom w:val="nil"/>
              <w:right w:val="nil"/>
            </w:tcBorders>
            <w:shd w:val="clear" w:color="auto" w:fill="auto"/>
            <w:hideMark/>
          </w:tcPr>
          <w:p w14:paraId="02E90771" w14:textId="2C14BD30"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Gold</w:t>
            </w:r>
          </w:p>
        </w:tc>
        <w:tc>
          <w:tcPr>
            <w:tcW w:w="1929" w:type="dxa"/>
            <w:tcBorders>
              <w:top w:val="nil"/>
              <w:left w:val="nil"/>
              <w:bottom w:val="nil"/>
              <w:right w:val="nil"/>
            </w:tcBorders>
            <w:shd w:val="clear" w:color="auto" w:fill="auto"/>
            <w:hideMark/>
          </w:tcPr>
          <w:p w14:paraId="64242778" w14:textId="55F04636"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Bloomberg Sub Gold</w:t>
            </w:r>
          </w:p>
        </w:tc>
        <w:tc>
          <w:tcPr>
            <w:tcW w:w="7073" w:type="dxa"/>
            <w:tcBorders>
              <w:top w:val="nil"/>
              <w:left w:val="nil"/>
              <w:bottom w:val="nil"/>
              <w:right w:val="nil"/>
            </w:tcBorders>
            <w:shd w:val="clear" w:color="auto" w:fill="auto"/>
            <w:hideMark/>
          </w:tcPr>
          <w:p w14:paraId="76B44A9C" w14:textId="25BAD2D5"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measures the price of gold futures contracts, reflecting the return of underlying commodity futures price movements quoted in USD.</w:t>
            </w:r>
          </w:p>
        </w:tc>
      </w:tr>
      <w:tr w:rsidR="00695857" w:rsidRPr="002637B9" w14:paraId="52FF0E24" w14:textId="77777777" w:rsidTr="000C47EF">
        <w:trPr>
          <w:trHeight w:val="627"/>
        </w:trPr>
        <w:tc>
          <w:tcPr>
            <w:tcW w:w="1654" w:type="dxa"/>
            <w:tcBorders>
              <w:top w:val="nil"/>
              <w:left w:val="nil"/>
              <w:bottom w:val="nil"/>
              <w:right w:val="nil"/>
            </w:tcBorders>
            <w:shd w:val="clear" w:color="auto" w:fill="auto"/>
            <w:hideMark/>
          </w:tcPr>
          <w:p w14:paraId="06EC6859" w14:textId="56DA50D9"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International Developed Equity</w:t>
            </w:r>
          </w:p>
        </w:tc>
        <w:tc>
          <w:tcPr>
            <w:tcW w:w="1929" w:type="dxa"/>
            <w:tcBorders>
              <w:top w:val="nil"/>
              <w:left w:val="nil"/>
              <w:bottom w:val="nil"/>
              <w:right w:val="nil"/>
            </w:tcBorders>
            <w:shd w:val="clear" w:color="auto" w:fill="auto"/>
            <w:hideMark/>
          </w:tcPr>
          <w:p w14:paraId="606E2E9A" w14:textId="457BC93E"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MSCI EAFE</w:t>
            </w:r>
          </w:p>
        </w:tc>
        <w:tc>
          <w:tcPr>
            <w:tcW w:w="7073" w:type="dxa"/>
            <w:tcBorders>
              <w:top w:val="nil"/>
              <w:left w:val="nil"/>
              <w:bottom w:val="nil"/>
              <w:right w:val="nil"/>
            </w:tcBorders>
            <w:shd w:val="clear" w:color="auto" w:fill="auto"/>
            <w:hideMark/>
          </w:tcPr>
          <w:p w14:paraId="32110BD1" w14:textId="1727EF4A"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measures the equity performance of countries considered to represent developed markets, excluding the U</w:t>
            </w:r>
            <w:r w:rsidR="00C37D1C">
              <w:rPr>
                <w:rFonts w:ascii="Arial" w:hAnsi="Arial" w:cs="Arial"/>
                <w:sz w:val="18"/>
                <w:szCs w:val="18"/>
              </w:rPr>
              <w:t>S</w:t>
            </w:r>
            <w:r w:rsidRPr="000C47EF">
              <w:rPr>
                <w:rFonts w:ascii="Arial" w:hAnsi="Arial" w:cs="Arial"/>
                <w:sz w:val="18"/>
                <w:szCs w:val="18"/>
              </w:rPr>
              <w:t xml:space="preserve"> and Canada.</w:t>
            </w:r>
          </w:p>
        </w:tc>
      </w:tr>
      <w:tr w:rsidR="00695857" w:rsidRPr="002637B9" w14:paraId="2BAD22DC" w14:textId="77777777" w:rsidTr="00695857">
        <w:trPr>
          <w:trHeight w:val="996"/>
        </w:trPr>
        <w:tc>
          <w:tcPr>
            <w:tcW w:w="1654" w:type="dxa"/>
            <w:tcBorders>
              <w:top w:val="nil"/>
              <w:left w:val="nil"/>
              <w:bottom w:val="nil"/>
              <w:right w:val="nil"/>
            </w:tcBorders>
            <w:shd w:val="clear" w:color="auto" w:fill="auto"/>
            <w:hideMark/>
          </w:tcPr>
          <w:p w14:paraId="11E9D289" w14:textId="084AA8B0"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International Fixed Income</w:t>
            </w:r>
          </w:p>
        </w:tc>
        <w:tc>
          <w:tcPr>
            <w:tcW w:w="1929" w:type="dxa"/>
            <w:tcBorders>
              <w:top w:val="nil"/>
              <w:left w:val="nil"/>
              <w:bottom w:val="nil"/>
              <w:right w:val="nil"/>
            </w:tcBorders>
            <w:shd w:val="clear" w:color="auto" w:fill="auto"/>
            <w:hideMark/>
          </w:tcPr>
          <w:p w14:paraId="4359B5C2" w14:textId="352E07EE" w:rsidR="00695857" w:rsidRPr="000C47EF" w:rsidRDefault="00E949F6" w:rsidP="00695857">
            <w:pPr>
              <w:spacing w:after="0" w:line="240" w:lineRule="auto"/>
              <w:rPr>
                <w:rFonts w:ascii="Arial" w:hAnsi="Arial" w:cs="Arial"/>
                <w:color w:val="000000"/>
                <w:sz w:val="18"/>
                <w:szCs w:val="18"/>
              </w:rPr>
            </w:pPr>
            <w:r w:rsidRPr="000C47EF">
              <w:rPr>
                <w:rFonts w:ascii="Arial" w:hAnsi="Arial" w:cs="Arial"/>
                <w:sz w:val="18"/>
                <w:szCs w:val="18"/>
              </w:rPr>
              <w:t>Bloomberg</w:t>
            </w:r>
            <w:r w:rsidR="00695857" w:rsidRPr="000C47EF">
              <w:rPr>
                <w:rFonts w:ascii="Arial" w:hAnsi="Arial" w:cs="Arial"/>
                <w:sz w:val="18"/>
                <w:szCs w:val="18"/>
              </w:rPr>
              <w:t xml:space="preserve"> Global Aggregate ex US</w:t>
            </w:r>
          </w:p>
        </w:tc>
        <w:tc>
          <w:tcPr>
            <w:tcW w:w="7073" w:type="dxa"/>
            <w:tcBorders>
              <w:top w:val="nil"/>
              <w:left w:val="nil"/>
              <w:bottom w:val="nil"/>
              <w:right w:val="nil"/>
            </w:tcBorders>
            <w:shd w:val="clear" w:color="auto" w:fill="auto"/>
            <w:hideMark/>
          </w:tcPr>
          <w:p w14:paraId="585ABA62" w14:textId="486A40C4"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measures the performance of global, investment-grade debt from 24 local currency markets, excluding the U</w:t>
            </w:r>
            <w:r w:rsidR="00C37D1C">
              <w:rPr>
                <w:rFonts w:ascii="Arial" w:hAnsi="Arial" w:cs="Arial"/>
                <w:sz w:val="18"/>
                <w:szCs w:val="18"/>
              </w:rPr>
              <w:t>S</w:t>
            </w:r>
            <w:r w:rsidR="00D27D82">
              <w:rPr>
                <w:rFonts w:ascii="Arial" w:hAnsi="Arial" w:cs="Arial"/>
                <w:sz w:val="18"/>
                <w:szCs w:val="18"/>
              </w:rPr>
              <w:t>.</w:t>
            </w:r>
            <w:r w:rsidRPr="000C47EF">
              <w:rPr>
                <w:rFonts w:ascii="Arial" w:hAnsi="Arial" w:cs="Arial"/>
                <w:sz w:val="18"/>
                <w:szCs w:val="18"/>
              </w:rPr>
              <w:t xml:space="preserve"> This benchmark includes treasury, government-related, </w:t>
            </w:r>
            <w:proofErr w:type="gramStart"/>
            <w:r w:rsidRPr="000C47EF">
              <w:rPr>
                <w:rFonts w:ascii="Arial" w:hAnsi="Arial" w:cs="Arial"/>
                <w:sz w:val="18"/>
                <w:szCs w:val="18"/>
              </w:rPr>
              <w:t>corporate</w:t>
            </w:r>
            <w:proofErr w:type="gramEnd"/>
            <w:r w:rsidRPr="000C47EF">
              <w:rPr>
                <w:rFonts w:ascii="Arial" w:hAnsi="Arial" w:cs="Arial"/>
                <w:sz w:val="18"/>
                <w:szCs w:val="18"/>
              </w:rPr>
              <w:t xml:space="preserve"> and securitized fixed-rate bonds from both developed and emerging markets issuers.</w:t>
            </w:r>
          </w:p>
        </w:tc>
      </w:tr>
      <w:tr w:rsidR="00695857" w:rsidRPr="002637B9" w14:paraId="23E28D69" w14:textId="77777777" w:rsidTr="000C47EF">
        <w:trPr>
          <w:trHeight w:val="627"/>
        </w:trPr>
        <w:tc>
          <w:tcPr>
            <w:tcW w:w="1654" w:type="dxa"/>
            <w:tcBorders>
              <w:top w:val="nil"/>
              <w:left w:val="nil"/>
              <w:bottom w:val="nil"/>
              <w:right w:val="nil"/>
            </w:tcBorders>
            <w:shd w:val="clear" w:color="auto" w:fill="auto"/>
          </w:tcPr>
          <w:p w14:paraId="138DC5CA" w14:textId="369E6858"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Sector - Energy</w:t>
            </w:r>
          </w:p>
        </w:tc>
        <w:tc>
          <w:tcPr>
            <w:tcW w:w="1929" w:type="dxa"/>
            <w:tcBorders>
              <w:top w:val="nil"/>
              <w:left w:val="nil"/>
              <w:bottom w:val="nil"/>
              <w:right w:val="nil"/>
            </w:tcBorders>
            <w:shd w:val="clear" w:color="auto" w:fill="auto"/>
          </w:tcPr>
          <w:p w14:paraId="5E5FA04B" w14:textId="3A560F74"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S&amp;P 500 Sector Energy</w:t>
            </w:r>
          </w:p>
        </w:tc>
        <w:tc>
          <w:tcPr>
            <w:tcW w:w="7073" w:type="dxa"/>
            <w:tcBorders>
              <w:top w:val="nil"/>
              <w:left w:val="nil"/>
              <w:bottom w:val="nil"/>
              <w:right w:val="nil"/>
            </w:tcBorders>
            <w:shd w:val="clear" w:color="auto" w:fill="auto"/>
          </w:tcPr>
          <w:p w14:paraId="1B7CF57D" w14:textId="7AAE582E"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measures the performance of companies involved in the development and production of crude oil, natural gas and provide drilling and other energy-related services.</w:t>
            </w:r>
          </w:p>
        </w:tc>
      </w:tr>
      <w:tr w:rsidR="00695857" w:rsidRPr="002637B9" w14:paraId="28B3EB1F" w14:textId="77777777" w:rsidTr="000C47EF">
        <w:trPr>
          <w:trHeight w:val="987"/>
        </w:trPr>
        <w:tc>
          <w:tcPr>
            <w:tcW w:w="1654" w:type="dxa"/>
            <w:tcBorders>
              <w:top w:val="nil"/>
              <w:left w:val="nil"/>
              <w:bottom w:val="nil"/>
              <w:right w:val="nil"/>
            </w:tcBorders>
            <w:shd w:val="clear" w:color="auto" w:fill="auto"/>
            <w:hideMark/>
          </w:tcPr>
          <w:p w14:paraId="32F76E1A" w14:textId="14037274"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US Dollar</w:t>
            </w:r>
          </w:p>
        </w:tc>
        <w:tc>
          <w:tcPr>
            <w:tcW w:w="1929" w:type="dxa"/>
            <w:tcBorders>
              <w:top w:val="nil"/>
              <w:left w:val="nil"/>
              <w:bottom w:val="nil"/>
              <w:right w:val="nil"/>
            </w:tcBorders>
            <w:shd w:val="clear" w:color="auto" w:fill="auto"/>
            <w:hideMark/>
          </w:tcPr>
          <w:p w14:paraId="2EA3A776" w14:textId="3B034E19"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US Dollar Index</w:t>
            </w:r>
          </w:p>
        </w:tc>
        <w:tc>
          <w:tcPr>
            <w:tcW w:w="7073" w:type="dxa"/>
            <w:tcBorders>
              <w:top w:val="nil"/>
              <w:left w:val="nil"/>
              <w:bottom w:val="nil"/>
              <w:right w:val="nil"/>
            </w:tcBorders>
            <w:shd w:val="clear" w:color="auto" w:fill="auto"/>
            <w:hideMark/>
          </w:tcPr>
          <w:p w14:paraId="04897757" w14:textId="4EC670DF"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measures the value of the US dollar relative to the value of a 'basket' of currencies of </w:t>
            </w:r>
            <w:proofErr w:type="gramStart"/>
            <w:r w:rsidRPr="000C47EF">
              <w:rPr>
                <w:rFonts w:ascii="Arial" w:hAnsi="Arial" w:cs="Arial"/>
                <w:sz w:val="18"/>
                <w:szCs w:val="18"/>
              </w:rPr>
              <w:t>the majority of</w:t>
            </w:r>
            <w:proofErr w:type="gramEnd"/>
            <w:r w:rsidRPr="000C47EF">
              <w:rPr>
                <w:rFonts w:ascii="Arial" w:hAnsi="Arial" w:cs="Arial"/>
                <w:sz w:val="18"/>
                <w:szCs w:val="18"/>
              </w:rPr>
              <w:t xml:space="preserve"> the U</w:t>
            </w:r>
            <w:r w:rsidR="00D27D82">
              <w:rPr>
                <w:rFonts w:ascii="Arial" w:hAnsi="Arial" w:cs="Arial"/>
                <w:sz w:val="18"/>
                <w:szCs w:val="18"/>
              </w:rPr>
              <w:t>S</w:t>
            </w:r>
            <w:r w:rsidRPr="000C47EF">
              <w:rPr>
                <w:rFonts w:ascii="Arial" w:hAnsi="Arial" w:cs="Arial"/>
                <w:sz w:val="18"/>
                <w:szCs w:val="18"/>
              </w:rPr>
              <w:t xml:space="preserve">'s most significant trading partners. Factors the exchange rates of six major world currencies:  euro, Japanese yen, Canadian dollar, British pound, Swedish </w:t>
            </w:r>
            <w:proofErr w:type="gramStart"/>
            <w:r w:rsidRPr="000C47EF">
              <w:rPr>
                <w:rFonts w:ascii="Arial" w:hAnsi="Arial" w:cs="Arial"/>
                <w:sz w:val="18"/>
                <w:szCs w:val="18"/>
              </w:rPr>
              <w:t>krona</w:t>
            </w:r>
            <w:proofErr w:type="gramEnd"/>
            <w:r w:rsidRPr="000C47EF">
              <w:rPr>
                <w:rFonts w:ascii="Arial" w:hAnsi="Arial" w:cs="Arial"/>
                <w:sz w:val="18"/>
                <w:szCs w:val="18"/>
              </w:rPr>
              <w:t xml:space="preserve"> and Swiss franc. </w:t>
            </w:r>
          </w:p>
        </w:tc>
      </w:tr>
      <w:tr w:rsidR="00695857" w:rsidRPr="002637B9" w14:paraId="44B6FA37" w14:textId="77777777" w:rsidTr="000C47EF">
        <w:trPr>
          <w:trHeight w:val="807"/>
        </w:trPr>
        <w:tc>
          <w:tcPr>
            <w:tcW w:w="1654" w:type="dxa"/>
            <w:tcBorders>
              <w:top w:val="nil"/>
              <w:left w:val="nil"/>
              <w:bottom w:val="nil"/>
              <w:right w:val="nil"/>
            </w:tcBorders>
            <w:shd w:val="clear" w:color="auto" w:fill="auto"/>
            <w:hideMark/>
          </w:tcPr>
          <w:p w14:paraId="245F4748" w14:textId="53D0D35F"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US Equity</w:t>
            </w:r>
          </w:p>
        </w:tc>
        <w:tc>
          <w:tcPr>
            <w:tcW w:w="1929" w:type="dxa"/>
            <w:tcBorders>
              <w:top w:val="nil"/>
              <w:left w:val="nil"/>
              <w:bottom w:val="nil"/>
              <w:right w:val="nil"/>
            </w:tcBorders>
            <w:shd w:val="clear" w:color="auto" w:fill="auto"/>
            <w:hideMark/>
          </w:tcPr>
          <w:p w14:paraId="4E80C001" w14:textId="6456104F"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S&amp;P 500</w:t>
            </w:r>
          </w:p>
        </w:tc>
        <w:tc>
          <w:tcPr>
            <w:tcW w:w="7073" w:type="dxa"/>
            <w:tcBorders>
              <w:top w:val="nil"/>
              <w:left w:val="nil"/>
              <w:bottom w:val="nil"/>
              <w:right w:val="nil"/>
            </w:tcBorders>
            <w:shd w:val="clear" w:color="auto" w:fill="auto"/>
            <w:hideMark/>
          </w:tcPr>
          <w:p w14:paraId="50E03751" w14:textId="732443B7"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measures the performance of 500 leading companies in the U</w:t>
            </w:r>
            <w:r w:rsidR="00D27D82">
              <w:rPr>
                <w:rFonts w:ascii="Arial" w:hAnsi="Arial" w:cs="Arial"/>
                <w:sz w:val="18"/>
                <w:szCs w:val="18"/>
              </w:rPr>
              <w:t>S</w:t>
            </w:r>
            <w:r w:rsidRPr="000C47EF">
              <w:rPr>
                <w:rFonts w:ascii="Arial" w:hAnsi="Arial" w:cs="Arial"/>
                <w:sz w:val="18"/>
                <w:szCs w:val="18"/>
              </w:rPr>
              <w:t xml:space="preserve"> Constituents generally have a market-cap above $5 billion and represent approximately 80% of the investable market. </w:t>
            </w:r>
          </w:p>
        </w:tc>
      </w:tr>
      <w:tr w:rsidR="00695857" w:rsidRPr="002637B9" w14:paraId="567DFFE4" w14:textId="77777777" w:rsidTr="000C47EF">
        <w:trPr>
          <w:trHeight w:val="987"/>
        </w:trPr>
        <w:tc>
          <w:tcPr>
            <w:tcW w:w="1654" w:type="dxa"/>
            <w:tcBorders>
              <w:top w:val="nil"/>
              <w:left w:val="nil"/>
              <w:bottom w:val="nil"/>
              <w:right w:val="nil"/>
            </w:tcBorders>
            <w:shd w:val="clear" w:color="auto" w:fill="auto"/>
          </w:tcPr>
          <w:p w14:paraId="2A6270EA" w14:textId="3EB52C9D"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US Fixed Income</w:t>
            </w:r>
          </w:p>
        </w:tc>
        <w:tc>
          <w:tcPr>
            <w:tcW w:w="1929" w:type="dxa"/>
            <w:tcBorders>
              <w:top w:val="nil"/>
              <w:left w:val="nil"/>
              <w:bottom w:val="nil"/>
              <w:right w:val="nil"/>
            </w:tcBorders>
            <w:shd w:val="clear" w:color="auto" w:fill="auto"/>
          </w:tcPr>
          <w:p w14:paraId="19E4242F" w14:textId="41F314C5"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Bloomberg US Aggregate</w:t>
            </w:r>
          </w:p>
        </w:tc>
        <w:tc>
          <w:tcPr>
            <w:tcW w:w="7073" w:type="dxa"/>
            <w:tcBorders>
              <w:top w:val="nil"/>
              <w:left w:val="nil"/>
              <w:bottom w:val="nil"/>
              <w:right w:val="nil"/>
            </w:tcBorders>
            <w:shd w:val="clear" w:color="auto" w:fill="auto"/>
          </w:tcPr>
          <w:p w14:paraId="7E13BE71" w14:textId="20554317"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measures the performance of USD-denominated, investment-grade, fixed-rate taxable bond market of SEC-registered securities. The index includes Treasury bonds, Government-related Corporate, MBS (agency fixed-rate and hybrid ARM pass-throughs), ABS and CMBS sectors.  </w:t>
            </w:r>
          </w:p>
        </w:tc>
      </w:tr>
      <w:tr w:rsidR="00695857" w:rsidRPr="00695857" w14:paraId="570D195A" w14:textId="77777777" w:rsidTr="000C47EF">
        <w:trPr>
          <w:trHeight w:val="807"/>
        </w:trPr>
        <w:tc>
          <w:tcPr>
            <w:tcW w:w="1654" w:type="dxa"/>
            <w:tcBorders>
              <w:top w:val="nil"/>
              <w:left w:val="nil"/>
              <w:bottom w:val="nil"/>
              <w:right w:val="nil"/>
            </w:tcBorders>
            <w:shd w:val="clear" w:color="auto" w:fill="auto"/>
          </w:tcPr>
          <w:p w14:paraId="544462D0" w14:textId="790FE0F8"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US High Yield</w:t>
            </w:r>
          </w:p>
        </w:tc>
        <w:tc>
          <w:tcPr>
            <w:tcW w:w="1929" w:type="dxa"/>
            <w:tcBorders>
              <w:top w:val="nil"/>
              <w:left w:val="nil"/>
              <w:bottom w:val="nil"/>
              <w:right w:val="nil"/>
            </w:tcBorders>
            <w:shd w:val="clear" w:color="auto" w:fill="auto"/>
          </w:tcPr>
          <w:p w14:paraId="5E8F9CED" w14:textId="2570A535"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Bloomberg US Corporate High Yield</w:t>
            </w:r>
          </w:p>
        </w:tc>
        <w:tc>
          <w:tcPr>
            <w:tcW w:w="7073" w:type="dxa"/>
            <w:tcBorders>
              <w:top w:val="nil"/>
              <w:left w:val="nil"/>
              <w:bottom w:val="nil"/>
              <w:right w:val="nil"/>
            </w:tcBorders>
            <w:shd w:val="clear" w:color="auto" w:fill="auto"/>
          </w:tcPr>
          <w:p w14:paraId="4684285C" w14:textId="01FB79C3"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measures the performance of USD-denominated, non-investment-grade, fixed-rate taxable corporate bonds. "High-yield" securities have the middle rating from Moody's, </w:t>
            </w:r>
            <w:proofErr w:type="gramStart"/>
            <w:r w:rsidRPr="000C47EF">
              <w:rPr>
                <w:rFonts w:ascii="Arial" w:hAnsi="Arial" w:cs="Arial"/>
                <w:sz w:val="18"/>
                <w:szCs w:val="18"/>
              </w:rPr>
              <w:t>Fitch</w:t>
            </w:r>
            <w:proofErr w:type="gramEnd"/>
            <w:r w:rsidRPr="000C47EF">
              <w:rPr>
                <w:rFonts w:ascii="Arial" w:hAnsi="Arial" w:cs="Arial"/>
                <w:sz w:val="18"/>
                <w:szCs w:val="18"/>
              </w:rPr>
              <w:t xml:space="preserve"> or S&amp;P of Ba1/BB+/BB+ or below. Index excludes emerging market debt.</w:t>
            </w:r>
          </w:p>
        </w:tc>
      </w:tr>
      <w:tr w:rsidR="00695857" w:rsidRPr="00695857" w14:paraId="20338436" w14:textId="77777777" w:rsidTr="00695857">
        <w:trPr>
          <w:trHeight w:val="636"/>
        </w:trPr>
        <w:tc>
          <w:tcPr>
            <w:tcW w:w="1654" w:type="dxa"/>
            <w:tcBorders>
              <w:top w:val="nil"/>
              <w:left w:val="nil"/>
              <w:bottom w:val="nil"/>
              <w:right w:val="nil"/>
            </w:tcBorders>
            <w:shd w:val="clear" w:color="auto" w:fill="auto"/>
          </w:tcPr>
          <w:p w14:paraId="2C9279EC" w14:textId="60B95DEA"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 xml:space="preserve">US </w:t>
            </w:r>
            <w:r w:rsidR="00632B38">
              <w:rPr>
                <w:rFonts w:ascii="Arial" w:hAnsi="Arial" w:cs="Arial"/>
                <w:sz w:val="18"/>
                <w:szCs w:val="18"/>
              </w:rPr>
              <w:t>REIT</w:t>
            </w:r>
          </w:p>
        </w:tc>
        <w:tc>
          <w:tcPr>
            <w:tcW w:w="1929" w:type="dxa"/>
            <w:tcBorders>
              <w:top w:val="nil"/>
              <w:left w:val="nil"/>
              <w:bottom w:val="nil"/>
              <w:right w:val="nil"/>
            </w:tcBorders>
            <w:shd w:val="clear" w:color="auto" w:fill="auto"/>
          </w:tcPr>
          <w:p w14:paraId="0A5C1F9D" w14:textId="6A79AD4B"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FTSE NAREIT All Equity REITs</w:t>
            </w:r>
          </w:p>
        </w:tc>
        <w:tc>
          <w:tcPr>
            <w:tcW w:w="7073" w:type="dxa"/>
            <w:tcBorders>
              <w:top w:val="nil"/>
              <w:left w:val="nil"/>
              <w:bottom w:val="nil"/>
              <w:right w:val="nil"/>
            </w:tcBorders>
            <w:shd w:val="clear" w:color="auto" w:fill="auto"/>
          </w:tcPr>
          <w:p w14:paraId="0B358B73" w14:textId="58F9F34E" w:rsidR="00695857" w:rsidRPr="000C47EF" w:rsidRDefault="00695857" w:rsidP="00695857">
            <w:pPr>
              <w:spacing w:after="0" w:line="240" w:lineRule="auto"/>
              <w:rPr>
                <w:rFonts w:ascii="Arial" w:hAnsi="Arial" w:cs="Arial"/>
                <w:color w:val="000000"/>
                <w:sz w:val="18"/>
                <w:szCs w:val="18"/>
              </w:rPr>
            </w:pPr>
            <w:r w:rsidRPr="000C47EF">
              <w:rPr>
                <w:rFonts w:ascii="Arial" w:hAnsi="Arial" w:cs="Arial"/>
                <w:sz w:val="18"/>
                <w:szCs w:val="18"/>
              </w:rPr>
              <w:t>measures the performance of publicly traded US real estate securities, such as real estate investment trusts (REITs) and real estate operating companies.</w:t>
            </w:r>
          </w:p>
        </w:tc>
      </w:tr>
      <w:tr w:rsidR="00632B38" w:rsidRPr="00695857" w14:paraId="6794B53E" w14:textId="77777777" w:rsidTr="00695857">
        <w:trPr>
          <w:trHeight w:val="636"/>
        </w:trPr>
        <w:tc>
          <w:tcPr>
            <w:tcW w:w="1654" w:type="dxa"/>
            <w:tcBorders>
              <w:top w:val="nil"/>
              <w:left w:val="nil"/>
              <w:bottom w:val="nil"/>
              <w:right w:val="nil"/>
            </w:tcBorders>
            <w:shd w:val="clear" w:color="auto" w:fill="auto"/>
          </w:tcPr>
          <w:p w14:paraId="22671D4B" w14:textId="13772260" w:rsidR="00632B38" w:rsidRPr="000C47EF" w:rsidRDefault="00632B38" w:rsidP="00695857">
            <w:pPr>
              <w:spacing w:after="0" w:line="240" w:lineRule="auto"/>
              <w:rPr>
                <w:rFonts w:ascii="Arial" w:hAnsi="Arial" w:cs="Arial"/>
                <w:sz w:val="18"/>
                <w:szCs w:val="18"/>
              </w:rPr>
            </w:pPr>
            <w:r>
              <w:rPr>
                <w:rFonts w:ascii="Arial" w:hAnsi="Arial" w:cs="Arial"/>
                <w:color w:val="000000"/>
                <w:sz w:val="18"/>
                <w:szCs w:val="18"/>
              </w:rPr>
              <w:t>US Treasury Inflation Protected Securities (TIPS)</w:t>
            </w:r>
          </w:p>
        </w:tc>
        <w:tc>
          <w:tcPr>
            <w:tcW w:w="1929" w:type="dxa"/>
            <w:tcBorders>
              <w:top w:val="nil"/>
              <w:left w:val="nil"/>
              <w:bottom w:val="nil"/>
              <w:right w:val="nil"/>
            </w:tcBorders>
            <w:shd w:val="clear" w:color="auto" w:fill="auto"/>
          </w:tcPr>
          <w:p w14:paraId="68DB8808" w14:textId="775A3AF6" w:rsidR="00632B38" w:rsidRPr="000C47EF" w:rsidRDefault="00632B38" w:rsidP="00695857">
            <w:pPr>
              <w:spacing w:after="0" w:line="240" w:lineRule="auto"/>
              <w:rPr>
                <w:rFonts w:ascii="Arial" w:hAnsi="Arial" w:cs="Arial"/>
                <w:sz w:val="18"/>
                <w:szCs w:val="18"/>
              </w:rPr>
            </w:pPr>
            <w:r w:rsidRPr="00605672">
              <w:rPr>
                <w:rFonts w:ascii="Arial" w:hAnsi="Arial" w:cs="Arial"/>
                <w:color w:val="000000"/>
                <w:sz w:val="18"/>
                <w:szCs w:val="18"/>
              </w:rPr>
              <w:t>Bloomberg US TIPS</w:t>
            </w:r>
          </w:p>
        </w:tc>
        <w:tc>
          <w:tcPr>
            <w:tcW w:w="7073" w:type="dxa"/>
            <w:tcBorders>
              <w:top w:val="nil"/>
              <w:left w:val="nil"/>
              <w:bottom w:val="nil"/>
              <w:right w:val="nil"/>
            </w:tcBorders>
            <w:shd w:val="clear" w:color="auto" w:fill="auto"/>
          </w:tcPr>
          <w:p w14:paraId="48FE872D" w14:textId="0093E402" w:rsidR="00632B38" w:rsidRPr="000C47EF" w:rsidRDefault="00632B38" w:rsidP="00695857">
            <w:pPr>
              <w:spacing w:after="0" w:line="240" w:lineRule="auto"/>
              <w:rPr>
                <w:rFonts w:ascii="Arial" w:hAnsi="Arial" w:cs="Arial"/>
                <w:sz w:val="18"/>
                <w:szCs w:val="18"/>
              </w:rPr>
            </w:pPr>
            <w:r w:rsidRPr="002637B9">
              <w:rPr>
                <w:rFonts w:ascii="Arial" w:hAnsi="Arial" w:cs="Arial"/>
                <w:color w:val="000000"/>
                <w:sz w:val="18"/>
                <w:szCs w:val="18"/>
              </w:rPr>
              <w:t>measures the performance of a comprehensive family of REIT indexes that spans the commercial real estate space across the U</w:t>
            </w:r>
            <w:r w:rsidR="00C37D1C">
              <w:rPr>
                <w:rFonts w:ascii="Arial" w:hAnsi="Arial" w:cs="Arial"/>
                <w:color w:val="000000"/>
                <w:sz w:val="18"/>
                <w:szCs w:val="18"/>
              </w:rPr>
              <w:t>S</w:t>
            </w:r>
            <w:r w:rsidRPr="002637B9">
              <w:rPr>
                <w:rFonts w:ascii="Arial" w:hAnsi="Arial" w:cs="Arial"/>
                <w:color w:val="000000"/>
                <w:sz w:val="18"/>
                <w:szCs w:val="18"/>
              </w:rPr>
              <w:t xml:space="preserve"> economy. The index series provides investors with exposure to all investment and property sectors.</w:t>
            </w:r>
          </w:p>
        </w:tc>
      </w:tr>
    </w:tbl>
    <w:p w14:paraId="06E368A7" w14:textId="39199D65" w:rsidR="004A71D4" w:rsidRDefault="004A71D4" w:rsidP="00F647BF">
      <w:pPr>
        <w:autoSpaceDE w:val="0"/>
        <w:autoSpaceDN w:val="0"/>
        <w:spacing w:after="0"/>
        <w:ind w:right="-360" w:hanging="540"/>
        <w:rPr>
          <w:rFonts w:ascii="Arial" w:hAnsi="Arial" w:cs="Arial"/>
          <w:color w:val="343433"/>
          <w:sz w:val="21"/>
        </w:rPr>
      </w:pPr>
    </w:p>
    <w:p w14:paraId="6FA69E09" w14:textId="77777777" w:rsidR="006239C2" w:rsidRDefault="006239C2" w:rsidP="00F647BF">
      <w:pPr>
        <w:autoSpaceDE w:val="0"/>
        <w:autoSpaceDN w:val="0"/>
        <w:spacing w:after="0"/>
        <w:ind w:right="-360" w:hanging="540"/>
        <w:rPr>
          <w:rFonts w:ascii="Arial" w:hAnsi="Arial" w:cs="Arial"/>
          <w:color w:val="343433"/>
          <w:sz w:val="21"/>
        </w:rPr>
      </w:pPr>
    </w:p>
    <w:p w14:paraId="7C6A9D54" w14:textId="77777777" w:rsidR="00F647BF" w:rsidRPr="0040163B" w:rsidRDefault="00F647BF" w:rsidP="00F647BF">
      <w:pPr>
        <w:spacing w:after="160"/>
        <w:ind w:right="-720"/>
        <w:rPr>
          <w:rFonts w:ascii="Arial" w:hAnsi="Arial" w:cs="Arial"/>
          <w:color w:val="343433"/>
          <w:sz w:val="16"/>
          <w:szCs w:val="16"/>
        </w:rPr>
      </w:pPr>
    </w:p>
    <w:p w14:paraId="1CA21405" w14:textId="77777777" w:rsidR="00DE0BBF" w:rsidRPr="00844036" w:rsidRDefault="00DE0BBF" w:rsidP="00FE7F0D">
      <w:pPr>
        <w:spacing w:after="160"/>
        <w:ind w:right="-720"/>
        <w:rPr>
          <w:rFonts w:ascii="Arial" w:hAnsi="Arial" w:cs="Arial"/>
          <w:color w:val="343433"/>
          <w:sz w:val="18"/>
          <w:szCs w:val="18"/>
        </w:rPr>
      </w:pPr>
    </w:p>
    <w:p w14:paraId="7FB63708" w14:textId="77777777" w:rsidR="00DE0BBF" w:rsidRPr="00844036" w:rsidRDefault="00DE0BBF" w:rsidP="00FE7F0D">
      <w:pPr>
        <w:spacing w:after="160"/>
        <w:ind w:right="-720"/>
        <w:rPr>
          <w:rFonts w:ascii="Arial" w:hAnsi="Arial" w:cs="Arial"/>
          <w:color w:val="343433"/>
          <w:sz w:val="18"/>
          <w:szCs w:val="18"/>
        </w:rPr>
      </w:pPr>
    </w:p>
    <w:p w14:paraId="640A84B7" w14:textId="10E6C23C"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62848" behindDoc="0" locked="0" layoutInCell="1" allowOverlap="1" wp14:anchorId="35A1F3A9" wp14:editId="618A9E10">
                <wp:simplePos x="0" y="0"/>
                <wp:positionH relativeFrom="margin">
                  <wp:posOffset>-660400</wp:posOffset>
                </wp:positionH>
                <wp:positionV relativeFrom="paragraph">
                  <wp:posOffset>3980180</wp:posOffset>
                </wp:positionV>
                <wp:extent cx="6927850" cy="4057650"/>
                <wp:effectExtent l="0" t="0" r="6350" b="0"/>
                <wp:wrapTopAndBottom/>
                <wp:docPr id="3" name="Group 3"/>
                <wp:cNvGraphicFramePr/>
                <a:graphic xmlns:a="http://schemas.openxmlformats.org/drawingml/2006/main">
                  <a:graphicData uri="http://schemas.microsoft.com/office/word/2010/wordprocessingGroup">
                    <wpg:wgp>
                      <wpg:cNvGrpSpPr/>
                      <wpg:grpSpPr>
                        <a:xfrm>
                          <a:off x="0" y="0"/>
                          <a:ext cx="6927850" cy="405765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92639" y="373324"/>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55665" y="105752"/>
                            <a:ext cx="5417820" cy="2354545"/>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19C815E"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sidR="000802EB">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04D38028" w:rsidR="002F7F11" w:rsidRPr="00BF0CB7" w:rsidRDefault="006578A3" w:rsidP="00476763">
                              <w:pPr>
                                <w:pStyle w:val="NormalWeb"/>
                                <w:spacing w:before="0" w:beforeAutospacing="0"/>
                                <w:contextualSpacing/>
                                <w:rPr>
                                  <w:rFonts w:ascii="Arial" w:hAnsi="Arial" w:cs="Arial"/>
                                  <w:sz w:val="16"/>
                                  <w:szCs w:val="16"/>
                                </w:rPr>
                              </w:pPr>
                              <w:r w:rsidRPr="006578A3">
                                <w:rPr>
                                  <w:rFonts w:ascii="Arial" w:hAnsi="Arial" w:cs="Arial"/>
                                  <w:sz w:val="16"/>
                                  <w:szCs w:val="16"/>
                                </w:rPr>
                                <w:t>103359</w:t>
                              </w:r>
                              <w:r w:rsidR="00B773EA">
                                <w:rPr>
                                  <w:rFonts w:ascii="Arial" w:hAnsi="Arial" w:cs="Arial"/>
                                  <w:sz w:val="16"/>
                                  <w:szCs w:val="16"/>
                                </w:rPr>
                                <w:t xml:space="preserve"> </w:t>
                              </w:r>
                              <w:r w:rsidR="002F7F11" w:rsidRPr="00F419DF">
                                <w:rPr>
                                  <w:rFonts w:ascii="Arial" w:hAnsi="Arial" w:cs="Arial"/>
                                  <w:sz w:val="16"/>
                                  <w:szCs w:val="16"/>
                                </w:rPr>
                                <w:t xml:space="preserve">| </w:t>
                              </w:r>
                              <w:r w:rsidR="00F419DF" w:rsidRPr="00F419DF">
                                <w:rPr>
                                  <w:rFonts w:ascii="Arial" w:hAnsi="Arial" w:cs="Arial"/>
                                  <w:sz w:val="16"/>
                                  <w:szCs w:val="16"/>
                                </w:rPr>
                                <w:t>C22</w:t>
                              </w:r>
                              <w:r w:rsidR="00F419DF" w:rsidRPr="00AF4F44">
                                <w:rPr>
                                  <w:rFonts w:ascii="Arial" w:hAnsi="Arial" w:cs="Arial"/>
                                  <w:sz w:val="16"/>
                                  <w:szCs w:val="16"/>
                                </w:rPr>
                                <w:t>-</w:t>
                              </w:r>
                              <w:r w:rsidR="00AF4F44" w:rsidRPr="00AF4F44">
                                <w:rPr>
                                  <w:rFonts w:ascii="Arial" w:hAnsi="Arial" w:cs="Arial"/>
                                  <w:sz w:val="16"/>
                                  <w:szCs w:val="16"/>
                                </w:rPr>
                                <w:t>19379</w:t>
                              </w:r>
                              <w:r w:rsidR="002F7F11" w:rsidRPr="001437D6">
                                <w:rPr>
                                  <w:rFonts w:ascii="Arial" w:hAnsi="Arial" w:cs="Arial"/>
                                  <w:sz w:val="16"/>
                                  <w:szCs w:val="16"/>
                                </w:rPr>
                                <w:t xml:space="preserve">| </w:t>
                              </w:r>
                              <w:r w:rsidR="00C37D1C">
                                <w:rPr>
                                  <w:rFonts w:ascii="Arial" w:hAnsi="Arial" w:cs="Arial"/>
                                  <w:sz w:val="16"/>
                                  <w:szCs w:val="16"/>
                                </w:rPr>
                                <w:t>11</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w:t>
                              </w:r>
                              <w:r w:rsidR="00C37D1C">
                                <w:rPr>
                                  <w:rFonts w:ascii="Arial" w:hAnsi="Arial" w:cs="Arial"/>
                                  <w:sz w:val="16"/>
                                  <w:szCs w:val="16"/>
                                </w:rPr>
                                <w:t>11/30</w:t>
                              </w:r>
                              <w:r w:rsidR="002F7F11" w:rsidRPr="001437D6">
                                <w:rPr>
                                  <w:rFonts w:ascii="Arial" w:hAnsi="Arial" w:cs="Arial"/>
                                  <w:sz w:val="16"/>
                                  <w:szCs w:val="16"/>
                                </w:rPr>
                                <w:t>/202</w:t>
                              </w:r>
                              <w:r w:rsidR="00F67AD8" w:rsidRPr="001437D6">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52pt;margin-top:313.4pt;width:545.5pt;height:319.5pt;z-index:251662848;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926;top:3733;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556;top:1057;width:54178;height:2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19C815E"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sidR="000802EB">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04D38028" w:rsidR="002F7F11" w:rsidRPr="00BF0CB7" w:rsidRDefault="006578A3" w:rsidP="00476763">
                        <w:pPr>
                          <w:pStyle w:val="NormalWeb"/>
                          <w:spacing w:before="0" w:beforeAutospacing="0"/>
                          <w:contextualSpacing/>
                          <w:rPr>
                            <w:rFonts w:ascii="Arial" w:hAnsi="Arial" w:cs="Arial"/>
                            <w:sz w:val="16"/>
                            <w:szCs w:val="16"/>
                          </w:rPr>
                        </w:pPr>
                        <w:r w:rsidRPr="006578A3">
                          <w:rPr>
                            <w:rFonts w:ascii="Arial" w:hAnsi="Arial" w:cs="Arial"/>
                            <w:sz w:val="16"/>
                            <w:szCs w:val="16"/>
                          </w:rPr>
                          <w:t>103359</w:t>
                        </w:r>
                        <w:r w:rsidR="00B773EA">
                          <w:rPr>
                            <w:rFonts w:ascii="Arial" w:hAnsi="Arial" w:cs="Arial"/>
                            <w:sz w:val="16"/>
                            <w:szCs w:val="16"/>
                          </w:rPr>
                          <w:t xml:space="preserve"> </w:t>
                        </w:r>
                        <w:r w:rsidR="002F7F11" w:rsidRPr="00F419DF">
                          <w:rPr>
                            <w:rFonts w:ascii="Arial" w:hAnsi="Arial" w:cs="Arial"/>
                            <w:sz w:val="16"/>
                            <w:szCs w:val="16"/>
                          </w:rPr>
                          <w:t xml:space="preserve">| </w:t>
                        </w:r>
                        <w:r w:rsidR="00F419DF" w:rsidRPr="00F419DF">
                          <w:rPr>
                            <w:rFonts w:ascii="Arial" w:hAnsi="Arial" w:cs="Arial"/>
                            <w:sz w:val="16"/>
                            <w:szCs w:val="16"/>
                          </w:rPr>
                          <w:t>C22</w:t>
                        </w:r>
                        <w:r w:rsidR="00F419DF" w:rsidRPr="00AF4F44">
                          <w:rPr>
                            <w:rFonts w:ascii="Arial" w:hAnsi="Arial" w:cs="Arial"/>
                            <w:sz w:val="16"/>
                            <w:szCs w:val="16"/>
                          </w:rPr>
                          <w:t>-</w:t>
                        </w:r>
                        <w:r w:rsidR="00AF4F44" w:rsidRPr="00AF4F44">
                          <w:rPr>
                            <w:rFonts w:ascii="Arial" w:hAnsi="Arial" w:cs="Arial"/>
                            <w:sz w:val="16"/>
                            <w:szCs w:val="16"/>
                          </w:rPr>
                          <w:t>19379</w:t>
                        </w:r>
                        <w:r w:rsidR="002F7F11" w:rsidRPr="001437D6">
                          <w:rPr>
                            <w:rFonts w:ascii="Arial" w:hAnsi="Arial" w:cs="Arial"/>
                            <w:sz w:val="16"/>
                            <w:szCs w:val="16"/>
                          </w:rPr>
                          <w:t xml:space="preserve">| </w:t>
                        </w:r>
                        <w:r w:rsidR="00C37D1C">
                          <w:rPr>
                            <w:rFonts w:ascii="Arial" w:hAnsi="Arial" w:cs="Arial"/>
                            <w:sz w:val="16"/>
                            <w:szCs w:val="16"/>
                          </w:rPr>
                          <w:t>11</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w:t>
                        </w:r>
                        <w:r w:rsidR="00C37D1C">
                          <w:rPr>
                            <w:rFonts w:ascii="Arial" w:hAnsi="Arial" w:cs="Arial"/>
                            <w:sz w:val="16"/>
                            <w:szCs w:val="16"/>
                          </w:rPr>
                          <w:t>11/30</w:t>
                        </w:r>
                        <w:r w:rsidR="002F7F11" w:rsidRPr="001437D6">
                          <w:rPr>
                            <w:rFonts w:ascii="Arial" w:hAnsi="Arial" w:cs="Arial"/>
                            <w:sz w:val="16"/>
                            <w:szCs w:val="16"/>
                          </w:rPr>
                          <w:t>/202</w:t>
                        </w:r>
                        <w:r w:rsidR="00F67AD8" w:rsidRPr="001437D6">
                          <w:rPr>
                            <w:rFonts w:ascii="Arial" w:hAnsi="Arial" w:cs="Arial"/>
                            <w:sz w:val="16"/>
                            <w:szCs w:val="16"/>
                          </w:rPr>
                          <w:t>4</w:t>
                        </w:r>
                      </w:p>
                    </w:txbxContent>
                  </v:textbox>
                </v:shape>
                <w10:wrap type="topAndBottom" anchorx="margin"/>
              </v:group>
            </w:pict>
          </mc:Fallback>
        </mc:AlternateContent>
      </w:r>
    </w:p>
    <w:sectPr w:rsidR="003A27B5" w:rsidRPr="0040163B" w:rsidSect="006A6909">
      <w:headerReference w:type="default" r:id="rId15"/>
      <w:footerReference w:type="even" r:id="rId16"/>
      <w:footerReference w:type="default" r:id="rId17"/>
      <w:headerReference w:type="first" r:id="rId18"/>
      <w:footerReference w:type="first" r:id="rId19"/>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24AD" w14:textId="77777777" w:rsidR="00D87AD4" w:rsidRDefault="00D87AD4" w:rsidP="005C1D70">
      <w:pPr>
        <w:spacing w:after="0" w:line="240" w:lineRule="auto"/>
      </w:pPr>
      <w:r>
        <w:separator/>
      </w:r>
    </w:p>
  </w:endnote>
  <w:endnote w:type="continuationSeparator" w:id="0">
    <w:p w14:paraId="776C3710" w14:textId="77777777" w:rsidR="00D87AD4" w:rsidRDefault="00D87AD4" w:rsidP="005C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5158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556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49536"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1C236" id="Straight Connector 5" o:spid="_x0000_s1026" style="position:absolute;z-index:251649536;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59776"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5772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42B81" id="Straight Connector 12" o:spid="_x0000_s1026"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61824"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F1A2" w14:textId="77777777" w:rsidR="00D87AD4" w:rsidRDefault="00D87AD4" w:rsidP="005C1D70">
      <w:pPr>
        <w:spacing w:after="0" w:line="240" w:lineRule="auto"/>
      </w:pPr>
      <w:r>
        <w:separator/>
      </w:r>
    </w:p>
  </w:footnote>
  <w:footnote w:type="continuationSeparator" w:id="0">
    <w:p w14:paraId="1120FC49" w14:textId="77777777" w:rsidR="00D87AD4" w:rsidRDefault="00D87AD4"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654E6"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11B246ED" w:rsidR="0037202D" w:rsidRPr="00430CF3" w:rsidRDefault="00430CF3" w:rsidP="0037202D">
                          <w:pPr>
                            <w:rPr>
                              <w:rFonts w:ascii="Arial" w:hAnsi="Arial" w:cs="Arial"/>
                            </w:rPr>
                          </w:pPr>
                          <w:r>
                            <w:rPr>
                              <w:rFonts w:ascii="Arial" w:hAnsi="Arial" w:cs="Arial"/>
                            </w:rPr>
                            <w:t xml:space="preserve">October </w:t>
                          </w:r>
                          <w:r w:rsidR="0037202D">
                            <w:rPr>
                              <w:rFonts w:ascii="Arial" w:hAnsi="Arial" w:cs="Arial"/>
                            </w:rPr>
                            <w:t>2</w:t>
                          </w:r>
                          <w:r w:rsidR="00D31089">
                            <w:rPr>
                              <w:rFonts w:ascii="Arial" w:hAnsi="Arial" w:cs="Arial"/>
                            </w:rPr>
                            <w:t>02</w:t>
                          </w:r>
                          <w:r w:rsidR="00F27D3C">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11B246ED" w:rsidR="0037202D" w:rsidRPr="00430CF3" w:rsidRDefault="00430CF3" w:rsidP="0037202D">
                    <w:pPr>
                      <w:rPr>
                        <w:rFonts w:ascii="Arial" w:hAnsi="Arial" w:cs="Arial"/>
                      </w:rPr>
                    </w:pPr>
                    <w:r>
                      <w:rPr>
                        <w:rFonts w:ascii="Arial" w:hAnsi="Arial" w:cs="Arial"/>
                      </w:rPr>
                      <w:t xml:space="preserve">October </w:t>
                    </w:r>
                    <w:r w:rsidR="0037202D">
                      <w:rPr>
                        <w:rFonts w:ascii="Arial" w:hAnsi="Arial" w:cs="Arial"/>
                      </w:rPr>
                      <w:t>2</w:t>
                    </w:r>
                    <w:r w:rsidR="00D31089">
                      <w:rPr>
                        <w:rFonts w:ascii="Arial" w:hAnsi="Arial" w:cs="Arial"/>
                      </w:rPr>
                      <w:t>02</w:t>
                    </w:r>
                    <w:r w:rsidR="00F27D3C">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19CDD"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4"/>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kwNK4FADiCCYstAAAA"/>
    <w:docVar w:name="APWAFNeedToUniquify" w:val="true"/>
    <w:docVar w:name="APWAFVersion" w:val="5.0"/>
  </w:docVars>
  <w:rsids>
    <w:rsidRoot w:val="005C1D70"/>
    <w:rsid w:val="0000050D"/>
    <w:rsid w:val="000019A6"/>
    <w:rsid w:val="0000260F"/>
    <w:rsid w:val="00005BBE"/>
    <w:rsid w:val="0000769F"/>
    <w:rsid w:val="00007A7E"/>
    <w:rsid w:val="00010B74"/>
    <w:rsid w:val="000112B7"/>
    <w:rsid w:val="00011A53"/>
    <w:rsid w:val="00011C41"/>
    <w:rsid w:val="000131D4"/>
    <w:rsid w:val="00015BBE"/>
    <w:rsid w:val="00016117"/>
    <w:rsid w:val="00016A13"/>
    <w:rsid w:val="00016B9E"/>
    <w:rsid w:val="000206C0"/>
    <w:rsid w:val="00023599"/>
    <w:rsid w:val="00023DD2"/>
    <w:rsid w:val="000240EF"/>
    <w:rsid w:val="000242CF"/>
    <w:rsid w:val="000242F4"/>
    <w:rsid w:val="00024439"/>
    <w:rsid w:val="00025503"/>
    <w:rsid w:val="00025D22"/>
    <w:rsid w:val="0003017C"/>
    <w:rsid w:val="00030ECA"/>
    <w:rsid w:val="0003376F"/>
    <w:rsid w:val="0003567F"/>
    <w:rsid w:val="00036154"/>
    <w:rsid w:val="000371DC"/>
    <w:rsid w:val="00041620"/>
    <w:rsid w:val="00042084"/>
    <w:rsid w:val="00042E23"/>
    <w:rsid w:val="000430A6"/>
    <w:rsid w:val="00045057"/>
    <w:rsid w:val="00045F09"/>
    <w:rsid w:val="00051F5A"/>
    <w:rsid w:val="000525E5"/>
    <w:rsid w:val="00053DFF"/>
    <w:rsid w:val="00053EFC"/>
    <w:rsid w:val="00054C1C"/>
    <w:rsid w:val="00066B89"/>
    <w:rsid w:val="00066F4E"/>
    <w:rsid w:val="00067D72"/>
    <w:rsid w:val="00067E01"/>
    <w:rsid w:val="000724FE"/>
    <w:rsid w:val="00074F9A"/>
    <w:rsid w:val="0007798A"/>
    <w:rsid w:val="000802EB"/>
    <w:rsid w:val="00081251"/>
    <w:rsid w:val="00081973"/>
    <w:rsid w:val="00082B41"/>
    <w:rsid w:val="00090399"/>
    <w:rsid w:val="0009147A"/>
    <w:rsid w:val="0009187A"/>
    <w:rsid w:val="00091B63"/>
    <w:rsid w:val="000929C4"/>
    <w:rsid w:val="00092E4D"/>
    <w:rsid w:val="00094A2D"/>
    <w:rsid w:val="000966B3"/>
    <w:rsid w:val="00096F2C"/>
    <w:rsid w:val="000A165A"/>
    <w:rsid w:val="000A2108"/>
    <w:rsid w:val="000A2B98"/>
    <w:rsid w:val="000A2ED9"/>
    <w:rsid w:val="000A5A3C"/>
    <w:rsid w:val="000A6046"/>
    <w:rsid w:val="000A72E5"/>
    <w:rsid w:val="000A7488"/>
    <w:rsid w:val="000A7E8D"/>
    <w:rsid w:val="000B0791"/>
    <w:rsid w:val="000B134F"/>
    <w:rsid w:val="000B19DD"/>
    <w:rsid w:val="000B1D36"/>
    <w:rsid w:val="000B2834"/>
    <w:rsid w:val="000B3F75"/>
    <w:rsid w:val="000B4C97"/>
    <w:rsid w:val="000B540D"/>
    <w:rsid w:val="000C049C"/>
    <w:rsid w:val="000C06AC"/>
    <w:rsid w:val="000C1030"/>
    <w:rsid w:val="000C1F1A"/>
    <w:rsid w:val="000C24C5"/>
    <w:rsid w:val="000C47EF"/>
    <w:rsid w:val="000C4AB5"/>
    <w:rsid w:val="000C4D71"/>
    <w:rsid w:val="000C698E"/>
    <w:rsid w:val="000C739F"/>
    <w:rsid w:val="000D0736"/>
    <w:rsid w:val="000D0C50"/>
    <w:rsid w:val="000D138B"/>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0C6"/>
    <w:rsid w:val="000F158F"/>
    <w:rsid w:val="000F4301"/>
    <w:rsid w:val="000F5D04"/>
    <w:rsid w:val="000F6502"/>
    <w:rsid w:val="000F6A69"/>
    <w:rsid w:val="000F79F4"/>
    <w:rsid w:val="000F7DAD"/>
    <w:rsid w:val="00100FC7"/>
    <w:rsid w:val="0010194E"/>
    <w:rsid w:val="00101B62"/>
    <w:rsid w:val="00101E87"/>
    <w:rsid w:val="001054EB"/>
    <w:rsid w:val="001061F5"/>
    <w:rsid w:val="0010785C"/>
    <w:rsid w:val="0011194D"/>
    <w:rsid w:val="00111BBD"/>
    <w:rsid w:val="00112281"/>
    <w:rsid w:val="00112B9A"/>
    <w:rsid w:val="001142B7"/>
    <w:rsid w:val="00114CA7"/>
    <w:rsid w:val="00117FBC"/>
    <w:rsid w:val="00120228"/>
    <w:rsid w:val="0012078C"/>
    <w:rsid w:val="00120D18"/>
    <w:rsid w:val="001220AD"/>
    <w:rsid w:val="00126D79"/>
    <w:rsid w:val="001318F1"/>
    <w:rsid w:val="00133681"/>
    <w:rsid w:val="00134565"/>
    <w:rsid w:val="00135076"/>
    <w:rsid w:val="00135AE9"/>
    <w:rsid w:val="0013691A"/>
    <w:rsid w:val="00137F05"/>
    <w:rsid w:val="00140B3E"/>
    <w:rsid w:val="001437D6"/>
    <w:rsid w:val="0014506F"/>
    <w:rsid w:val="0015043F"/>
    <w:rsid w:val="00150B19"/>
    <w:rsid w:val="00151D69"/>
    <w:rsid w:val="001535ED"/>
    <w:rsid w:val="001649B9"/>
    <w:rsid w:val="00170A3E"/>
    <w:rsid w:val="00174514"/>
    <w:rsid w:val="00174990"/>
    <w:rsid w:val="001749C8"/>
    <w:rsid w:val="00175576"/>
    <w:rsid w:val="00175F3F"/>
    <w:rsid w:val="00176A6B"/>
    <w:rsid w:val="001779A9"/>
    <w:rsid w:val="001830FB"/>
    <w:rsid w:val="00184874"/>
    <w:rsid w:val="001859E9"/>
    <w:rsid w:val="00186470"/>
    <w:rsid w:val="001867A3"/>
    <w:rsid w:val="00192BEE"/>
    <w:rsid w:val="00192D1F"/>
    <w:rsid w:val="00192E8F"/>
    <w:rsid w:val="00192FA0"/>
    <w:rsid w:val="00194352"/>
    <w:rsid w:val="00194BC0"/>
    <w:rsid w:val="0019560C"/>
    <w:rsid w:val="00196BEC"/>
    <w:rsid w:val="00196F86"/>
    <w:rsid w:val="001A07B6"/>
    <w:rsid w:val="001A1863"/>
    <w:rsid w:val="001A18BD"/>
    <w:rsid w:val="001A3B06"/>
    <w:rsid w:val="001A42D1"/>
    <w:rsid w:val="001A57E4"/>
    <w:rsid w:val="001A5DB0"/>
    <w:rsid w:val="001A6654"/>
    <w:rsid w:val="001A7B72"/>
    <w:rsid w:val="001B0603"/>
    <w:rsid w:val="001B0CA8"/>
    <w:rsid w:val="001B0F29"/>
    <w:rsid w:val="001B1060"/>
    <w:rsid w:val="001B109A"/>
    <w:rsid w:val="001B2683"/>
    <w:rsid w:val="001B37C3"/>
    <w:rsid w:val="001B3C5E"/>
    <w:rsid w:val="001B4806"/>
    <w:rsid w:val="001B49C8"/>
    <w:rsid w:val="001B5EFB"/>
    <w:rsid w:val="001B62EA"/>
    <w:rsid w:val="001B6B17"/>
    <w:rsid w:val="001B6F67"/>
    <w:rsid w:val="001C0C09"/>
    <w:rsid w:val="001C2718"/>
    <w:rsid w:val="001C403B"/>
    <w:rsid w:val="001D058D"/>
    <w:rsid w:val="001D0F27"/>
    <w:rsid w:val="001D1C5C"/>
    <w:rsid w:val="001D23B1"/>
    <w:rsid w:val="001D28D0"/>
    <w:rsid w:val="001D29C3"/>
    <w:rsid w:val="001D2EDE"/>
    <w:rsid w:val="001D41CD"/>
    <w:rsid w:val="001D528D"/>
    <w:rsid w:val="001D5914"/>
    <w:rsid w:val="001D5AEF"/>
    <w:rsid w:val="001D5D2F"/>
    <w:rsid w:val="001D6A03"/>
    <w:rsid w:val="001D6BC2"/>
    <w:rsid w:val="001D7446"/>
    <w:rsid w:val="001D7A8E"/>
    <w:rsid w:val="001D7C01"/>
    <w:rsid w:val="001E0BE1"/>
    <w:rsid w:val="001E0E05"/>
    <w:rsid w:val="001E1073"/>
    <w:rsid w:val="001E1180"/>
    <w:rsid w:val="001E21E7"/>
    <w:rsid w:val="001E3BDA"/>
    <w:rsid w:val="001E3C1A"/>
    <w:rsid w:val="001E4456"/>
    <w:rsid w:val="001E4E23"/>
    <w:rsid w:val="001E4FD6"/>
    <w:rsid w:val="001E581D"/>
    <w:rsid w:val="001E5CB7"/>
    <w:rsid w:val="001E71B3"/>
    <w:rsid w:val="001F06B2"/>
    <w:rsid w:val="001F0ADB"/>
    <w:rsid w:val="001F2BF8"/>
    <w:rsid w:val="001F5138"/>
    <w:rsid w:val="001F51C9"/>
    <w:rsid w:val="001F565A"/>
    <w:rsid w:val="001F724A"/>
    <w:rsid w:val="002005D2"/>
    <w:rsid w:val="0020229F"/>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1026"/>
    <w:rsid w:val="002215DC"/>
    <w:rsid w:val="002220C2"/>
    <w:rsid w:val="00225891"/>
    <w:rsid w:val="00225D97"/>
    <w:rsid w:val="002276A3"/>
    <w:rsid w:val="00227DDC"/>
    <w:rsid w:val="00230680"/>
    <w:rsid w:val="00232B67"/>
    <w:rsid w:val="00232B8E"/>
    <w:rsid w:val="00235DA5"/>
    <w:rsid w:val="00236820"/>
    <w:rsid w:val="002401F6"/>
    <w:rsid w:val="00240C3F"/>
    <w:rsid w:val="002417A8"/>
    <w:rsid w:val="00241BAE"/>
    <w:rsid w:val="002420DC"/>
    <w:rsid w:val="00243C06"/>
    <w:rsid w:val="00244DF1"/>
    <w:rsid w:val="002453BF"/>
    <w:rsid w:val="00245B44"/>
    <w:rsid w:val="002464B2"/>
    <w:rsid w:val="0024750F"/>
    <w:rsid w:val="00247852"/>
    <w:rsid w:val="002518A8"/>
    <w:rsid w:val="00255E94"/>
    <w:rsid w:val="00255EB5"/>
    <w:rsid w:val="00256320"/>
    <w:rsid w:val="00256578"/>
    <w:rsid w:val="00256F12"/>
    <w:rsid w:val="002578AC"/>
    <w:rsid w:val="0026106D"/>
    <w:rsid w:val="0026137A"/>
    <w:rsid w:val="00261B59"/>
    <w:rsid w:val="00262F13"/>
    <w:rsid w:val="0026361E"/>
    <w:rsid w:val="00272AF5"/>
    <w:rsid w:val="0027410D"/>
    <w:rsid w:val="0027433B"/>
    <w:rsid w:val="00274534"/>
    <w:rsid w:val="00275EBE"/>
    <w:rsid w:val="00280A79"/>
    <w:rsid w:val="00281338"/>
    <w:rsid w:val="00281444"/>
    <w:rsid w:val="002815AB"/>
    <w:rsid w:val="00282274"/>
    <w:rsid w:val="00282A2B"/>
    <w:rsid w:val="00283686"/>
    <w:rsid w:val="00283BA4"/>
    <w:rsid w:val="00284562"/>
    <w:rsid w:val="00284AA4"/>
    <w:rsid w:val="002859EB"/>
    <w:rsid w:val="00290B7F"/>
    <w:rsid w:val="00291044"/>
    <w:rsid w:val="0029313A"/>
    <w:rsid w:val="00293B4E"/>
    <w:rsid w:val="00296183"/>
    <w:rsid w:val="002969AD"/>
    <w:rsid w:val="002973E5"/>
    <w:rsid w:val="00297C2F"/>
    <w:rsid w:val="00297CBC"/>
    <w:rsid w:val="00297E82"/>
    <w:rsid w:val="002A08F8"/>
    <w:rsid w:val="002A1561"/>
    <w:rsid w:val="002A235D"/>
    <w:rsid w:val="002A381C"/>
    <w:rsid w:val="002A461C"/>
    <w:rsid w:val="002A773F"/>
    <w:rsid w:val="002B05C8"/>
    <w:rsid w:val="002C02AF"/>
    <w:rsid w:val="002C0565"/>
    <w:rsid w:val="002C51AE"/>
    <w:rsid w:val="002D05E4"/>
    <w:rsid w:val="002D22E8"/>
    <w:rsid w:val="002D2320"/>
    <w:rsid w:val="002D37C9"/>
    <w:rsid w:val="002D4F15"/>
    <w:rsid w:val="002D50C3"/>
    <w:rsid w:val="002D792A"/>
    <w:rsid w:val="002D7DC5"/>
    <w:rsid w:val="002E0A7B"/>
    <w:rsid w:val="002E23C4"/>
    <w:rsid w:val="002E433C"/>
    <w:rsid w:val="002E4898"/>
    <w:rsid w:val="002E508A"/>
    <w:rsid w:val="002E50EA"/>
    <w:rsid w:val="002E5BCA"/>
    <w:rsid w:val="002E5D44"/>
    <w:rsid w:val="002E6AFD"/>
    <w:rsid w:val="002E6E8A"/>
    <w:rsid w:val="002E7719"/>
    <w:rsid w:val="002F07C5"/>
    <w:rsid w:val="002F0C93"/>
    <w:rsid w:val="002F16B9"/>
    <w:rsid w:val="002F1EC0"/>
    <w:rsid w:val="002F2456"/>
    <w:rsid w:val="002F2B29"/>
    <w:rsid w:val="002F5CB2"/>
    <w:rsid w:val="002F79F4"/>
    <w:rsid w:val="002F7F11"/>
    <w:rsid w:val="00300023"/>
    <w:rsid w:val="00300BBA"/>
    <w:rsid w:val="003014F1"/>
    <w:rsid w:val="00303294"/>
    <w:rsid w:val="0030348F"/>
    <w:rsid w:val="00304FF2"/>
    <w:rsid w:val="00305296"/>
    <w:rsid w:val="00306374"/>
    <w:rsid w:val="00311CC1"/>
    <w:rsid w:val="00312544"/>
    <w:rsid w:val="003127F9"/>
    <w:rsid w:val="0031343F"/>
    <w:rsid w:val="00314D80"/>
    <w:rsid w:val="00317921"/>
    <w:rsid w:val="00322025"/>
    <w:rsid w:val="003220F7"/>
    <w:rsid w:val="003231DB"/>
    <w:rsid w:val="003244D1"/>
    <w:rsid w:val="0032479E"/>
    <w:rsid w:val="00325856"/>
    <w:rsid w:val="003268E6"/>
    <w:rsid w:val="00331075"/>
    <w:rsid w:val="0033118A"/>
    <w:rsid w:val="00331690"/>
    <w:rsid w:val="00332C29"/>
    <w:rsid w:val="00337C68"/>
    <w:rsid w:val="00340787"/>
    <w:rsid w:val="003431CC"/>
    <w:rsid w:val="003435A3"/>
    <w:rsid w:val="00343802"/>
    <w:rsid w:val="00343C2A"/>
    <w:rsid w:val="00345399"/>
    <w:rsid w:val="00346527"/>
    <w:rsid w:val="00352A50"/>
    <w:rsid w:val="0035334B"/>
    <w:rsid w:val="003537A9"/>
    <w:rsid w:val="00353E32"/>
    <w:rsid w:val="00355722"/>
    <w:rsid w:val="00355CA4"/>
    <w:rsid w:val="00362D4D"/>
    <w:rsid w:val="003638B1"/>
    <w:rsid w:val="0037202D"/>
    <w:rsid w:val="00372C2F"/>
    <w:rsid w:val="003730E1"/>
    <w:rsid w:val="0037448D"/>
    <w:rsid w:val="003762FC"/>
    <w:rsid w:val="0037726A"/>
    <w:rsid w:val="00377A2E"/>
    <w:rsid w:val="00381EB7"/>
    <w:rsid w:val="0038317A"/>
    <w:rsid w:val="003835CC"/>
    <w:rsid w:val="00383AF2"/>
    <w:rsid w:val="00383F8F"/>
    <w:rsid w:val="00384C50"/>
    <w:rsid w:val="00385C7C"/>
    <w:rsid w:val="0039028E"/>
    <w:rsid w:val="00391512"/>
    <w:rsid w:val="00393334"/>
    <w:rsid w:val="0039373B"/>
    <w:rsid w:val="003948A6"/>
    <w:rsid w:val="00396976"/>
    <w:rsid w:val="003A027C"/>
    <w:rsid w:val="003A04E0"/>
    <w:rsid w:val="003A0A0D"/>
    <w:rsid w:val="003A17E9"/>
    <w:rsid w:val="003A1C0B"/>
    <w:rsid w:val="003A27B5"/>
    <w:rsid w:val="003A2C48"/>
    <w:rsid w:val="003A312A"/>
    <w:rsid w:val="003A46FB"/>
    <w:rsid w:val="003A4D86"/>
    <w:rsid w:val="003A67D5"/>
    <w:rsid w:val="003A729F"/>
    <w:rsid w:val="003A796C"/>
    <w:rsid w:val="003A79ED"/>
    <w:rsid w:val="003A7A06"/>
    <w:rsid w:val="003B0F64"/>
    <w:rsid w:val="003B3C6E"/>
    <w:rsid w:val="003B3EEE"/>
    <w:rsid w:val="003B7A38"/>
    <w:rsid w:val="003C1DEF"/>
    <w:rsid w:val="003C1EE4"/>
    <w:rsid w:val="003C297B"/>
    <w:rsid w:val="003C2C63"/>
    <w:rsid w:val="003C438F"/>
    <w:rsid w:val="003C4C11"/>
    <w:rsid w:val="003C547B"/>
    <w:rsid w:val="003C5B6F"/>
    <w:rsid w:val="003C789F"/>
    <w:rsid w:val="003D09BD"/>
    <w:rsid w:val="003D0E2B"/>
    <w:rsid w:val="003D27ED"/>
    <w:rsid w:val="003D535D"/>
    <w:rsid w:val="003D596A"/>
    <w:rsid w:val="003D6A52"/>
    <w:rsid w:val="003D7552"/>
    <w:rsid w:val="003E2BF1"/>
    <w:rsid w:val="003E3FAC"/>
    <w:rsid w:val="003E4294"/>
    <w:rsid w:val="003E4429"/>
    <w:rsid w:val="003E5A99"/>
    <w:rsid w:val="003E6762"/>
    <w:rsid w:val="003F0BE4"/>
    <w:rsid w:val="003F0F82"/>
    <w:rsid w:val="003F1491"/>
    <w:rsid w:val="003F1C77"/>
    <w:rsid w:val="003F4056"/>
    <w:rsid w:val="003F4A96"/>
    <w:rsid w:val="003F588B"/>
    <w:rsid w:val="003F5A3A"/>
    <w:rsid w:val="003F6944"/>
    <w:rsid w:val="003F79DC"/>
    <w:rsid w:val="004014FA"/>
    <w:rsid w:val="0040163B"/>
    <w:rsid w:val="00401A1E"/>
    <w:rsid w:val="00401BDF"/>
    <w:rsid w:val="0040298E"/>
    <w:rsid w:val="00402D25"/>
    <w:rsid w:val="00403DE6"/>
    <w:rsid w:val="00407842"/>
    <w:rsid w:val="00407B3F"/>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0CF3"/>
    <w:rsid w:val="004336C8"/>
    <w:rsid w:val="00433734"/>
    <w:rsid w:val="0043463E"/>
    <w:rsid w:val="004347D4"/>
    <w:rsid w:val="00434F44"/>
    <w:rsid w:val="00435663"/>
    <w:rsid w:val="00436070"/>
    <w:rsid w:val="00436641"/>
    <w:rsid w:val="00437DD6"/>
    <w:rsid w:val="004405AE"/>
    <w:rsid w:val="00444C8B"/>
    <w:rsid w:val="00445982"/>
    <w:rsid w:val="004462DD"/>
    <w:rsid w:val="00450D2C"/>
    <w:rsid w:val="0045128F"/>
    <w:rsid w:val="00451340"/>
    <w:rsid w:val="00451DFE"/>
    <w:rsid w:val="00452980"/>
    <w:rsid w:val="00453D4F"/>
    <w:rsid w:val="00455CB2"/>
    <w:rsid w:val="004561AF"/>
    <w:rsid w:val="00457A7D"/>
    <w:rsid w:val="0046043A"/>
    <w:rsid w:val="004605E1"/>
    <w:rsid w:val="00461662"/>
    <w:rsid w:val="004640AC"/>
    <w:rsid w:val="0046418E"/>
    <w:rsid w:val="00464C6A"/>
    <w:rsid w:val="004668E2"/>
    <w:rsid w:val="00467285"/>
    <w:rsid w:val="0047167F"/>
    <w:rsid w:val="00471693"/>
    <w:rsid w:val="00471EAF"/>
    <w:rsid w:val="00474668"/>
    <w:rsid w:val="004757BC"/>
    <w:rsid w:val="00476763"/>
    <w:rsid w:val="00476B90"/>
    <w:rsid w:val="004776A7"/>
    <w:rsid w:val="00481713"/>
    <w:rsid w:val="00481C51"/>
    <w:rsid w:val="00483CFF"/>
    <w:rsid w:val="00485A5F"/>
    <w:rsid w:val="00486B2A"/>
    <w:rsid w:val="00487F21"/>
    <w:rsid w:val="004916A4"/>
    <w:rsid w:val="0049207F"/>
    <w:rsid w:val="00495C87"/>
    <w:rsid w:val="004977A7"/>
    <w:rsid w:val="004A030F"/>
    <w:rsid w:val="004A1617"/>
    <w:rsid w:val="004A3AEE"/>
    <w:rsid w:val="004A43C7"/>
    <w:rsid w:val="004A6C80"/>
    <w:rsid w:val="004A7165"/>
    <w:rsid w:val="004A71D4"/>
    <w:rsid w:val="004A735B"/>
    <w:rsid w:val="004A749F"/>
    <w:rsid w:val="004A74EF"/>
    <w:rsid w:val="004B020B"/>
    <w:rsid w:val="004B03CA"/>
    <w:rsid w:val="004B0A8D"/>
    <w:rsid w:val="004B0ADF"/>
    <w:rsid w:val="004B1C5E"/>
    <w:rsid w:val="004B22C1"/>
    <w:rsid w:val="004B24FB"/>
    <w:rsid w:val="004B2CC1"/>
    <w:rsid w:val="004B42F6"/>
    <w:rsid w:val="004B5584"/>
    <w:rsid w:val="004B5EEA"/>
    <w:rsid w:val="004B60F8"/>
    <w:rsid w:val="004C0E8E"/>
    <w:rsid w:val="004C135F"/>
    <w:rsid w:val="004C18B4"/>
    <w:rsid w:val="004C3DB9"/>
    <w:rsid w:val="004C6215"/>
    <w:rsid w:val="004C6631"/>
    <w:rsid w:val="004C6AD9"/>
    <w:rsid w:val="004C7188"/>
    <w:rsid w:val="004C74F0"/>
    <w:rsid w:val="004C7BFF"/>
    <w:rsid w:val="004D2C75"/>
    <w:rsid w:val="004D3F7D"/>
    <w:rsid w:val="004D6A89"/>
    <w:rsid w:val="004E0827"/>
    <w:rsid w:val="004E12DB"/>
    <w:rsid w:val="004E2AC7"/>
    <w:rsid w:val="004E4EF8"/>
    <w:rsid w:val="004E5C3D"/>
    <w:rsid w:val="004E5C84"/>
    <w:rsid w:val="004E5FDF"/>
    <w:rsid w:val="004F5735"/>
    <w:rsid w:val="004F6998"/>
    <w:rsid w:val="004F6CA8"/>
    <w:rsid w:val="0050017C"/>
    <w:rsid w:val="00500609"/>
    <w:rsid w:val="00501369"/>
    <w:rsid w:val="00501EFD"/>
    <w:rsid w:val="0050273F"/>
    <w:rsid w:val="00503C3F"/>
    <w:rsid w:val="00504937"/>
    <w:rsid w:val="00504FC5"/>
    <w:rsid w:val="00510054"/>
    <w:rsid w:val="0051008E"/>
    <w:rsid w:val="005104C8"/>
    <w:rsid w:val="00510A35"/>
    <w:rsid w:val="0051127D"/>
    <w:rsid w:val="00514F61"/>
    <w:rsid w:val="00515103"/>
    <w:rsid w:val="005160A3"/>
    <w:rsid w:val="005160B5"/>
    <w:rsid w:val="005176DB"/>
    <w:rsid w:val="00521245"/>
    <w:rsid w:val="00521DD7"/>
    <w:rsid w:val="005225D2"/>
    <w:rsid w:val="00523048"/>
    <w:rsid w:val="00523F4E"/>
    <w:rsid w:val="00525FA1"/>
    <w:rsid w:val="00527A5A"/>
    <w:rsid w:val="00527E67"/>
    <w:rsid w:val="00532333"/>
    <w:rsid w:val="00533654"/>
    <w:rsid w:val="00535CAA"/>
    <w:rsid w:val="00536193"/>
    <w:rsid w:val="00536EEF"/>
    <w:rsid w:val="00537536"/>
    <w:rsid w:val="00541453"/>
    <w:rsid w:val="0054164A"/>
    <w:rsid w:val="005416AA"/>
    <w:rsid w:val="00541736"/>
    <w:rsid w:val="00541786"/>
    <w:rsid w:val="00541DDB"/>
    <w:rsid w:val="00542AE2"/>
    <w:rsid w:val="005454B3"/>
    <w:rsid w:val="00546DD9"/>
    <w:rsid w:val="00550B80"/>
    <w:rsid w:val="0055294F"/>
    <w:rsid w:val="00552ACA"/>
    <w:rsid w:val="00554BC7"/>
    <w:rsid w:val="00554E92"/>
    <w:rsid w:val="005552BF"/>
    <w:rsid w:val="00555656"/>
    <w:rsid w:val="00557EBE"/>
    <w:rsid w:val="0056005B"/>
    <w:rsid w:val="0056050C"/>
    <w:rsid w:val="00561007"/>
    <w:rsid w:val="00561137"/>
    <w:rsid w:val="00561B0D"/>
    <w:rsid w:val="00561E14"/>
    <w:rsid w:val="005621F0"/>
    <w:rsid w:val="005640E2"/>
    <w:rsid w:val="005663CA"/>
    <w:rsid w:val="0056648E"/>
    <w:rsid w:val="00566FC0"/>
    <w:rsid w:val="00567CF8"/>
    <w:rsid w:val="0057095D"/>
    <w:rsid w:val="00572E2F"/>
    <w:rsid w:val="0057379A"/>
    <w:rsid w:val="00574C57"/>
    <w:rsid w:val="005760DF"/>
    <w:rsid w:val="00576DFC"/>
    <w:rsid w:val="00576E85"/>
    <w:rsid w:val="00580A18"/>
    <w:rsid w:val="00582453"/>
    <w:rsid w:val="00584795"/>
    <w:rsid w:val="00585E1F"/>
    <w:rsid w:val="00586647"/>
    <w:rsid w:val="00586DD3"/>
    <w:rsid w:val="0058747A"/>
    <w:rsid w:val="0059046B"/>
    <w:rsid w:val="005924F3"/>
    <w:rsid w:val="00593371"/>
    <w:rsid w:val="005937AF"/>
    <w:rsid w:val="00594224"/>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3F1A"/>
    <w:rsid w:val="005B4A52"/>
    <w:rsid w:val="005B650E"/>
    <w:rsid w:val="005B7F7F"/>
    <w:rsid w:val="005C1D70"/>
    <w:rsid w:val="005C20D4"/>
    <w:rsid w:val="005C270D"/>
    <w:rsid w:val="005C2C8A"/>
    <w:rsid w:val="005C2EE4"/>
    <w:rsid w:val="005C5BDE"/>
    <w:rsid w:val="005C62A8"/>
    <w:rsid w:val="005C62E0"/>
    <w:rsid w:val="005C6E3A"/>
    <w:rsid w:val="005C75FC"/>
    <w:rsid w:val="005D0EDD"/>
    <w:rsid w:val="005D1638"/>
    <w:rsid w:val="005D1A45"/>
    <w:rsid w:val="005D1F18"/>
    <w:rsid w:val="005D2815"/>
    <w:rsid w:val="005D4C65"/>
    <w:rsid w:val="005D4CBE"/>
    <w:rsid w:val="005D65A6"/>
    <w:rsid w:val="005E124F"/>
    <w:rsid w:val="005E4FA5"/>
    <w:rsid w:val="005E555C"/>
    <w:rsid w:val="005E70C5"/>
    <w:rsid w:val="005F0F22"/>
    <w:rsid w:val="005F1BF0"/>
    <w:rsid w:val="005F2A8F"/>
    <w:rsid w:val="005F2DA7"/>
    <w:rsid w:val="005F3604"/>
    <w:rsid w:val="005F5466"/>
    <w:rsid w:val="005F6076"/>
    <w:rsid w:val="005F6431"/>
    <w:rsid w:val="005F7CCF"/>
    <w:rsid w:val="006013B0"/>
    <w:rsid w:val="00602E16"/>
    <w:rsid w:val="00605672"/>
    <w:rsid w:val="00606134"/>
    <w:rsid w:val="006074D8"/>
    <w:rsid w:val="006128A4"/>
    <w:rsid w:val="006144FA"/>
    <w:rsid w:val="0061454E"/>
    <w:rsid w:val="0061471B"/>
    <w:rsid w:val="00616FAF"/>
    <w:rsid w:val="00620AF4"/>
    <w:rsid w:val="00621D8D"/>
    <w:rsid w:val="00622141"/>
    <w:rsid w:val="00622359"/>
    <w:rsid w:val="006223C9"/>
    <w:rsid w:val="00623071"/>
    <w:rsid w:val="006239C2"/>
    <w:rsid w:val="0062502E"/>
    <w:rsid w:val="00630922"/>
    <w:rsid w:val="00632B38"/>
    <w:rsid w:val="006337D1"/>
    <w:rsid w:val="006338E9"/>
    <w:rsid w:val="00634785"/>
    <w:rsid w:val="006360E6"/>
    <w:rsid w:val="006366A0"/>
    <w:rsid w:val="00636D2B"/>
    <w:rsid w:val="00637581"/>
    <w:rsid w:val="006401E3"/>
    <w:rsid w:val="00640B9F"/>
    <w:rsid w:val="0064183D"/>
    <w:rsid w:val="00641B11"/>
    <w:rsid w:val="00641B69"/>
    <w:rsid w:val="00641FCD"/>
    <w:rsid w:val="006423FF"/>
    <w:rsid w:val="0064424E"/>
    <w:rsid w:val="00646489"/>
    <w:rsid w:val="0064650A"/>
    <w:rsid w:val="006470C7"/>
    <w:rsid w:val="00651939"/>
    <w:rsid w:val="00651B0E"/>
    <w:rsid w:val="0065238F"/>
    <w:rsid w:val="006535C8"/>
    <w:rsid w:val="006538F7"/>
    <w:rsid w:val="0065425E"/>
    <w:rsid w:val="00656CB6"/>
    <w:rsid w:val="006578A3"/>
    <w:rsid w:val="00660074"/>
    <w:rsid w:val="006616B0"/>
    <w:rsid w:val="00662BD9"/>
    <w:rsid w:val="006635E3"/>
    <w:rsid w:val="006643EF"/>
    <w:rsid w:val="00664988"/>
    <w:rsid w:val="00665ABB"/>
    <w:rsid w:val="00665D68"/>
    <w:rsid w:val="00666FF2"/>
    <w:rsid w:val="00670D46"/>
    <w:rsid w:val="00671507"/>
    <w:rsid w:val="006722D3"/>
    <w:rsid w:val="006735E6"/>
    <w:rsid w:val="006737B4"/>
    <w:rsid w:val="006749B4"/>
    <w:rsid w:val="00674AF5"/>
    <w:rsid w:val="006752AA"/>
    <w:rsid w:val="00676E6E"/>
    <w:rsid w:val="006804F0"/>
    <w:rsid w:val="00681853"/>
    <w:rsid w:val="00681DA6"/>
    <w:rsid w:val="006820A3"/>
    <w:rsid w:val="00683301"/>
    <w:rsid w:val="00685341"/>
    <w:rsid w:val="0068595A"/>
    <w:rsid w:val="00690464"/>
    <w:rsid w:val="00690736"/>
    <w:rsid w:val="006915B4"/>
    <w:rsid w:val="00691AB3"/>
    <w:rsid w:val="00691FDC"/>
    <w:rsid w:val="00692783"/>
    <w:rsid w:val="006944EE"/>
    <w:rsid w:val="0069530B"/>
    <w:rsid w:val="00695857"/>
    <w:rsid w:val="0069631F"/>
    <w:rsid w:val="00697668"/>
    <w:rsid w:val="00697AC1"/>
    <w:rsid w:val="00697E2A"/>
    <w:rsid w:val="006A00C8"/>
    <w:rsid w:val="006A425E"/>
    <w:rsid w:val="006A43D1"/>
    <w:rsid w:val="006A5FC9"/>
    <w:rsid w:val="006A6909"/>
    <w:rsid w:val="006A7C3D"/>
    <w:rsid w:val="006B0231"/>
    <w:rsid w:val="006B1745"/>
    <w:rsid w:val="006B3DC2"/>
    <w:rsid w:val="006B6B0B"/>
    <w:rsid w:val="006B78E2"/>
    <w:rsid w:val="006C1445"/>
    <w:rsid w:val="006C1464"/>
    <w:rsid w:val="006C208B"/>
    <w:rsid w:val="006C2C33"/>
    <w:rsid w:val="006C463E"/>
    <w:rsid w:val="006C4C98"/>
    <w:rsid w:val="006C539B"/>
    <w:rsid w:val="006C55D5"/>
    <w:rsid w:val="006C579B"/>
    <w:rsid w:val="006C7478"/>
    <w:rsid w:val="006D1378"/>
    <w:rsid w:val="006D13B7"/>
    <w:rsid w:val="006D4B07"/>
    <w:rsid w:val="006D61A3"/>
    <w:rsid w:val="006E251B"/>
    <w:rsid w:val="006E2D22"/>
    <w:rsid w:val="006E36B5"/>
    <w:rsid w:val="006E3D49"/>
    <w:rsid w:val="006E6949"/>
    <w:rsid w:val="006E764B"/>
    <w:rsid w:val="006F1067"/>
    <w:rsid w:val="006F2A5E"/>
    <w:rsid w:val="006F3415"/>
    <w:rsid w:val="006F357D"/>
    <w:rsid w:val="006F403D"/>
    <w:rsid w:val="006F40B1"/>
    <w:rsid w:val="006F48FD"/>
    <w:rsid w:val="006F77DA"/>
    <w:rsid w:val="00700187"/>
    <w:rsid w:val="00700517"/>
    <w:rsid w:val="00700C30"/>
    <w:rsid w:val="00700D75"/>
    <w:rsid w:val="00701764"/>
    <w:rsid w:val="00703EC9"/>
    <w:rsid w:val="00704B97"/>
    <w:rsid w:val="007063C7"/>
    <w:rsid w:val="007073E7"/>
    <w:rsid w:val="00710280"/>
    <w:rsid w:val="00710C98"/>
    <w:rsid w:val="00711087"/>
    <w:rsid w:val="00711668"/>
    <w:rsid w:val="00715270"/>
    <w:rsid w:val="00720171"/>
    <w:rsid w:val="0072079E"/>
    <w:rsid w:val="00722C6E"/>
    <w:rsid w:val="00722C75"/>
    <w:rsid w:val="00724C8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4516"/>
    <w:rsid w:val="007560A3"/>
    <w:rsid w:val="007610E9"/>
    <w:rsid w:val="00761634"/>
    <w:rsid w:val="00761B2E"/>
    <w:rsid w:val="0076247F"/>
    <w:rsid w:val="00762C7F"/>
    <w:rsid w:val="00763276"/>
    <w:rsid w:val="007640FB"/>
    <w:rsid w:val="00764874"/>
    <w:rsid w:val="00765643"/>
    <w:rsid w:val="00767B5B"/>
    <w:rsid w:val="00771C67"/>
    <w:rsid w:val="0077322A"/>
    <w:rsid w:val="007769AC"/>
    <w:rsid w:val="00776E82"/>
    <w:rsid w:val="00777A0C"/>
    <w:rsid w:val="00777E17"/>
    <w:rsid w:val="00780DBF"/>
    <w:rsid w:val="0078287C"/>
    <w:rsid w:val="0078400B"/>
    <w:rsid w:val="007848F1"/>
    <w:rsid w:val="0078542B"/>
    <w:rsid w:val="0078608E"/>
    <w:rsid w:val="00786B29"/>
    <w:rsid w:val="00790095"/>
    <w:rsid w:val="00792FEE"/>
    <w:rsid w:val="00793F36"/>
    <w:rsid w:val="007944DE"/>
    <w:rsid w:val="00795A19"/>
    <w:rsid w:val="00795AA4"/>
    <w:rsid w:val="0079616F"/>
    <w:rsid w:val="007A0169"/>
    <w:rsid w:val="007A0D7F"/>
    <w:rsid w:val="007A1033"/>
    <w:rsid w:val="007A1072"/>
    <w:rsid w:val="007A1139"/>
    <w:rsid w:val="007A14BB"/>
    <w:rsid w:val="007A1E85"/>
    <w:rsid w:val="007B054B"/>
    <w:rsid w:val="007B110C"/>
    <w:rsid w:val="007B2299"/>
    <w:rsid w:val="007B34D9"/>
    <w:rsid w:val="007B3FC8"/>
    <w:rsid w:val="007B5976"/>
    <w:rsid w:val="007B662A"/>
    <w:rsid w:val="007C192B"/>
    <w:rsid w:val="007C1B56"/>
    <w:rsid w:val="007C2D7F"/>
    <w:rsid w:val="007C3457"/>
    <w:rsid w:val="007C38EF"/>
    <w:rsid w:val="007C3C1D"/>
    <w:rsid w:val="007C4C9B"/>
    <w:rsid w:val="007C4D25"/>
    <w:rsid w:val="007C618C"/>
    <w:rsid w:val="007D1ACF"/>
    <w:rsid w:val="007D1EED"/>
    <w:rsid w:val="007D2107"/>
    <w:rsid w:val="007D272C"/>
    <w:rsid w:val="007D2FA0"/>
    <w:rsid w:val="007E0EC5"/>
    <w:rsid w:val="007E2571"/>
    <w:rsid w:val="007E4510"/>
    <w:rsid w:val="007E4864"/>
    <w:rsid w:val="007E4A30"/>
    <w:rsid w:val="007F38F2"/>
    <w:rsid w:val="007F3CA0"/>
    <w:rsid w:val="007F3D57"/>
    <w:rsid w:val="007F51DD"/>
    <w:rsid w:val="007F5627"/>
    <w:rsid w:val="007F65D3"/>
    <w:rsid w:val="0080074E"/>
    <w:rsid w:val="008026F9"/>
    <w:rsid w:val="00805AB8"/>
    <w:rsid w:val="00805CB4"/>
    <w:rsid w:val="008076EA"/>
    <w:rsid w:val="0081079C"/>
    <w:rsid w:val="0081118B"/>
    <w:rsid w:val="008115EB"/>
    <w:rsid w:val="008116EB"/>
    <w:rsid w:val="00811FA0"/>
    <w:rsid w:val="00813345"/>
    <w:rsid w:val="00813A08"/>
    <w:rsid w:val="00813A36"/>
    <w:rsid w:val="008148BF"/>
    <w:rsid w:val="008153C1"/>
    <w:rsid w:val="008166CE"/>
    <w:rsid w:val="00816F06"/>
    <w:rsid w:val="0081759E"/>
    <w:rsid w:val="0081759F"/>
    <w:rsid w:val="008175CE"/>
    <w:rsid w:val="0082064B"/>
    <w:rsid w:val="00821980"/>
    <w:rsid w:val="0082351A"/>
    <w:rsid w:val="00823663"/>
    <w:rsid w:val="008256D1"/>
    <w:rsid w:val="00826B63"/>
    <w:rsid w:val="00827195"/>
    <w:rsid w:val="00827BE6"/>
    <w:rsid w:val="008322D2"/>
    <w:rsid w:val="00832B6D"/>
    <w:rsid w:val="008340D4"/>
    <w:rsid w:val="00834C78"/>
    <w:rsid w:val="008368F4"/>
    <w:rsid w:val="008377F6"/>
    <w:rsid w:val="008379ED"/>
    <w:rsid w:val="0084077E"/>
    <w:rsid w:val="008415E0"/>
    <w:rsid w:val="00844036"/>
    <w:rsid w:val="0084548F"/>
    <w:rsid w:val="00846C36"/>
    <w:rsid w:val="008474A3"/>
    <w:rsid w:val="008479AB"/>
    <w:rsid w:val="00847DBE"/>
    <w:rsid w:val="00852B9E"/>
    <w:rsid w:val="00853814"/>
    <w:rsid w:val="0085393F"/>
    <w:rsid w:val="00855D23"/>
    <w:rsid w:val="008562FA"/>
    <w:rsid w:val="00860550"/>
    <w:rsid w:val="00860C58"/>
    <w:rsid w:val="0086190C"/>
    <w:rsid w:val="0086211A"/>
    <w:rsid w:val="00863934"/>
    <w:rsid w:val="00863F00"/>
    <w:rsid w:val="00864A80"/>
    <w:rsid w:val="00866934"/>
    <w:rsid w:val="00866BD1"/>
    <w:rsid w:val="00870A4A"/>
    <w:rsid w:val="00871658"/>
    <w:rsid w:val="00872DE1"/>
    <w:rsid w:val="0087464F"/>
    <w:rsid w:val="00880FEA"/>
    <w:rsid w:val="00882650"/>
    <w:rsid w:val="00883AE2"/>
    <w:rsid w:val="0088428B"/>
    <w:rsid w:val="0089208C"/>
    <w:rsid w:val="00893ADD"/>
    <w:rsid w:val="008944B4"/>
    <w:rsid w:val="00896F28"/>
    <w:rsid w:val="008971E2"/>
    <w:rsid w:val="008A07F2"/>
    <w:rsid w:val="008A1C1F"/>
    <w:rsid w:val="008A1F12"/>
    <w:rsid w:val="008A37E4"/>
    <w:rsid w:val="008A393E"/>
    <w:rsid w:val="008A3A52"/>
    <w:rsid w:val="008A3DF0"/>
    <w:rsid w:val="008A411B"/>
    <w:rsid w:val="008A68EC"/>
    <w:rsid w:val="008A735B"/>
    <w:rsid w:val="008A7BD3"/>
    <w:rsid w:val="008B04EB"/>
    <w:rsid w:val="008B080F"/>
    <w:rsid w:val="008B6594"/>
    <w:rsid w:val="008B7BFF"/>
    <w:rsid w:val="008C0CC1"/>
    <w:rsid w:val="008C20D8"/>
    <w:rsid w:val="008C2876"/>
    <w:rsid w:val="008C34B1"/>
    <w:rsid w:val="008C3583"/>
    <w:rsid w:val="008C3C48"/>
    <w:rsid w:val="008C554E"/>
    <w:rsid w:val="008D07E1"/>
    <w:rsid w:val="008D2097"/>
    <w:rsid w:val="008D2A1D"/>
    <w:rsid w:val="008D406B"/>
    <w:rsid w:val="008E1694"/>
    <w:rsid w:val="008E287E"/>
    <w:rsid w:val="008E4244"/>
    <w:rsid w:val="008E47F2"/>
    <w:rsid w:val="008E4A58"/>
    <w:rsid w:val="008E4DC2"/>
    <w:rsid w:val="008E54FB"/>
    <w:rsid w:val="008E6051"/>
    <w:rsid w:val="008E760E"/>
    <w:rsid w:val="008F08CB"/>
    <w:rsid w:val="008F0DD1"/>
    <w:rsid w:val="008F296E"/>
    <w:rsid w:val="008F4169"/>
    <w:rsid w:val="008F4A95"/>
    <w:rsid w:val="008F62C2"/>
    <w:rsid w:val="008F6CC3"/>
    <w:rsid w:val="008F7825"/>
    <w:rsid w:val="00900B67"/>
    <w:rsid w:val="00901193"/>
    <w:rsid w:val="0090223B"/>
    <w:rsid w:val="009039CF"/>
    <w:rsid w:val="00903A85"/>
    <w:rsid w:val="00906EE2"/>
    <w:rsid w:val="00907541"/>
    <w:rsid w:val="00910D15"/>
    <w:rsid w:val="00911A75"/>
    <w:rsid w:val="00912DFA"/>
    <w:rsid w:val="00913388"/>
    <w:rsid w:val="009154D2"/>
    <w:rsid w:val="009161C8"/>
    <w:rsid w:val="009168B1"/>
    <w:rsid w:val="00920818"/>
    <w:rsid w:val="0092187B"/>
    <w:rsid w:val="00923460"/>
    <w:rsid w:val="00924B94"/>
    <w:rsid w:val="00926778"/>
    <w:rsid w:val="009277B5"/>
    <w:rsid w:val="009300E4"/>
    <w:rsid w:val="009317EE"/>
    <w:rsid w:val="00934B0C"/>
    <w:rsid w:val="00935850"/>
    <w:rsid w:val="0093745C"/>
    <w:rsid w:val="00942FDB"/>
    <w:rsid w:val="00943357"/>
    <w:rsid w:val="00946F6C"/>
    <w:rsid w:val="00947334"/>
    <w:rsid w:val="00947DED"/>
    <w:rsid w:val="00953C2E"/>
    <w:rsid w:val="0095430A"/>
    <w:rsid w:val="00955508"/>
    <w:rsid w:val="00955B83"/>
    <w:rsid w:val="0095698B"/>
    <w:rsid w:val="0096208C"/>
    <w:rsid w:val="009625CF"/>
    <w:rsid w:val="009628C0"/>
    <w:rsid w:val="009643F3"/>
    <w:rsid w:val="00964764"/>
    <w:rsid w:val="00965591"/>
    <w:rsid w:val="0096636E"/>
    <w:rsid w:val="009671F3"/>
    <w:rsid w:val="00967714"/>
    <w:rsid w:val="00970279"/>
    <w:rsid w:val="009708E7"/>
    <w:rsid w:val="00970E66"/>
    <w:rsid w:val="00971920"/>
    <w:rsid w:val="00972451"/>
    <w:rsid w:val="00973CF0"/>
    <w:rsid w:val="0097511A"/>
    <w:rsid w:val="00976E74"/>
    <w:rsid w:val="00977102"/>
    <w:rsid w:val="0097711C"/>
    <w:rsid w:val="0097733B"/>
    <w:rsid w:val="0097792A"/>
    <w:rsid w:val="00984203"/>
    <w:rsid w:val="00984AC1"/>
    <w:rsid w:val="00984E45"/>
    <w:rsid w:val="00986CBE"/>
    <w:rsid w:val="00987034"/>
    <w:rsid w:val="009912CD"/>
    <w:rsid w:val="00992643"/>
    <w:rsid w:val="0099294C"/>
    <w:rsid w:val="00993224"/>
    <w:rsid w:val="00993CB7"/>
    <w:rsid w:val="0099420D"/>
    <w:rsid w:val="009946ED"/>
    <w:rsid w:val="009965F3"/>
    <w:rsid w:val="00996753"/>
    <w:rsid w:val="00996FBD"/>
    <w:rsid w:val="0099792E"/>
    <w:rsid w:val="009A0000"/>
    <w:rsid w:val="009A07C4"/>
    <w:rsid w:val="009A1A67"/>
    <w:rsid w:val="009A2568"/>
    <w:rsid w:val="009A59C0"/>
    <w:rsid w:val="009A6D30"/>
    <w:rsid w:val="009A6E47"/>
    <w:rsid w:val="009A79D6"/>
    <w:rsid w:val="009B324B"/>
    <w:rsid w:val="009B4084"/>
    <w:rsid w:val="009B5F3E"/>
    <w:rsid w:val="009B610E"/>
    <w:rsid w:val="009B6C0E"/>
    <w:rsid w:val="009B73D0"/>
    <w:rsid w:val="009C0C11"/>
    <w:rsid w:val="009C462D"/>
    <w:rsid w:val="009C4C1A"/>
    <w:rsid w:val="009C5302"/>
    <w:rsid w:val="009C5C47"/>
    <w:rsid w:val="009C6284"/>
    <w:rsid w:val="009C70D0"/>
    <w:rsid w:val="009D0D22"/>
    <w:rsid w:val="009D16BC"/>
    <w:rsid w:val="009D1CCE"/>
    <w:rsid w:val="009D2044"/>
    <w:rsid w:val="009D2E76"/>
    <w:rsid w:val="009D38FF"/>
    <w:rsid w:val="009D4B1E"/>
    <w:rsid w:val="009D61D9"/>
    <w:rsid w:val="009D67BC"/>
    <w:rsid w:val="009E097A"/>
    <w:rsid w:val="009E0C54"/>
    <w:rsid w:val="009E2463"/>
    <w:rsid w:val="009E2E5E"/>
    <w:rsid w:val="009E310A"/>
    <w:rsid w:val="009E4EE0"/>
    <w:rsid w:val="009E61BE"/>
    <w:rsid w:val="009E7C40"/>
    <w:rsid w:val="009F0864"/>
    <w:rsid w:val="009F1A0E"/>
    <w:rsid w:val="009F343D"/>
    <w:rsid w:val="009F44E7"/>
    <w:rsid w:val="009F4D29"/>
    <w:rsid w:val="009F5C93"/>
    <w:rsid w:val="009F76E1"/>
    <w:rsid w:val="00A00F0D"/>
    <w:rsid w:val="00A045AC"/>
    <w:rsid w:val="00A04C5F"/>
    <w:rsid w:val="00A055E1"/>
    <w:rsid w:val="00A058DB"/>
    <w:rsid w:val="00A05B45"/>
    <w:rsid w:val="00A064D0"/>
    <w:rsid w:val="00A12833"/>
    <w:rsid w:val="00A15EC3"/>
    <w:rsid w:val="00A16430"/>
    <w:rsid w:val="00A20258"/>
    <w:rsid w:val="00A21621"/>
    <w:rsid w:val="00A226E8"/>
    <w:rsid w:val="00A24052"/>
    <w:rsid w:val="00A2477C"/>
    <w:rsid w:val="00A24BB9"/>
    <w:rsid w:val="00A250B2"/>
    <w:rsid w:val="00A25D76"/>
    <w:rsid w:val="00A26FC7"/>
    <w:rsid w:val="00A27AE9"/>
    <w:rsid w:val="00A3141F"/>
    <w:rsid w:val="00A32053"/>
    <w:rsid w:val="00A32FC4"/>
    <w:rsid w:val="00A331BB"/>
    <w:rsid w:val="00A34720"/>
    <w:rsid w:val="00A35FFE"/>
    <w:rsid w:val="00A377B7"/>
    <w:rsid w:val="00A378C7"/>
    <w:rsid w:val="00A431F3"/>
    <w:rsid w:val="00A44C30"/>
    <w:rsid w:val="00A47A20"/>
    <w:rsid w:val="00A47CCC"/>
    <w:rsid w:val="00A50F29"/>
    <w:rsid w:val="00A51E69"/>
    <w:rsid w:val="00A52A0F"/>
    <w:rsid w:val="00A53D2B"/>
    <w:rsid w:val="00A5570C"/>
    <w:rsid w:val="00A55FB0"/>
    <w:rsid w:val="00A57DBA"/>
    <w:rsid w:val="00A57EE1"/>
    <w:rsid w:val="00A60B70"/>
    <w:rsid w:val="00A621CF"/>
    <w:rsid w:val="00A62773"/>
    <w:rsid w:val="00A62E58"/>
    <w:rsid w:val="00A652A6"/>
    <w:rsid w:val="00A65309"/>
    <w:rsid w:val="00A67E9D"/>
    <w:rsid w:val="00A70457"/>
    <w:rsid w:val="00A706A7"/>
    <w:rsid w:val="00A73A74"/>
    <w:rsid w:val="00A74179"/>
    <w:rsid w:val="00A74278"/>
    <w:rsid w:val="00A74524"/>
    <w:rsid w:val="00A7504C"/>
    <w:rsid w:val="00A76874"/>
    <w:rsid w:val="00A828EC"/>
    <w:rsid w:val="00A83853"/>
    <w:rsid w:val="00A850E1"/>
    <w:rsid w:val="00A8769F"/>
    <w:rsid w:val="00A90A18"/>
    <w:rsid w:val="00A9134B"/>
    <w:rsid w:val="00A9160B"/>
    <w:rsid w:val="00A937FC"/>
    <w:rsid w:val="00A9421B"/>
    <w:rsid w:val="00A9647D"/>
    <w:rsid w:val="00A96B07"/>
    <w:rsid w:val="00A97B53"/>
    <w:rsid w:val="00AA160A"/>
    <w:rsid w:val="00AA1FC0"/>
    <w:rsid w:val="00AA3579"/>
    <w:rsid w:val="00AA7966"/>
    <w:rsid w:val="00AA7BEB"/>
    <w:rsid w:val="00AA7EEF"/>
    <w:rsid w:val="00AB115E"/>
    <w:rsid w:val="00AB2530"/>
    <w:rsid w:val="00AB570B"/>
    <w:rsid w:val="00AB5EBA"/>
    <w:rsid w:val="00AB6284"/>
    <w:rsid w:val="00AB6BC5"/>
    <w:rsid w:val="00AC047B"/>
    <w:rsid w:val="00AC04CC"/>
    <w:rsid w:val="00AC0516"/>
    <w:rsid w:val="00AC167C"/>
    <w:rsid w:val="00AC3520"/>
    <w:rsid w:val="00AC6525"/>
    <w:rsid w:val="00AC6A6D"/>
    <w:rsid w:val="00AD0AFA"/>
    <w:rsid w:val="00AD0D4D"/>
    <w:rsid w:val="00AD11F4"/>
    <w:rsid w:val="00AD2608"/>
    <w:rsid w:val="00AD283B"/>
    <w:rsid w:val="00AD2DFD"/>
    <w:rsid w:val="00AD3302"/>
    <w:rsid w:val="00AD38D4"/>
    <w:rsid w:val="00AD46E3"/>
    <w:rsid w:val="00AD53C2"/>
    <w:rsid w:val="00AE2A45"/>
    <w:rsid w:val="00AE2BF9"/>
    <w:rsid w:val="00AE42E2"/>
    <w:rsid w:val="00AE4DFA"/>
    <w:rsid w:val="00AE55FB"/>
    <w:rsid w:val="00AE565D"/>
    <w:rsid w:val="00AE6246"/>
    <w:rsid w:val="00AE6EE5"/>
    <w:rsid w:val="00AE7526"/>
    <w:rsid w:val="00AE758A"/>
    <w:rsid w:val="00AE7F39"/>
    <w:rsid w:val="00AF005D"/>
    <w:rsid w:val="00AF1EA7"/>
    <w:rsid w:val="00AF2471"/>
    <w:rsid w:val="00AF4683"/>
    <w:rsid w:val="00AF4F44"/>
    <w:rsid w:val="00B00175"/>
    <w:rsid w:val="00B00375"/>
    <w:rsid w:val="00B0228B"/>
    <w:rsid w:val="00B0334A"/>
    <w:rsid w:val="00B03F7E"/>
    <w:rsid w:val="00B0474F"/>
    <w:rsid w:val="00B04C15"/>
    <w:rsid w:val="00B061AD"/>
    <w:rsid w:val="00B07982"/>
    <w:rsid w:val="00B07B59"/>
    <w:rsid w:val="00B07C99"/>
    <w:rsid w:val="00B14624"/>
    <w:rsid w:val="00B150CC"/>
    <w:rsid w:val="00B15959"/>
    <w:rsid w:val="00B179AD"/>
    <w:rsid w:val="00B17F31"/>
    <w:rsid w:val="00B17F50"/>
    <w:rsid w:val="00B210EA"/>
    <w:rsid w:val="00B21282"/>
    <w:rsid w:val="00B2176B"/>
    <w:rsid w:val="00B2343D"/>
    <w:rsid w:val="00B23E49"/>
    <w:rsid w:val="00B27019"/>
    <w:rsid w:val="00B27873"/>
    <w:rsid w:val="00B30004"/>
    <w:rsid w:val="00B31FE2"/>
    <w:rsid w:val="00B33317"/>
    <w:rsid w:val="00B3333B"/>
    <w:rsid w:val="00B3460C"/>
    <w:rsid w:val="00B357B6"/>
    <w:rsid w:val="00B36319"/>
    <w:rsid w:val="00B369CD"/>
    <w:rsid w:val="00B41E5B"/>
    <w:rsid w:val="00B439B7"/>
    <w:rsid w:val="00B44813"/>
    <w:rsid w:val="00B4544C"/>
    <w:rsid w:val="00B474AC"/>
    <w:rsid w:val="00B52B61"/>
    <w:rsid w:val="00B5314E"/>
    <w:rsid w:val="00B532E7"/>
    <w:rsid w:val="00B5372B"/>
    <w:rsid w:val="00B5385F"/>
    <w:rsid w:val="00B54567"/>
    <w:rsid w:val="00B54FAE"/>
    <w:rsid w:val="00B578FD"/>
    <w:rsid w:val="00B6130D"/>
    <w:rsid w:val="00B63131"/>
    <w:rsid w:val="00B63EE5"/>
    <w:rsid w:val="00B644C7"/>
    <w:rsid w:val="00B649F4"/>
    <w:rsid w:val="00B6531B"/>
    <w:rsid w:val="00B6558C"/>
    <w:rsid w:val="00B662A4"/>
    <w:rsid w:val="00B6706A"/>
    <w:rsid w:val="00B67D7C"/>
    <w:rsid w:val="00B67DCF"/>
    <w:rsid w:val="00B71633"/>
    <w:rsid w:val="00B72FCC"/>
    <w:rsid w:val="00B74D68"/>
    <w:rsid w:val="00B769AE"/>
    <w:rsid w:val="00B773B5"/>
    <w:rsid w:val="00B773EA"/>
    <w:rsid w:val="00B776AD"/>
    <w:rsid w:val="00B77979"/>
    <w:rsid w:val="00B80029"/>
    <w:rsid w:val="00B80FDE"/>
    <w:rsid w:val="00B82A17"/>
    <w:rsid w:val="00B838F6"/>
    <w:rsid w:val="00B83A91"/>
    <w:rsid w:val="00B84864"/>
    <w:rsid w:val="00B84B89"/>
    <w:rsid w:val="00B85477"/>
    <w:rsid w:val="00B861C1"/>
    <w:rsid w:val="00B903C2"/>
    <w:rsid w:val="00B94F5D"/>
    <w:rsid w:val="00B95E75"/>
    <w:rsid w:val="00B96D80"/>
    <w:rsid w:val="00B97574"/>
    <w:rsid w:val="00BA46AA"/>
    <w:rsid w:val="00BA5286"/>
    <w:rsid w:val="00BA53ED"/>
    <w:rsid w:val="00BA6A42"/>
    <w:rsid w:val="00BA7DAE"/>
    <w:rsid w:val="00BB036B"/>
    <w:rsid w:val="00BB3397"/>
    <w:rsid w:val="00BB4173"/>
    <w:rsid w:val="00BB50C7"/>
    <w:rsid w:val="00BB6462"/>
    <w:rsid w:val="00BB6C3C"/>
    <w:rsid w:val="00BB6E9A"/>
    <w:rsid w:val="00BB7679"/>
    <w:rsid w:val="00BB7988"/>
    <w:rsid w:val="00BC2A71"/>
    <w:rsid w:val="00BC48E9"/>
    <w:rsid w:val="00BD152C"/>
    <w:rsid w:val="00BD1F72"/>
    <w:rsid w:val="00BD3AB8"/>
    <w:rsid w:val="00BD416D"/>
    <w:rsid w:val="00BD42AF"/>
    <w:rsid w:val="00BD51DA"/>
    <w:rsid w:val="00BD6231"/>
    <w:rsid w:val="00BD69DB"/>
    <w:rsid w:val="00BD7022"/>
    <w:rsid w:val="00BE0002"/>
    <w:rsid w:val="00BE2CD7"/>
    <w:rsid w:val="00BE3503"/>
    <w:rsid w:val="00BE3750"/>
    <w:rsid w:val="00BE381A"/>
    <w:rsid w:val="00BE532F"/>
    <w:rsid w:val="00BE5986"/>
    <w:rsid w:val="00BE62F6"/>
    <w:rsid w:val="00BE7446"/>
    <w:rsid w:val="00BE7AE8"/>
    <w:rsid w:val="00BF157A"/>
    <w:rsid w:val="00BF2749"/>
    <w:rsid w:val="00BF27D4"/>
    <w:rsid w:val="00BF2E80"/>
    <w:rsid w:val="00BF2E97"/>
    <w:rsid w:val="00BF519E"/>
    <w:rsid w:val="00BF5317"/>
    <w:rsid w:val="00BF7E4D"/>
    <w:rsid w:val="00BF7FA1"/>
    <w:rsid w:val="00C02031"/>
    <w:rsid w:val="00C0256E"/>
    <w:rsid w:val="00C02E85"/>
    <w:rsid w:val="00C03C75"/>
    <w:rsid w:val="00C0486A"/>
    <w:rsid w:val="00C04A1B"/>
    <w:rsid w:val="00C05842"/>
    <w:rsid w:val="00C10D78"/>
    <w:rsid w:val="00C122D9"/>
    <w:rsid w:val="00C12D1D"/>
    <w:rsid w:val="00C1305C"/>
    <w:rsid w:val="00C1522B"/>
    <w:rsid w:val="00C154B1"/>
    <w:rsid w:val="00C15C59"/>
    <w:rsid w:val="00C20704"/>
    <w:rsid w:val="00C21ED4"/>
    <w:rsid w:val="00C2256A"/>
    <w:rsid w:val="00C225CC"/>
    <w:rsid w:val="00C22EEC"/>
    <w:rsid w:val="00C27AC7"/>
    <w:rsid w:val="00C27B8D"/>
    <w:rsid w:val="00C30119"/>
    <w:rsid w:val="00C30752"/>
    <w:rsid w:val="00C30D5C"/>
    <w:rsid w:val="00C324AD"/>
    <w:rsid w:val="00C3489D"/>
    <w:rsid w:val="00C359A4"/>
    <w:rsid w:val="00C35BE3"/>
    <w:rsid w:val="00C36F28"/>
    <w:rsid w:val="00C376E4"/>
    <w:rsid w:val="00C37952"/>
    <w:rsid w:val="00C37D1C"/>
    <w:rsid w:val="00C424A1"/>
    <w:rsid w:val="00C436F7"/>
    <w:rsid w:val="00C4372C"/>
    <w:rsid w:val="00C44320"/>
    <w:rsid w:val="00C45D21"/>
    <w:rsid w:val="00C46115"/>
    <w:rsid w:val="00C4651E"/>
    <w:rsid w:val="00C47141"/>
    <w:rsid w:val="00C509A4"/>
    <w:rsid w:val="00C50FA0"/>
    <w:rsid w:val="00C5321A"/>
    <w:rsid w:val="00C53CA8"/>
    <w:rsid w:val="00C55370"/>
    <w:rsid w:val="00C56554"/>
    <w:rsid w:val="00C60C46"/>
    <w:rsid w:val="00C6183A"/>
    <w:rsid w:val="00C619E7"/>
    <w:rsid w:val="00C6246C"/>
    <w:rsid w:val="00C629F0"/>
    <w:rsid w:val="00C6427B"/>
    <w:rsid w:val="00C649C2"/>
    <w:rsid w:val="00C65547"/>
    <w:rsid w:val="00C70434"/>
    <w:rsid w:val="00C7086E"/>
    <w:rsid w:val="00C72698"/>
    <w:rsid w:val="00C74069"/>
    <w:rsid w:val="00C7487B"/>
    <w:rsid w:val="00C767CF"/>
    <w:rsid w:val="00C76DDE"/>
    <w:rsid w:val="00C8103E"/>
    <w:rsid w:val="00C8191A"/>
    <w:rsid w:val="00C82227"/>
    <w:rsid w:val="00C8276E"/>
    <w:rsid w:val="00C8357A"/>
    <w:rsid w:val="00C85BF7"/>
    <w:rsid w:val="00C879C3"/>
    <w:rsid w:val="00C90203"/>
    <w:rsid w:val="00C91064"/>
    <w:rsid w:val="00C91248"/>
    <w:rsid w:val="00C919D2"/>
    <w:rsid w:val="00C946FA"/>
    <w:rsid w:val="00C94AA5"/>
    <w:rsid w:val="00C96816"/>
    <w:rsid w:val="00CA06F8"/>
    <w:rsid w:val="00CA0BC4"/>
    <w:rsid w:val="00CA339B"/>
    <w:rsid w:val="00CA39AE"/>
    <w:rsid w:val="00CA3D49"/>
    <w:rsid w:val="00CA40B5"/>
    <w:rsid w:val="00CA4416"/>
    <w:rsid w:val="00CA45CE"/>
    <w:rsid w:val="00CA52C6"/>
    <w:rsid w:val="00CA5403"/>
    <w:rsid w:val="00CA5868"/>
    <w:rsid w:val="00CA5AA1"/>
    <w:rsid w:val="00CB3B9C"/>
    <w:rsid w:val="00CB3BE4"/>
    <w:rsid w:val="00CB5273"/>
    <w:rsid w:val="00CB53FD"/>
    <w:rsid w:val="00CB771C"/>
    <w:rsid w:val="00CC0B0F"/>
    <w:rsid w:val="00CC6616"/>
    <w:rsid w:val="00CC6B0E"/>
    <w:rsid w:val="00CC7074"/>
    <w:rsid w:val="00CC7148"/>
    <w:rsid w:val="00CD1DA2"/>
    <w:rsid w:val="00CD28DB"/>
    <w:rsid w:val="00CD5095"/>
    <w:rsid w:val="00CD7712"/>
    <w:rsid w:val="00CD7C87"/>
    <w:rsid w:val="00CE0896"/>
    <w:rsid w:val="00CE0DBE"/>
    <w:rsid w:val="00CE0E6B"/>
    <w:rsid w:val="00CE1B12"/>
    <w:rsid w:val="00CE7481"/>
    <w:rsid w:val="00CE7977"/>
    <w:rsid w:val="00CF00BC"/>
    <w:rsid w:val="00CF148B"/>
    <w:rsid w:val="00CF235D"/>
    <w:rsid w:val="00CF2C8B"/>
    <w:rsid w:val="00CF4445"/>
    <w:rsid w:val="00CF4FAE"/>
    <w:rsid w:val="00CF6612"/>
    <w:rsid w:val="00CF70C7"/>
    <w:rsid w:val="00D000A4"/>
    <w:rsid w:val="00D00DCB"/>
    <w:rsid w:val="00D03E6A"/>
    <w:rsid w:val="00D05634"/>
    <w:rsid w:val="00D05E28"/>
    <w:rsid w:val="00D065E1"/>
    <w:rsid w:val="00D076A2"/>
    <w:rsid w:val="00D104B7"/>
    <w:rsid w:val="00D1115A"/>
    <w:rsid w:val="00D13D31"/>
    <w:rsid w:val="00D1401E"/>
    <w:rsid w:val="00D144C0"/>
    <w:rsid w:val="00D16587"/>
    <w:rsid w:val="00D17BE4"/>
    <w:rsid w:val="00D21337"/>
    <w:rsid w:val="00D21E5B"/>
    <w:rsid w:val="00D223D1"/>
    <w:rsid w:val="00D22A11"/>
    <w:rsid w:val="00D22D35"/>
    <w:rsid w:val="00D23B63"/>
    <w:rsid w:val="00D25644"/>
    <w:rsid w:val="00D25B15"/>
    <w:rsid w:val="00D25D66"/>
    <w:rsid w:val="00D26DB9"/>
    <w:rsid w:val="00D27D82"/>
    <w:rsid w:val="00D31089"/>
    <w:rsid w:val="00D3259B"/>
    <w:rsid w:val="00D342F3"/>
    <w:rsid w:val="00D35145"/>
    <w:rsid w:val="00D40E3B"/>
    <w:rsid w:val="00D41ABE"/>
    <w:rsid w:val="00D4201B"/>
    <w:rsid w:val="00D425BA"/>
    <w:rsid w:val="00D42EC7"/>
    <w:rsid w:val="00D43380"/>
    <w:rsid w:val="00D449C9"/>
    <w:rsid w:val="00D45420"/>
    <w:rsid w:val="00D4561D"/>
    <w:rsid w:val="00D45FE8"/>
    <w:rsid w:val="00D46273"/>
    <w:rsid w:val="00D464FC"/>
    <w:rsid w:val="00D50BC7"/>
    <w:rsid w:val="00D51A0B"/>
    <w:rsid w:val="00D528C4"/>
    <w:rsid w:val="00D53644"/>
    <w:rsid w:val="00D5454C"/>
    <w:rsid w:val="00D57285"/>
    <w:rsid w:val="00D5745D"/>
    <w:rsid w:val="00D57568"/>
    <w:rsid w:val="00D63140"/>
    <w:rsid w:val="00D63F63"/>
    <w:rsid w:val="00D64199"/>
    <w:rsid w:val="00D6585E"/>
    <w:rsid w:val="00D70035"/>
    <w:rsid w:val="00D73A1E"/>
    <w:rsid w:val="00D74969"/>
    <w:rsid w:val="00D82643"/>
    <w:rsid w:val="00D826B0"/>
    <w:rsid w:val="00D8342F"/>
    <w:rsid w:val="00D84F5A"/>
    <w:rsid w:val="00D876F9"/>
    <w:rsid w:val="00D87AD4"/>
    <w:rsid w:val="00D907B8"/>
    <w:rsid w:val="00D91DCE"/>
    <w:rsid w:val="00D9586A"/>
    <w:rsid w:val="00D959FE"/>
    <w:rsid w:val="00D96E34"/>
    <w:rsid w:val="00DA0F42"/>
    <w:rsid w:val="00DA1C98"/>
    <w:rsid w:val="00DA25FA"/>
    <w:rsid w:val="00DA2789"/>
    <w:rsid w:val="00DA3892"/>
    <w:rsid w:val="00DA473D"/>
    <w:rsid w:val="00DB1AA0"/>
    <w:rsid w:val="00DB23EC"/>
    <w:rsid w:val="00DB291A"/>
    <w:rsid w:val="00DC04EE"/>
    <w:rsid w:val="00DC1DF1"/>
    <w:rsid w:val="00DC1EA1"/>
    <w:rsid w:val="00DC2AD3"/>
    <w:rsid w:val="00DC38A3"/>
    <w:rsid w:val="00DD0F2B"/>
    <w:rsid w:val="00DD20F1"/>
    <w:rsid w:val="00DD2F4D"/>
    <w:rsid w:val="00DD3259"/>
    <w:rsid w:val="00DD60D2"/>
    <w:rsid w:val="00DE0BBF"/>
    <w:rsid w:val="00DE0E46"/>
    <w:rsid w:val="00DE1604"/>
    <w:rsid w:val="00DE21D1"/>
    <w:rsid w:val="00DE239C"/>
    <w:rsid w:val="00DE2BA7"/>
    <w:rsid w:val="00DE3B37"/>
    <w:rsid w:val="00DE46AE"/>
    <w:rsid w:val="00DF0431"/>
    <w:rsid w:val="00DF4135"/>
    <w:rsid w:val="00DF4854"/>
    <w:rsid w:val="00DF5882"/>
    <w:rsid w:val="00DF5E15"/>
    <w:rsid w:val="00DF706F"/>
    <w:rsid w:val="00DF747E"/>
    <w:rsid w:val="00E021B8"/>
    <w:rsid w:val="00E028F2"/>
    <w:rsid w:val="00E03629"/>
    <w:rsid w:val="00E05405"/>
    <w:rsid w:val="00E0729B"/>
    <w:rsid w:val="00E1146A"/>
    <w:rsid w:val="00E13A75"/>
    <w:rsid w:val="00E13EF0"/>
    <w:rsid w:val="00E16B8F"/>
    <w:rsid w:val="00E2168A"/>
    <w:rsid w:val="00E23D0B"/>
    <w:rsid w:val="00E24014"/>
    <w:rsid w:val="00E274F6"/>
    <w:rsid w:val="00E27DC3"/>
    <w:rsid w:val="00E27F1B"/>
    <w:rsid w:val="00E301B8"/>
    <w:rsid w:val="00E312DA"/>
    <w:rsid w:val="00E31510"/>
    <w:rsid w:val="00E31673"/>
    <w:rsid w:val="00E32147"/>
    <w:rsid w:val="00E325ED"/>
    <w:rsid w:val="00E344AB"/>
    <w:rsid w:val="00E34B6A"/>
    <w:rsid w:val="00E37122"/>
    <w:rsid w:val="00E37E8B"/>
    <w:rsid w:val="00E412E1"/>
    <w:rsid w:val="00E417F0"/>
    <w:rsid w:val="00E41FD5"/>
    <w:rsid w:val="00E42F55"/>
    <w:rsid w:val="00E43596"/>
    <w:rsid w:val="00E44503"/>
    <w:rsid w:val="00E44900"/>
    <w:rsid w:val="00E45715"/>
    <w:rsid w:val="00E47089"/>
    <w:rsid w:val="00E47C0C"/>
    <w:rsid w:val="00E558CE"/>
    <w:rsid w:val="00E55E64"/>
    <w:rsid w:val="00E55ECE"/>
    <w:rsid w:val="00E63437"/>
    <w:rsid w:val="00E638F6"/>
    <w:rsid w:val="00E63B64"/>
    <w:rsid w:val="00E647A4"/>
    <w:rsid w:val="00E66080"/>
    <w:rsid w:val="00E71B82"/>
    <w:rsid w:val="00E71EFF"/>
    <w:rsid w:val="00E72138"/>
    <w:rsid w:val="00E7228B"/>
    <w:rsid w:val="00E745C6"/>
    <w:rsid w:val="00E750B5"/>
    <w:rsid w:val="00E75C96"/>
    <w:rsid w:val="00E760E2"/>
    <w:rsid w:val="00E776BB"/>
    <w:rsid w:val="00E810B4"/>
    <w:rsid w:val="00E827FD"/>
    <w:rsid w:val="00E82BC7"/>
    <w:rsid w:val="00E83801"/>
    <w:rsid w:val="00E878D6"/>
    <w:rsid w:val="00E903FD"/>
    <w:rsid w:val="00E93783"/>
    <w:rsid w:val="00E94954"/>
    <w:rsid w:val="00E949F6"/>
    <w:rsid w:val="00E95E1E"/>
    <w:rsid w:val="00E962BC"/>
    <w:rsid w:val="00EA046B"/>
    <w:rsid w:val="00EA0C36"/>
    <w:rsid w:val="00EA1249"/>
    <w:rsid w:val="00EA18D1"/>
    <w:rsid w:val="00EA3F2F"/>
    <w:rsid w:val="00EA4649"/>
    <w:rsid w:val="00EA62D2"/>
    <w:rsid w:val="00EA659F"/>
    <w:rsid w:val="00EA6620"/>
    <w:rsid w:val="00EA6B57"/>
    <w:rsid w:val="00EA6EEB"/>
    <w:rsid w:val="00EA781E"/>
    <w:rsid w:val="00EB2F6B"/>
    <w:rsid w:val="00EB3B37"/>
    <w:rsid w:val="00EB5DBC"/>
    <w:rsid w:val="00EB5FE3"/>
    <w:rsid w:val="00EB6774"/>
    <w:rsid w:val="00EB76C7"/>
    <w:rsid w:val="00EB777C"/>
    <w:rsid w:val="00EC195E"/>
    <w:rsid w:val="00EC2AC8"/>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304"/>
    <w:rsid w:val="00EE7650"/>
    <w:rsid w:val="00EE7A59"/>
    <w:rsid w:val="00EF085F"/>
    <w:rsid w:val="00EF11E8"/>
    <w:rsid w:val="00EF181D"/>
    <w:rsid w:val="00EF25B2"/>
    <w:rsid w:val="00EF3013"/>
    <w:rsid w:val="00EF35AA"/>
    <w:rsid w:val="00EF3841"/>
    <w:rsid w:val="00EF73D9"/>
    <w:rsid w:val="00F00367"/>
    <w:rsid w:val="00F05DD5"/>
    <w:rsid w:val="00F063C9"/>
    <w:rsid w:val="00F11508"/>
    <w:rsid w:val="00F12CB8"/>
    <w:rsid w:val="00F138A6"/>
    <w:rsid w:val="00F176A3"/>
    <w:rsid w:val="00F24999"/>
    <w:rsid w:val="00F254F0"/>
    <w:rsid w:val="00F2716B"/>
    <w:rsid w:val="00F274D6"/>
    <w:rsid w:val="00F27D3C"/>
    <w:rsid w:val="00F30A61"/>
    <w:rsid w:val="00F30A84"/>
    <w:rsid w:val="00F3264F"/>
    <w:rsid w:val="00F328D7"/>
    <w:rsid w:val="00F3407E"/>
    <w:rsid w:val="00F35770"/>
    <w:rsid w:val="00F36027"/>
    <w:rsid w:val="00F37C71"/>
    <w:rsid w:val="00F400EB"/>
    <w:rsid w:val="00F419DF"/>
    <w:rsid w:val="00F42628"/>
    <w:rsid w:val="00F431FB"/>
    <w:rsid w:val="00F4450B"/>
    <w:rsid w:val="00F445A9"/>
    <w:rsid w:val="00F46C1A"/>
    <w:rsid w:val="00F46F6F"/>
    <w:rsid w:val="00F51667"/>
    <w:rsid w:val="00F5500E"/>
    <w:rsid w:val="00F558E5"/>
    <w:rsid w:val="00F579DA"/>
    <w:rsid w:val="00F579E0"/>
    <w:rsid w:val="00F57DC6"/>
    <w:rsid w:val="00F62470"/>
    <w:rsid w:val="00F6275F"/>
    <w:rsid w:val="00F634B8"/>
    <w:rsid w:val="00F63BD5"/>
    <w:rsid w:val="00F63FDB"/>
    <w:rsid w:val="00F641F8"/>
    <w:rsid w:val="00F647BF"/>
    <w:rsid w:val="00F65D9E"/>
    <w:rsid w:val="00F67AD8"/>
    <w:rsid w:val="00F70A08"/>
    <w:rsid w:val="00F70A3A"/>
    <w:rsid w:val="00F71A29"/>
    <w:rsid w:val="00F7218D"/>
    <w:rsid w:val="00F7227E"/>
    <w:rsid w:val="00F74816"/>
    <w:rsid w:val="00F754F0"/>
    <w:rsid w:val="00F76183"/>
    <w:rsid w:val="00F767F6"/>
    <w:rsid w:val="00F77310"/>
    <w:rsid w:val="00F7794F"/>
    <w:rsid w:val="00F80C68"/>
    <w:rsid w:val="00F81141"/>
    <w:rsid w:val="00F81A7C"/>
    <w:rsid w:val="00F839C5"/>
    <w:rsid w:val="00F84263"/>
    <w:rsid w:val="00F86DA0"/>
    <w:rsid w:val="00F876C4"/>
    <w:rsid w:val="00F87DBE"/>
    <w:rsid w:val="00F9102F"/>
    <w:rsid w:val="00F9174A"/>
    <w:rsid w:val="00F91A74"/>
    <w:rsid w:val="00F938E9"/>
    <w:rsid w:val="00F945CB"/>
    <w:rsid w:val="00F94849"/>
    <w:rsid w:val="00F95EB1"/>
    <w:rsid w:val="00F96411"/>
    <w:rsid w:val="00FA0E34"/>
    <w:rsid w:val="00FA1A29"/>
    <w:rsid w:val="00FA3A13"/>
    <w:rsid w:val="00FA40D0"/>
    <w:rsid w:val="00FA6D7B"/>
    <w:rsid w:val="00FA7582"/>
    <w:rsid w:val="00FB0169"/>
    <w:rsid w:val="00FB077F"/>
    <w:rsid w:val="00FB1799"/>
    <w:rsid w:val="00FB1980"/>
    <w:rsid w:val="00FB2425"/>
    <w:rsid w:val="00FB2D16"/>
    <w:rsid w:val="00FB4791"/>
    <w:rsid w:val="00FB6958"/>
    <w:rsid w:val="00FB6A1C"/>
    <w:rsid w:val="00FC1CD5"/>
    <w:rsid w:val="00FC208C"/>
    <w:rsid w:val="00FC2D34"/>
    <w:rsid w:val="00FC2D7E"/>
    <w:rsid w:val="00FC4B34"/>
    <w:rsid w:val="00FC4B43"/>
    <w:rsid w:val="00FD011F"/>
    <w:rsid w:val="00FD070D"/>
    <w:rsid w:val="00FD0EF3"/>
    <w:rsid w:val="00FD0FBC"/>
    <w:rsid w:val="00FD1033"/>
    <w:rsid w:val="00FD1B7D"/>
    <w:rsid w:val="00FD29AD"/>
    <w:rsid w:val="00FD2D61"/>
    <w:rsid w:val="00FD3A94"/>
    <w:rsid w:val="00FD4403"/>
    <w:rsid w:val="00FD5A08"/>
    <w:rsid w:val="00FD6016"/>
    <w:rsid w:val="00FD7B03"/>
    <w:rsid w:val="00FD7EE3"/>
    <w:rsid w:val="00FE06B0"/>
    <w:rsid w:val="00FE1257"/>
    <w:rsid w:val="00FE16CA"/>
    <w:rsid w:val="00FE2680"/>
    <w:rsid w:val="00FE3157"/>
    <w:rsid w:val="00FE3174"/>
    <w:rsid w:val="00FE3FBC"/>
    <w:rsid w:val="00FE4034"/>
    <w:rsid w:val="00FE52A3"/>
    <w:rsid w:val="00FE5CB8"/>
    <w:rsid w:val="00FE7C74"/>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531">
      <w:bodyDiv w:val="1"/>
      <w:marLeft w:val="0"/>
      <w:marRight w:val="0"/>
      <w:marTop w:val="0"/>
      <w:marBottom w:val="0"/>
      <w:divBdr>
        <w:top w:val="none" w:sz="0" w:space="0" w:color="auto"/>
        <w:left w:val="none" w:sz="0" w:space="0" w:color="auto"/>
        <w:bottom w:val="none" w:sz="0" w:space="0" w:color="auto"/>
        <w:right w:val="none" w:sz="0" w:space="0" w:color="auto"/>
      </w:divBdr>
    </w:div>
    <w:div w:id="38557460">
      <w:bodyDiv w:val="1"/>
      <w:marLeft w:val="0"/>
      <w:marRight w:val="0"/>
      <w:marTop w:val="0"/>
      <w:marBottom w:val="0"/>
      <w:divBdr>
        <w:top w:val="none" w:sz="0" w:space="0" w:color="auto"/>
        <w:left w:val="none" w:sz="0" w:space="0" w:color="auto"/>
        <w:bottom w:val="none" w:sz="0" w:space="0" w:color="auto"/>
        <w:right w:val="none" w:sz="0" w:space="0" w:color="auto"/>
      </w:divBdr>
    </w:div>
    <w:div w:id="69933748">
      <w:bodyDiv w:val="1"/>
      <w:marLeft w:val="0"/>
      <w:marRight w:val="0"/>
      <w:marTop w:val="0"/>
      <w:marBottom w:val="0"/>
      <w:divBdr>
        <w:top w:val="none" w:sz="0" w:space="0" w:color="auto"/>
        <w:left w:val="none" w:sz="0" w:space="0" w:color="auto"/>
        <w:bottom w:val="none" w:sz="0" w:space="0" w:color="auto"/>
        <w:right w:val="none" w:sz="0" w:space="0" w:color="auto"/>
      </w:divBdr>
    </w:div>
    <w:div w:id="81418788">
      <w:bodyDiv w:val="1"/>
      <w:marLeft w:val="0"/>
      <w:marRight w:val="0"/>
      <w:marTop w:val="0"/>
      <w:marBottom w:val="0"/>
      <w:divBdr>
        <w:top w:val="none" w:sz="0" w:space="0" w:color="auto"/>
        <w:left w:val="none" w:sz="0" w:space="0" w:color="auto"/>
        <w:bottom w:val="none" w:sz="0" w:space="0" w:color="auto"/>
        <w:right w:val="none" w:sz="0" w:space="0" w:color="auto"/>
      </w:divBdr>
    </w:div>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127287415">
      <w:bodyDiv w:val="1"/>
      <w:marLeft w:val="0"/>
      <w:marRight w:val="0"/>
      <w:marTop w:val="0"/>
      <w:marBottom w:val="0"/>
      <w:divBdr>
        <w:top w:val="none" w:sz="0" w:space="0" w:color="auto"/>
        <w:left w:val="none" w:sz="0" w:space="0" w:color="auto"/>
        <w:bottom w:val="none" w:sz="0" w:space="0" w:color="auto"/>
        <w:right w:val="none" w:sz="0" w:space="0" w:color="auto"/>
      </w:divBdr>
    </w:div>
    <w:div w:id="300110595">
      <w:bodyDiv w:val="1"/>
      <w:marLeft w:val="0"/>
      <w:marRight w:val="0"/>
      <w:marTop w:val="0"/>
      <w:marBottom w:val="0"/>
      <w:divBdr>
        <w:top w:val="none" w:sz="0" w:space="0" w:color="auto"/>
        <w:left w:val="none" w:sz="0" w:space="0" w:color="auto"/>
        <w:bottom w:val="none" w:sz="0" w:space="0" w:color="auto"/>
        <w:right w:val="none" w:sz="0" w:space="0" w:color="auto"/>
      </w:divBdr>
    </w:div>
    <w:div w:id="329721273">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382557180">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486678184">
      <w:bodyDiv w:val="1"/>
      <w:marLeft w:val="0"/>
      <w:marRight w:val="0"/>
      <w:marTop w:val="0"/>
      <w:marBottom w:val="0"/>
      <w:divBdr>
        <w:top w:val="none" w:sz="0" w:space="0" w:color="auto"/>
        <w:left w:val="none" w:sz="0" w:space="0" w:color="auto"/>
        <w:bottom w:val="none" w:sz="0" w:space="0" w:color="auto"/>
        <w:right w:val="none" w:sz="0" w:space="0" w:color="auto"/>
      </w:divBdr>
    </w:div>
    <w:div w:id="503201725">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566653294">
      <w:bodyDiv w:val="1"/>
      <w:marLeft w:val="0"/>
      <w:marRight w:val="0"/>
      <w:marTop w:val="0"/>
      <w:marBottom w:val="0"/>
      <w:divBdr>
        <w:top w:val="none" w:sz="0" w:space="0" w:color="auto"/>
        <w:left w:val="none" w:sz="0" w:space="0" w:color="auto"/>
        <w:bottom w:val="none" w:sz="0" w:space="0" w:color="auto"/>
        <w:right w:val="none" w:sz="0" w:space="0" w:color="auto"/>
      </w:divBdr>
    </w:div>
    <w:div w:id="571503048">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677119281">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22871149">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20777296">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6575434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32738535">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84972747">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35428361">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089277654">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288657950">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4542131">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482774513">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77071419">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69353593">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798374701">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49269091">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03465010">
      <w:bodyDiv w:val="1"/>
      <w:marLeft w:val="0"/>
      <w:marRight w:val="0"/>
      <w:marTop w:val="0"/>
      <w:marBottom w:val="0"/>
      <w:divBdr>
        <w:top w:val="none" w:sz="0" w:space="0" w:color="auto"/>
        <w:left w:val="none" w:sz="0" w:space="0" w:color="auto"/>
        <w:bottom w:val="none" w:sz="0" w:space="0" w:color="auto"/>
        <w:right w:val="none" w:sz="0" w:space="0" w:color="auto"/>
      </w:divBdr>
    </w:div>
    <w:div w:id="2004313686">
      <w:bodyDiv w:val="1"/>
      <w:marLeft w:val="0"/>
      <w:marRight w:val="0"/>
      <w:marTop w:val="0"/>
      <w:marBottom w:val="0"/>
      <w:divBdr>
        <w:top w:val="none" w:sz="0" w:space="0" w:color="auto"/>
        <w:left w:val="none" w:sz="0" w:space="0" w:color="auto"/>
        <w:bottom w:val="none" w:sz="0" w:space="0" w:color="auto"/>
        <w:right w:val="none" w:sz="0" w:space="0" w:color="auto"/>
      </w:divBdr>
    </w:div>
    <w:div w:id="2063629234">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06463470">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October</a:t>
            </a:r>
            <a:r>
              <a:rPr lang="en-US" sz="1000" b="1" baseline="0"/>
              <a:t> 31, 2022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A34-4FB1-8DA0-C538DDAB31C1}"/>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Sheet1!$B$2:$B$3</c:f>
              <c:numCache>
                <c:formatCode>0.0</c:formatCode>
                <c:ptCount val="2"/>
                <c:pt idx="0">
                  <c:v>8.1</c:v>
                </c:pt>
                <c:pt idx="1">
                  <c:v>-17.7</c:v>
                </c:pt>
              </c:numCache>
            </c:numRef>
          </c:val>
          <c:extLst>
            <c:ext xmlns:c16="http://schemas.microsoft.com/office/drawing/2014/chart" uri="{C3380CC4-5D6E-409C-BE32-E72D297353CC}">
              <c16:uniqueId val="{00000002-1A34-4FB1-8DA0-C538DDAB31C1}"/>
            </c:ext>
          </c:extLst>
        </c:ser>
        <c:ser>
          <c:idx val="1"/>
          <c:order val="1"/>
          <c:tx>
            <c:strRef>
              <c:f>Sheet1!$C$1</c:f>
              <c:strCache>
                <c:ptCount val="1"/>
                <c:pt idx="0">
                  <c:v>Int'l Dev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A34-4FB1-8DA0-C538DDAB31C1}"/>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A34-4FB1-8DA0-C538DDAB31C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Sheet1!$C$2:$C$3</c:f>
              <c:numCache>
                <c:formatCode>0.0</c:formatCode>
                <c:ptCount val="2"/>
                <c:pt idx="0" formatCode="General">
                  <c:v>5.4</c:v>
                </c:pt>
                <c:pt idx="1">
                  <c:v>-22.8</c:v>
                </c:pt>
              </c:numCache>
            </c:numRef>
          </c:val>
          <c:extLst>
            <c:ext xmlns:c16="http://schemas.microsoft.com/office/drawing/2014/chart" uri="{C3380CC4-5D6E-409C-BE32-E72D297353CC}">
              <c16:uniqueId val="{00000005-1A34-4FB1-8DA0-C538DDAB31C1}"/>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A34-4FB1-8DA0-C538DDAB31C1}"/>
                </c:ext>
              </c:extLst>
            </c:dLbl>
            <c:dLbl>
              <c:idx val="1"/>
              <c:layout>
                <c:manualLayout>
                  <c:x val="1.2254901960784314E-2"/>
                  <c:y val="9.2286734054437807E-3"/>
                </c:manualLayout>
              </c:layout>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Sheet1!$D$2:$D$3</c:f>
              <c:numCache>
                <c:formatCode>0.0</c:formatCode>
                <c:ptCount val="2"/>
                <c:pt idx="0" formatCode="#,##0.0">
                  <c:v>-3.1</c:v>
                </c:pt>
                <c:pt idx="1">
                  <c:v>-29.2</c:v>
                </c:pt>
              </c:numCache>
            </c:numRef>
          </c:val>
          <c:extLst>
            <c:ext xmlns:c16="http://schemas.microsoft.com/office/drawing/2014/chart" uri="{C3380CC4-5D6E-409C-BE32-E72D297353CC}">
              <c16:uniqueId val="{00000008-1A34-4FB1-8DA0-C538DDAB31C1}"/>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A34-4FB1-8DA0-C538DDAB31C1}"/>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Sheet1!$E$2:$E$3</c:f>
              <c:numCache>
                <c:formatCode>0.0</c:formatCode>
                <c:ptCount val="2"/>
                <c:pt idx="0">
                  <c:v>-1.3</c:v>
                </c:pt>
                <c:pt idx="1">
                  <c:v>-15.7</c:v>
                </c:pt>
              </c:numCache>
            </c:numRef>
          </c:val>
          <c:extLst>
            <c:ext xmlns:c16="http://schemas.microsoft.com/office/drawing/2014/chart" uri="{C3380CC4-5D6E-409C-BE32-E72D297353CC}">
              <c16:uniqueId val="{0000000B-1A34-4FB1-8DA0-C538DDAB31C1}"/>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1A34-4FB1-8DA0-C538DDAB31C1}"/>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A34-4FB1-8DA0-C538DDAB31C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Sheet1!$F$2:$F$3</c:f>
              <c:numCache>
                <c:formatCode>0.0</c:formatCode>
                <c:ptCount val="2"/>
                <c:pt idx="0">
                  <c:v>-0.1</c:v>
                </c:pt>
                <c:pt idx="1">
                  <c:v>-24</c:v>
                </c:pt>
              </c:numCache>
            </c:numRef>
          </c:val>
          <c:extLst>
            <c:ext xmlns:c16="http://schemas.microsoft.com/office/drawing/2014/chart" uri="{C3380CC4-5D6E-409C-BE32-E72D297353CC}">
              <c16:uniqueId val="{0000000E-1A34-4FB1-8DA0-C538DDAB31C1}"/>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1A34-4FB1-8DA0-C538DDAB31C1}"/>
                </c:ext>
              </c:extLst>
            </c:dLbl>
            <c:dLbl>
              <c:idx val="1"/>
              <c:layout>
                <c:manualLayout>
                  <c:x val="4.9019607843137254E-3"/>
                  <c:y val="0"/>
                </c:manualLayout>
              </c:layout>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Sheet1!$G$2:$G$3</c:f>
              <c:numCache>
                <c:formatCode>0.0</c:formatCode>
                <c:ptCount val="2"/>
                <c:pt idx="0">
                  <c:v>-0.9</c:v>
                </c:pt>
                <c:pt idx="1">
                  <c:v>-21.2</c:v>
                </c:pt>
              </c:numCache>
            </c:numRef>
          </c:val>
          <c:extLst>
            <c:ext xmlns:c16="http://schemas.microsoft.com/office/drawing/2014/chart" uri="{C3380CC4-5D6E-409C-BE32-E72D297353CC}">
              <c16:uniqueId val="{00000011-1A34-4FB1-8DA0-C538DDAB31C1}"/>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October 31,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40A-47B2-B9DA-F5BD6FD6A08F}"/>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Sheet1!$B$2:$B$3</c:f>
              <c:numCache>
                <c:formatCode>0.0</c:formatCode>
                <c:ptCount val="2"/>
                <c:pt idx="0">
                  <c:v>3.4</c:v>
                </c:pt>
                <c:pt idx="1">
                  <c:v>-20.5</c:v>
                </c:pt>
              </c:numCache>
            </c:numRef>
          </c:val>
          <c:extLst>
            <c:ext xmlns:c16="http://schemas.microsoft.com/office/drawing/2014/chart" uri="{C3380CC4-5D6E-409C-BE32-E72D297353CC}">
              <c16:uniqueId val="{00000002-640A-47B2-B9DA-F5BD6FD6A08F}"/>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40A-47B2-B9DA-F5BD6FD6A08F}"/>
                </c:ext>
              </c:extLst>
            </c:dLbl>
            <c:dLbl>
              <c:idx val="1"/>
              <c:layout>
                <c:manualLayout>
                  <c:x val="0"/>
                  <c:y val="-2.3691068467187871E-2"/>
                </c:manualLayout>
              </c:layout>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Sheet1!$C$2:$C$3</c:f>
              <c:numCache>
                <c:formatCode>0.0</c:formatCode>
                <c:ptCount val="2"/>
                <c:pt idx="0">
                  <c:v>6.1</c:v>
                </c:pt>
                <c:pt idx="1">
                  <c:v>-20.8</c:v>
                </c:pt>
              </c:numCache>
            </c:numRef>
          </c:val>
          <c:extLst>
            <c:ext xmlns:c16="http://schemas.microsoft.com/office/drawing/2014/chart" uri="{C3380CC4-5D6E-409C-BE32-E72D297353CC}">
              <c16:uniqueId val="{00000005-640A-47B2-B9DA-F5BD6FD6A08F}"/>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40A-47B2-B9DA-F5BD6FD6A08F}"/>
                </c:ext>
              </c:extLst>
            </c:dLbl>
            <c:dLbl>
              <c:idx val="1"/>
              <c:layout>
                <c:manualLayout>
                  <c:x val="4.818116116598322E-3"/>
                  <c:y val="1.4214641080312809E-2"/>
                </c:manualLayout>
              </c:layout>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Sheet1!$D$2:$D$3</c:f>
              <c:numCache>
                <c:formatCode>0.0</c:formatCode>
                <c:ptCount val="2"/>
                <c:pt idx="0">
                  <c:v>-0.7</c:v>
                </c:pt>
                <c:pt idx="1">
                  <c:v>-20.399999999999999</c:v>
                </c:pt>
              </c:numCache>
            </c:numRef>
          </c:val>
          <c:extLst>
            <c:ext xmlns:c16="http://schemas.microsoft.com/office/drawing/2014/chart" uri="{C3380CC4-5D6E-409C-BE32-E72D297353CC}">
              <c16:uniqueId val="{00000008-640A-47B2-B9DA-F5BD6FD6A08F}"/>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40A-47B2-B9DA-F5BD6FD6A08F}"/>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Sheet1!$E$2:$E$3</c:f>
              <c:numCache>
                <c:formatCode>0.0</c:formatCode>
                <c:ptCount val="2"/>
                <c:pt idx="0">
                  <c:v>3.4</c:v>
                </c:pt>
                <c:pt idx="1">
                  <c:v>-25.5</c:v>
                </c:pt>
              </c:numCache>
            </c:numRef>
          </c:val>
          <c:extLst>
            <c:ext xmlns:c16="http://schemas.microsoft.com/office/drawing/2014/chart" uri="{C3380CC4-5D6E-409C-BE32-E72D297353CC}">
              <c16:uniqueId val="{0000000B-640A-47B2-B9DA-F5BD6FD6A08F}"/>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640A-47B2-B9DA-F5BD6FD6A08F}"/>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Sheet1!$F$2:$F$3</c:f>
              <c:numCache>
                <c:formatCode>0.0</c:formatCode>
                <c:ptCount val="2"/>
                <c:pt idx="0">
                  <c:v>2</c:v>
                </c:pt>
                <c:pt idx="1">
                  <c:v>15.8</c:v>
                </c:pt>
              </c:numCache>
            </c:numRef>
          </c:val>
          <c:extLst>
            <c:ext xmlns:c16="http://schemas.microsoft.com/office/drawing/2014/chart" uri="{C3380CC4-5D6E-409C-BE32-E72D297353CC}">
              <c16:uniqueId val="{0000000E-640A-47B2-B9DA-F5BD6FD6A08F}"/>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40A-47B2-B9DA-F5BD6FD6A08F}"/>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Oct-22</c:v>
                </c:pt>
                <c:pt idx="1">
                  <c:v>Year to Date</c:v>
                </c:pt>
              </c:strCache>
            </c:strRef>
          </c:cat>
          <c:val>
            <c:numRef>
              <c:f>Sheet1!$G$2:$G$3</c:f>
              <c:numCache>
                <c:formatCode>0.0</c:formatCode>
                <c:ptCount val="2"/>
                <c:pt idx="0">
                  <c:v>-1.6</c:v>
                </c:pt>
                <c:pt idx="1">
                  <c:v>-10.7</c:v>
                </c:pt>
              </c:numCache>
            </c:numRef>
          </c:val>
          <c:extLst>
            <c:ext xmlns:c16="http://schemas.microsoft.com/office/drawing/2014/chart" uri="{C3380CC4-5D6E-409C-BE32-E72D297353CC}">
              <c16:uniqueId val="{00000011-640A-47B2-B9DA-F5BD6FD6A08F}"/>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3" ma:contentTypeDescription="Create a new document." ma:contentTypeScope="" ma:versionID="47669d2f804b87331f7a3523a2fd81fd">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c95782c651d3d77cc00955b03adf91e3"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13031-6C23-408F-B39A-3E7BD6E38B56}">
  <ds:schemaRefs>
    <ds:schemaRef ds:uri="http://schemas.openxmlformats.org/officeDocument/2006/bibliography"/>
  </ds:schemaRefs>
</ds:datastoreItem>
</file>

<file path=customXml/itemProps2.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3.xml><?xml version="1.0" encoding="utf-8"?>
<ds:datastoreItem xmlns:ds="http://schemas.openxmlformats.org/officeDocument/2006/customXml" ds:itemID="{957108C6-D6D4-44DE-A1A1-F4598217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2</cp:revision>
  <cp:lastPrinted>2022-08-03T20:04:00Z</cp:lastPrinted>
  <dcterms:created xsi:type="dcterms:W3CDTF">2022-11-03T18:04:00Z</dcterms:created>
  <dcterms:modified xsi:type="dcterms:W3CDTF">2022-11-03T18:04:00Z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y fmtid="{D5CDD505-2E9C-101B-9397-08002B2CF9AE}" pid="3" name="GrammarlyDocumentId">
    <vt:lpwstr>7a9e0452576869f617f5dda3b653e0445053e43a81f531d8fd65c11a55952e3f</vt:lpwstr>
  </property>
</Properties>
</file>