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7456"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26EE1523" w14:textId="77777777" w:rsidR="004A3AEE" w:rsidRPr="00FB2425" w:rsidRDefault="004A3AEE" w:rsidP="004A3AEE">
      <w:pPr>
        <w:spacing w:after="0"/>
        <w:ind w:left="1440" w:right="-360"/>
        <w:rPr>
          <w:rFonts w:ascii="Arial" w:hAnsi="Arial" w:cs="Arial"/>
          <w:b/>
          <w:color w:val="037EBB"/>
          <w:szCs w:val="20"/>
        </w:rPr>
      </w:pPr>
      <w:r>
        <w:rPr>
          <w:noProof/>
        </w:rPr>
        <w:drawing>
          <wp:anchor distT="0" distB="0" distL="114300" distR="114300" simplePos="0" relativeHeight="251683840" behindDoc="0" locked="0" layoutInCell="1" allowOverlap="1" wp14:anchorId="4158C2F5" wp14:editId="13B23988">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82816" behindDoc="0" locked="0" layoutInCell="1" allowOverlap="1" wp14:anchorId="6A761DC7" wp14:editId="50614E4F">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6ADB117" w14:textId="77777777" w:rsidR="004A3AEE" w:rsidRPr="002815AB" w:rsidRDefault="004A3AEE" w:rsidP="004A3AEE">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206F7CE0" w14:textId="77777777" w:rsidR="004A3AEE" w:rsidRPr="00525FA1" w:rsidRDefault="004A3AEE" w:rsidP="004A3AEE">
      <w:pPr>
        <w:spacing w:after="0"/>
        <w:ind w:left="1440" w:right="-360"/>
        <w:rPr>
          <w:rFonts w:ascii="Arial" w:hAnsi="Arial" w:cs="Arial"/>
          <w:b/>
          <w:color w:val="3B3838" w:themeColor="background2" w:themeShade="40"/>
          <w:sz w:val="20"/>
          <w:szCs w:val="20"/>
        </w:rPr>
      </w:pPr>
    </w:p>
    <w:p w14:paraId="13EFF16C" w14:textId="522E751C" w:rsidR="00EC2AC8" w:rsidRDefault="001A3B06" w:rsidP="00EC2AC8">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The equity markets </w:t>
      </w:r>
      <w:r w:rsidR="00870A4A">
        <w:rPr>
          <w:rFonts w:ascii="Arial" w:hAnsi="Arial" w:cs="Arial"/>
          <w:color w:val="3B3838" w:themeColor="background2" w:themeShade="40"/>
          <w:sz w:val="20"/>
          <w:szCs w:val="20"/>
        </w:rPr>
        <w:t xml:space="preserve">eked out </w:t>
      </w:r>
      <w:r w:rsidR="00074F9A">
        <w:rPr>
          <w:rFonts w:ascii="Arial" w:hAnsi="Arial" w:cs="Arial"/>
          <w:color w:val="3B3838" w:themeColor="background2" w:themeShade="40"/>
          <w:sz w:val="20"/>
          <w:szCs w:val="20"/>
        </w:rPr>
        <w:t>modest</w:t>
      </w:r>
      <w:r w:rsidR="00870A4A">
        <w:rPr>
          <w:rFonts w:ascii="Arial" w:hAnsi="Arial" w:cs="Arial"/>
          <w:color w:val="3B3838" w:themeColor="background2" w:themeShade="40"/>
          <w:sz w:val="20"/>
          <w:szCs w:val="20"/>
        </w:rPr>
        <w:t xml:space="preserve"> gains </w:t>
      </w:r>
      <w:r>
        <w:rPr>
          <w:rFonts w:ascii="Arial" w:hAnsi="Arial" w:cs="Arial"/>
          <w:color w:val="3B3838" w:themeColor="background2" w:themeShade="40"/>
          <w:sz w:val="20"/>
          <w:szCs w:val="20"/>
        </w:rPr>
        <w:t>across</w:t>
      </w:r>
      <w:r w:rsidR="00776E82">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 xml:space="preserve">all major </w:t>
      </w:r>
      <w:r w:rsidR="007E0EC5">
        <w:rPr>
          <w:rFonts w:ascii="Arial" w:hAnsi="Arial" w:cs="Arial"/>
          <w:color w:val="3B3838" w:themeColor="background2" w:themeShade="40"/>
          <w:sz w:val="20"/>
          <w:szCs w:val="20"/>
        </w:rPr>
        <w:t>indices</w:t>
      </w:r>
      <w:r w:rsidR="0011194D">
        <w:rPr>
          <w:rFonts w:ascii="Arial" w:hAnsi="Arial" w:cs="Arial"/>
          <w:color w:val="3B3838" w:themeColor="background2" w:themeShade="40"/>
          <w:sz w:val="20"/>
          <w:szCs w:val="20"/>
        </w:rPr>
        <w:t xml:space="preserve"> led by </w:t>
      </w:r>
      <w:r w:rsidR="00604CEB">
        <w:rPr>
          <w:rFonts w:ascii="Arial" w:hAnsi="Arial" w:cs="Arial"/>
          <w:color w:val="3B3838" w:themeColor="background2" w:themeShade="40"/>
          <w:sz w:val="20"/>
          <w:szCs w:val="20"/>
        </w:rPr>
        <w:t xml:space="preserve">a </w:t>
      </w:r>
      <w:r w:rsidR="0011194D">
        <w:rPr>
          <w:rFonts w:ascii="Arial" w:hAnsi="Arial" w:cs="Arial"/>
          <w:color w:val="3B3838" w:themeColor="background2" w:themeShade="40"/>
          <w:sz w:val="20"/>
          <w:szCs w:val="20"/>
        </w:rPr>
        <w:t>late</w:t>
      </w:r>
      <w:r w:rsidR="00F85DBD">
        <w:rPr>
          <w:rFonts w:ascii="Arial" w:hAnsi="Arial" w:cs="Arial"/>
          <w:color w:val="3B3838" w:themeColor="background2" w:themeShade="40"/>
          <w:sz w:val="20"/>
          <w:szCs w:val="20"/>
        </w:rPr>
        <w:t>-</w:t>
      </w:r>
      <w:r w:rsidR="0011194D">
        <w:rPr>
          <w:rFonts w:ascii="Arial" w:hAnsi="Arial" w:cs="Arial"/>
          <w:color w:val="3B3838" w:themeColor="background2" w:themeShade="40"/>
          <w:sz w:val="20"/>
          <w:szCs w:val="20"/>
        </w:rPr>
        <w:t>month rally</w:t>
      </w:r>
      <w:r w:rsidR="00776E82">
        <w:rPr>
          <w:rFonts w:ascii="Arial" w:hAnsi="Arial" w:cs="Arial"/>
          <w:color w:val="3B3838" w:themeColor="background2" w:themeShade="40"/>
          <w:sz w:val="20"/>
          <w:szCs w:val="20"/>
        </w:rPr>
        <w:t xml:space="preserve">. </w:t>
      </w:r>
      <w:r w:rsidR="00B23E49">
        <w:rPr>
          <w:rFonts w:ascii="Arial" w:hAnsi="Arial" w:cs="Arial"/>
          <w:color w:val="3B3838" w:themeColor="background2" w:themeShade="40"/>
          <w:sz w:val="20"/>
          <w:szCs w:val="20"/>
        </w:rPr>
        <w:t xml:space="preserve"> </w:t>
      </w:r>
      <w:r w:rsidR="0011194D">
        <w:rPr>
          <w:rFonts w:ascii="Arial" w:hAnsi="Arial" w:cs="Arial"/>
          <w:color w:val="3B3838" w:themeColor="background2" w:themeShade="40"/>
          <w:sz w:val="20"/>
          <w:szCs w:val="20"/>
        </w:rPr>
        <w:t>A</w:t>
      </w:r>
      <w:r w:rsidR="008A3A52">
        <w:rPr>
          <w:rFonts w:ascii="Arial" w:hAnsi="Arial" w:cs="Arial"/>
          <w:color w:val="3B3838" w:themeColor="background2" w:themeShade="40"/>
          <w:sz w:val="20"/>
          <w:szCs w:val="20"/>
        </w:rPr>
        <w:t>f</w:t>
      </w:r>
      <w:r w:rsidR="00924B94">
        <w:rPr>
          <w:rFonts w:ascii="Arial" w:hAnsi="Arial" w:cs="Arial"/>
          <w:color w:val="3B3838" w:themeColor="background2" w:themeShade="40"/>
          <w:sz w:val="20"/>
          <w:szCs w:val="20"/>
        </w:rPr>
        <w:t>ter bottoming on May 20, the US markets</w:t>
      </w:r>
      <w:r w:rsidR="00924B94" w:rsidRPr="00924B94">
        <w:rPr>
          <w:rFonts w:ascii="Arial" w:hAnsi="Arial" w:cs="Arial"/>
          <w:color w:val="3B3838" w:themeColor="background2" w:themeShade="40"/>
          <w:sz w:val="20"/>
          <w:szCs w:val="20"/>
        </w:rPr>
        <w:t xml:space="preserve"> </w:t>
      </w:r>
      <w:r w:rsidR="008A3A52">
        <w:rPr>
          <w:rFonts w:ascii="Arial" w:hAnsi="Arial" w:cs="Arial"/>
          <w:color w:val="3B3838" w:themeColor="background2" w:themeShade="40"/>
          <w:sz w:val="20"/>
          <w:szCs w:val="20"/>
        </w:rPr>
        <w:t xml:space="preserve">showed signs of life and </w:t>
      </w:r>
      <w:r w:rsidR="00924B94" w:rsidRPr="00924B94">
        <w:rPr>
          <w:rFonts w:ascii="Arial" w:hAnsi="Arial" w:cs="Arial"/>
          <w:color w:val="3B3838" w:themeColor="background2" w:themeShade="40"/>
          <w:sz w:val="20"/>
          <w:szCs w:val="20"/>
        </w:rPr>
        <w:t>rallied nearly 8.5%</w:t>
      </w:r>
      <w:r w:rsidR="00DE239C">
        <w:rPr>
          <w:rFonts w:ascii="Arial" w:hAnsi="Arial" w:cs="Arial"/>
          <w:color w:val="3B3838" w:themeColor="background2" w:themeShade="40"/>
          <w:sz w:val="20"/>
          <w:szCs w:val="20"/>
        </w:rPr>
        <w:t xml:space="preserve"> to </w:t>
      </w:r>
      <w:r w:rsidR="000B134F">
        <w:rPr>
          <w:rFonts w:ascii="Arial" w:hAnsi="Arial" w:cs="Arial"/>
          <w:color w:val="3B3838" w:themeColor="background2" w:themeShade="40"/>
          <w:sz w:val="20"/>
          <w:szCs w:val="20"/>
        </w:rPr>
        <w:t xml:space="preserve">help </w:t>
      </w:r>
      <w:r w:rsidR="00DE239C">
        <w:rPr>
          <w:rFonts w:ascii="Arial" w:hAnsi="Arial" w:cs="Arial"/>
          <w:color w:val="3B3838" w:themeColor="background2" w:themeShade="40"/>
          <w:sz w:val="20"/>
          <w:szCs w:val="20"/>
        </w:rPr>
        <w:t>end the month</w:t>
      </w:r>
      <w:r w:rsidR="008A3A52">
        <w:rPr>
          <w:rFonts w:ascii="Arial" w:hAnsi="Arial" w:cs="Arial"/>
          <w:color w:val="3B3838" w:themeColor="background2" w:themeShade="40"/>
          <w:sz w:val="20"/>
          <w:szCs w:val="20"/>
        </w:rPr>
        <w:t xml:space="preserve"> flat</w:t>
      </w:r>
      <w:r w:rsidR="00BA6A42">
        <w:rPr>
          <w:rStyle w:val="EndnoteReference"/>
          <w:rFonts w:ascii="Arial" w:hAnsi="Arial" w:cs="Arial"/>
          <w:color w:val="3B3838" w:themeColor="background2" w:themeShade="40"/>
          <w:sz w:val="20"/>
          <w:szCs w:val="20"/>
        </w:rPr>
        <w:endnoteReference w:id="1"/>
      </w:r>
      <w:r w:rsidR="00924B94">
        <w:rPr>
          <w:rFonts w:ascii="Arial" w:hAnsi="Arial" w:cs="Arial"/>
          <w:color w:val="3B3838" w:themeColor="background2" w:themeShade="40"/>
          <w:sz w:val="20"/>
          <w:szCs w:val="20"/>
        </w:rPr>
        <w:t xml:space="preserve">. </w:t>
      </w:r>
      <w:r w:rsidR="0011194D">
        <w:rPr>
          <w:rFonts w:ascii="Arial" w:hAnsi="Arial" w:cs="Arial"/>
          <w:color w:val="3B3838" w:themeColor="background2" w:themeShade="40"/>
          <w:sz w:val="20"/>
          <w:szCs w:val="20"/>
        </w:rPr>
        <w:t xml:space="preserve">However, despite the ongoing war, International developed equities rose by 0.9% in May, outperforming both emerging markets (+0.5%) and US equities </w:t>
      </w:r>
      <w:r w:rsidR="0011194D" w:rsidRPr="00A57EE1">
        <w:rPr>
          <w:rFonts w:ascii="Arial" w:hAnsi="Arial" w:cs="Arial"/>
          <w:color w:val="3B3838" w:themeColor="background2" w:themeShade="40"/>
          <w:sz w:val="20"/>
          <w:szCs w:val="20"/>
        </w:rPr>
        <w:t>(</w:t>
      </w:r>
      <w:r w:rsidR="0011194D">
        <w:rPr>
          <w:rFonts w:ascii="Arial" w:hAnsi="Arial" w:cs="Arial"/>
          <w:color w:val="3B3838" w:themeColor="background2" w:themeShade="40"/>
          <w:sz w:val="20"/>
          <w:szCs w:val="20"/>
        </w:rPr>
        <w:t>+0.2</w:t>
      </w:r>
      <w:r w:rsidR="0011194D" w:rsidRPr="00A57EE1">
        <w:rPr>
          <w:rFonts w:ascii="Arial" w:hAnsi="Arial" w:cs="Arial"/>
          <w:color w:val="3B3838" w:themeColor="background2" w:themeShade="40"/>
          <w:sz w:val="20"/>
          <w:szCs w:val="20"/>
        </w:rPr>
        <w:t>%)</w:t>
      </w:r>
      <w:r w:rsidR="0011194D">
        <w:rPr>
          <w:rFonts w:ascii="Arial" w:hAnsi="Arial" w:cs="Arial"/>
          <w:color w:val="3B3838" w:themeColor="background2" w:themeShade="40"/>
          <w:sz w:val="20"/>
          <w:szCs w:val="20"/>
        </w:rPr>
        <w:t xml:space="preserve"> during the month.  </w:t>
      </w:r>
    </w:p>
    <w:p w14:paraId="13D5F95B" w14:textId="77777777" w:rsidR="00F876C4" w:rsidRPr="00E55DE2" w:rsidRDefault="00F876C4" w:rsidP="00EC2AC8">
      <w:pPr>
        <w:spacing w:after="0"/>
        <w:ind w:left="1440" w:right="-360"/>
        <w:rPr>
          <w:rFonts w:ascii="Arial" w:hAnsi="Arial" w:cs="Arial"/>
          <w:color w:val="3B3838" w:themeColor="background2" w:themeShade="40"/>
          <w:sz w:val="20"/>
          <w:szCs w:val="20"/>
        </w:rPr>
      </w:pPr>
    </w:p>
    <w:p w14:paraId="3A95E4DE" w14:textId="375FFD63" w:rsidR="006D1378" w:rsidRDefault="004A3AEE" w:rsidP="006D1378">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Within the S&amp;P 500 sectors</w:t>
      </w:r>
      <w:r w:rsidR="00EC2AC8">
        <w:rPr>
          <w:rFonts w:ascii="Arial" w:hAnsi="Arial" w:cs="Arial"/>
          <w:color w:val="3B3838" w:themeColor="background2" w:themeShade="40"/>
          <w:sz w:val="20"/>
          <w:szCs w:val="20"/>
        </w:rPr>
        <w:t>,</w:t>
      </w:r>
      <w:r w:rsidR="00FE2680">
        <w:rPr>
          <w:rFonts w:ascii="Arial" w:hAnsi="Arial" w:cs="Arial"/>
          <w:color w:val="3B3838" w:themeColor="background2" w:themeShade="40"/>
          <w:sz w:val="20"/>
          <w:szCs w:val="20"/>
        </w:rPr>
        <w:t xml:space="preserve"> higher oil prices drove</w:t>
      </w:r>
      <w:r w:rsidR="006C2C33">
        <w:rPr>
          <w:rFonts w:ascii="Arial" w:hAnsi="Arial" w:cs="Arial"/>
          <w:color w:val="3B3838" w:themeColor="background2" w:themeShade="40"/>
          <w:sz w:val="20"/>
          <w:szCs w:val="20"/>
        </w:rPr>
        <w:t xml:space="preserve"> </w:t>
      </w:r>
      <w:r w:rsidR="00EF11E8">
        <w:rPr>
          <w:rFonts w:ascii="Arial" w:hAnsi="Arial" w:cs="Arial"/>
          <w:color w:val="3B3838" w:themeColor="background2" w:themeShade="40"/>
          <w:sz w:val="20"/>
          <w:szCs w:val="20"/>
        </w:rPr>
        <w:t>energy</w:t>
      </w:r>
      <w:r w:rsidR="00776E82">
        <w:rPr>
          <w:rFonts w:ascii="Arial" w:hAnsi="Arial" w:cs="Arial"/>
          <w:color w:val="3B3838" w:themeColor="background2" w:themeShade="40"/>
          <w:sz w:val="20"/>
          <w:szCs w:val="20"/>
        </w:rPr>
        <w:t xml:space="preserve"> </w:t>
      </w:r>
      <w:r w:rsidR="00FE2680">
        <w:rPr>
          <w:rFonts w:ascii="Arial" w:hAnsi="Arial" w:cs="Arial"/>
          <w:color w:val="3B3838" w:themeColor="background2" w:themeShade="40"/>
          <w:sz w:val="20"/>
          <w:szCs w:val="20"/>
        </w:rPr>
        <w:t xml:space="preserve">to be the best performing sector, up </w:t>
      </w:r>
      <w:r w:rsidR="006C2C33">
        <w:rPr>
          <w:rFonts w:ascii="Arial" w:hAnsi="Arial" w:cs="Arial"/>
          <w:color w:val="3B3838" w:themeColor="background2" w:themeShade="40"/>
          <w:sz w:val="20"/>
          <w:szCs w:val="20"/>
        </w:rPr>
        <w:t>15.8%</w:t>
      </w:r>
      <w:r w:rsidR="00FE2680">
        <w:rPr>
          <w:rFonts w:ascii="Arial" w:hAnsi="Arial" w:cs="Arial"/>
          <w:color w:val="3B3838" w:themeColor="background2" w:themeShade="40"/>
          <w:sz w:val="20"/>
          <w:szCs w:val="20"/>
        </w:rPr>
        <w:t xml:space="preserve">. </w:t>
      </w:r>
      <w:r w:rsidR="00E069DA">
        <w:rPr>
          <w:rFonts w:ascii="Arial" w:hAnsi="Arial" w:cs="Arial"/>
          <w:color w:val="3B3838" w:themeColor="background2" w:themeShade="40"/>
          <w:sz w:val="20"/>
          <w:szCs w:val="20"/>
        </w:rPr>
        <w:t xml:space="preserve">The </w:t>
      </w:r>
      <w:r w:rsidR="00FE2680">
        <w:rPr>
          <w:rFonts w:ascii="Arial" w:hAnsi="Arial" w:cs="Arial"/>
          <w:color w:val="3B3838" w:themeColor="background2" w:themeShade="40"/>
          <w:sz w:val="20"/>
          <w:szCs w:val="20"/>
        </w:rPr>
        <w:t xml:space="preserve">Energy sector is </w:t>
      </w:r>
      <w:r w:rsidR="006C2C33">
        <w:rPr>
          <w:rFonts w:ascii="Arial" w:hAnsi="Arial" w:cs="Arial"/>
          <w:color w:val="3B3838" w:themeColor="background2" w:themeShade="40"/>
          <w:sz w:val="20"/>
          <w:szCs w:val="20"/>
        </w:rPr>
        <w:t xml:space="preserve">now up a whopping 58.5% for the year. </w:t>
      </w:r>
      <w:r w:rsidR="00B71633">
        <w:rPr>
          <w:rFonts w:ascii="Arial" w:hAnsi="Arial" w:cs="Arial"/>
          <w:color w:val="3B3838" w:themeColor="background2" w:themeShade="40"/>
          <w:sz w:val="20"/>
          <w:szCs w:val="20"/>
        </w:rPr>
        <w:t>R</w:t>
      </w:r>
      <w:r w:rsidR="006C2C33">
        <w:rPr>
          <w:rFonts w:ascii="Arial" w:hAnsi="Arial" w:cs="Arial"/>
          <w:color w:val="3B3838" w:themeColor="background2" w:themeShade="40"/>
          <w:sz w:val="20"/>
          <w:szCs w:val="20"/>
        </w:rPr>
        <w:t xml:space="preserve">eal estate </w:t>
      </w:r>
      <w:r w:rsidR="00FE2680">
        <w:rPr>
          <w:rFonts w:ascii="Arial" w:hAnsi="Arial" w:cs="Arial"/>
          <w:color w:val="3B3838" w:themeColor="background2" w:themeShade="40"/>
          <w:sz w:val="20"/>
          <w:szCs w:val="20"/>
        </w:rPr>
        <w:t>was the worst</w:t>
      </w:r>
      <w:r w:rsidR="00E069DA">
        <w:rPr>
          <w:rFonts w:ascii="Arial" w:hAnsi="Arial" w:cs="Arial"/>
          <w:color w:val="3B3838" w:themeColor="background2" w:themeShade="40"/>
          <w:sz w:val="20"/>
          <w:szCs w:val="20"/>
        </w:rPr>
        <w:t>-</w:t>
      </w:r>
      <w:r w:rsidR="00FE2680">
        <w:rPr>
          <w:rFonts w:ascii="Arial" w:hAnsi="Arial" w:cs="Arial"/>
          <w:color w:val="3B3838" w:themeColor="background2" w:themeShade="40"/>
          <w:sz w:val="20"/>
          <w:szCs w:val="20"/>
        </w:rPr>
        <w:t xml:space="preserve">performing sector and fell </w:t>
      </w:r>
      <w:r w:rsidR="006C2C33">
        <w:rPr>
          <w:rFonts w:ascii="Arial" w:hAnsi="Arial" w:cs="Arial"/>
          <w:color w:val="3B3838" w:themeColor="background2" w:themeShade="40"/>
          <w:sz w:val="20"/>
          <w:szCs w:val="20"/>
        </w:rPr>
        <w:t>5.0%</w:t>
      </w:r>
      <w:r w:rsidR="00FE2680">
        <w:rPr>
          <w:rFonts w:ascii="Arial" w:hAnsi="Arial" w:cs="Arial"/>
          <w:color w:val="3B3838" w:themeColor="background2" w:themeShade="40"/>
          <w:sz w:val="20"/>
          <w:szCs w:val="20"/>
        </w:rPr>
        <w:t xml:space="preserve"> hurt by</w:t>
      </w:r>
      <w:r w:rsidR="00B71633">
        <w:rPr>
          <w:rFonts w:ascii="Arial" w:hAnsi="Arial" w:cs="Arial"/>
          <w:color w:val="3B3838" w:themeColor="background2" w:themeShade="40"/>
          <w:sz w:val="20"/>
          <w:szCs w:val="20"/>
        </w:rPr>
        <w:t xml:space="preserve"> rising interest rates</w:t>
      </w:r>
      <w:r w:rsidR="00232B67">
        <w:rPr>
          <w:rFonts w:ascii="Arial" w:hAnsi="Arial" w:cs="Arial"/>
          <w:color w:val="3B3838" w:themeColor="background2" w:themeShade="40"/>
          <w:sz w:val="20"/>
          <w:szCs w:val="20"/>
        </w:rPr>
        <w:t>.</w:t>
      </w:r>
      <w:r w:rsidR="00F876C4">
        <w:rPr>
          <w:rFonts w:ascii="Arial" w:hAnsi="Arial" w:cs="Arial"/>
          <w:color w:val="3B3838" w:themeColor="background2" w:themeShade="40"/>
          <w:sz w:val="20"/>
          <w:szCs w:val="20"/>
        </w:rPr>
        <w:t xml:space="preserve"> </w:t>
      </w:r>
      <w:r w:rsidRPr="00E55DE2">
        <w:rPr>
          <w:rFonts w:ascii="Arial" w:hAnsi="Arial" w:cs="Arial"/>
          <w:color w:val="3B3838" w:themeColor="background2" w:themeShade="40"/>
          <w:sz w:val="20"/>
          <w:szCs w:val="20"/>
        </w:rPr>
        <w:t>Reviewing equity styles</w:t>
      </w:r>
      <w:r w:rsidRPr="003D50A1">
        <w:rPr>
          <w:rFonts w:ascii="Arial" w:hAnsi="Arial" w:cs="Arial"/>
          <w:color w:val="3B3838" w:themeColor="background2" w:themeShade="40"/>
          <w:sz w:val="20"/>
          <w:szCs w:val="20"/>
        </w:rPr>
        <w:t xml:space="preserve">, </w:t>
      </w:r>
      <w:r w:rsidR="00A47A20">
        <w:rPr>
          <w:rFonts w:ascii="Arial" w:hAnsi="Arial" w:cs="Arial"/>
          <w:color w:val="3B3838" w:themeColor="background2" w:themeShade="40"/>
          <w:sz w:val="20"/>
          <w:szCs w:val="20"/>
        </w:rPr>
        <w:t>value</w:t>
      </w:r>
      <w:r w:rsidR="00FE2680">
        <w:rPr>
          <w:rFonts w:ascii="Arial" w:hAnsi="Arial" w:cs="Arial"/>
          <w:color w:val="3B3838" w:themeColor="background2" w:themeShade="40"/>
          <w:sz w:val="20"/>
          <w:szCs w:val="20"/>
        </w:rPr>
        <w:t xml:space="preserve"> stocks</w:t>
      </w:r>
      <w:r w:rsidR="00A47A20">
        <w:rPr>
          <w:rFonts w:ascii="Arial" w:hAnsi="Arial" w:cs="Arial"/>
          <w:color w:val="3B3838" w:themeColor="background2" w:themeShade="40"/>
          <w:sz w:val="20"/>
          <w:szCs w:val="20"/>
        </w:rPr>
        <w:t xml:space="preserve"> </w:t>
      </w:r>
      <w:r w:rsidR="006C2C33">
        <w:rPr>
          <w:rFonts w:ascii="Arial" w:hAnsi="Arial" w:cs="Arial"/>
          <w:color w:val="3B3838" w:themeColor="background2" w:themeShade="40"/>
          <w:sz w:val="20"/>
          <w:szCs w:val="20"/>
        </w:rPr>
        <w:t>continued</w:t>
      </w:r>
      <w:r w:rsidR="00FE2680">
        <w:rPr>
          <w:rFonts w:ascii="Arial" w:hAnsi="Arial" w:cs="Arial"/>
          <w:color w:val="3B3838" w:themeColor="background2" w:themeShade="40"/>
          <w:sz w:val="20"/>
          <w:szCs w:val="20"/>
        </w:rPr>
        <w:t xml:space="preserve"> to</w:t>
      </w:r>
      <w:r w:rsidR="00A47A20">
        <w:rPr>
          <w:rFonts w:ascii="Arial" w:hAnsi="Arial" w:cs="Arial"/>
          <w:color w:val="3B3838" w:themeColor="background2" w:themeShade="40"/>
          <w:sz w:val="20"/>
          <w:szCs w:val="20"/>
        </w:rPr>
        <w:t xml:space="preserve"> outperform growt</w:t>
      </w:r>
      <w:r w:rsidR="00FE2680">
        <w:rPr>
          <w:rFonts w:ascii="Arial" w:hAnsi="Arial" w:cs="Arial"/>
          <w:color w:val="3B3838" w:themeColor="background2" w:themeShade="40"/>
          <w:sz w:val="20"/>
          <w:szCs w:val="20"/>
        </w:rPr>
        <w:t>h stocks</w:t>
      </w:r>
      <w:r w:rsidR="00AD53C2">
        <w:rPr>
          <w:rFonts w:ascii="Arial" w:hAnsi="Arial" w:cs="Arial"/>
          <w:color w:val="3B3838" w:themeColor="background2" w:themeShade="40"/>
          <w:sz w:val="20"/>
          <w:szCs w:val="20"/>
        </w:rPr>
        <w:t xml:space="preserve"> for the month</w:t>
      </w:r>
      <w:r w:rsidR="006360E6">
        <w:rPr>
          <w:rFonts w:ascii="Arial" w:hAnsi="Arial" w:cs="Arial"/>
          <w:color w:val="3B3838" w:themeColor="background2" w:themeShade="40"/>
          <w:sz w:val="20"/>
          <w:szCs w:val="20"/>
        </w:rPr>
        <w:t xml:space="preserve"> and</w:t>
      </w:r>
      <w:r w:rsidR="00876895">
        <w:rPr>
          <w:rFonts w:ascii="Arial" w:hAnsi="Arial" w:cs="Arial"/>
          <w:color w:val="3B3838" w:themeColor="background2" w:themeShade="40"/>
          <w:sz w:val="20"/>
          <w:szCs w:val="20"/>
        </w:rPr>
        <w:t xml:space="preserve"> </w:t>
      </w:r>
      <w:r w:rsidR="006360E6">
        <w:rPr>
          <w:rFonts w:ascii="Arial" w:hAnsi="Arial" w:cs="Arial"/>
          <w:color w:val="3B3838" w:themeColor="background2" w:themeShade="40"/>
          <w:sz w:val="20"/>
          <w:szCs w:val="20"/>
        </w:rPr>
        <w:t>year</w:t>
      </w:r>
      <w:r w:rsidR="00B23E49">
        <w:rPr>
          <w:rFonts w:ascii="Arial" w:hAnsi="Arial" w:cs="Arial"/>
          <w:color w:val="3B3838" w:themeColor="background2" w:themeShade="40"/>
          <w:sz w:val="20"/>
          <w:szCs w:val="20"/>
        </w:rPr>
        <w:t>.</w:t>
      </w:r>
      <w:r w:rsidR="00192E8F">
        <w:rPr>
          <w:rFonts w:ascii="Arial" w:hAnsi="Arial" w:cs="Arial"/>
          <w:color w:val="3B3838" w:themeColor="background2" w:themeShade="40"/>
          <w:sz w:val="20"/>
          <w:szCs w:val="20"/>
        </w:rPr>
        <w:t xml:space="preserve"> </w:t>
      </w:r>
      <w:r w:rsidR="00FE2680">
        <w:rPr>
          <w:rFonts w:ascii="Arial" w:hAnsi="Arial" w:cs="Arial"/>
          <w:color w:val="3B3838" w:themeColor="background2" w:themeShade="40"/>
          <w:sz w:val="20"/>
          <w:szCs w:val="20"/>
        </w:rPr>
        <w:t xml:space="preserve">Rising interest rates </w:t>
      </w:r>
      <w:r w:rsidR="000B134F">
        <w:rPr>
          <w:rFonts w:ascii="Arial" w:hAnsi="Arial" w:cs="Arial"/>
          <w:color w:val="3B3838" w:themeColor="background2" w:themeShade="40"/>
          <w:sz w:val="20"/>
          <w:szCs w:val="20"/>
        </w:rPr>
        <w:t xml:space="preserve">have weighed </w:t>
      </w:r>
      <w:r w:rsidR="00B71633">
        <w:rPr>
          <w:rFonts w:ascii="Arial" w:hAnsi="Arial" w:cs="Arial"/>
          <w:color w:val="3B3838" w:themeColor="background2" w:themeShade="40"/>
          <w:sz w:val="20"/>
          <w:szCs w:val="20"/>
        </w:rPr>
        <w:t xml:space="preserve">heavily </w:t>
      </w:r>
      <w:r w:rsidR="000B134F">
        <w:rPr>
          <w:rFonts w:ascii="Arial" w:hAnsi="Arial" w:cs="Arial"/>
          <w:color w:val="3B3838" w:themeColor="background2" w:themeShade="40"/>
          <w:sz w:val="20"/>
          <w:szCs w:val="20"/>
        </w:rPr>
        <w:t>on growth</w:t>
      </w:r>
      <w:r w:rsidR="00B71633">
        <w:rPr>
          <w:rFonts w:ascii="Arial" w:hAnsi="Arial" w:cs="Arial"/>
          <w:color w:val="3B3838" w:themeColor="background2" w:themeShade="40"/>
          <w:sz w:val="20"/>
          <w:szCs w:val="20"/>
        </w:rPr>
        <w:t xml:space="preserve"> companies</w:t>
      </w:r>
      <w:r w:rsidR="002F592D">
        <w:rPr>
          <w:rFonts w:ascii="Arial" w:hAnsi="Arial" w:cs="Arial"/>
          <w:color w:val="3B3838" w:themeColor="background2" w:themeShade="40"/>
          <w:sz w:val="20"/>
          <w:szCs w:val="20"/>
        </w:rPr>
        <w:t>’</w:t>
      </w:r>
      <w:r w:rsidR="00FE2680">
        <w:rPr>
          <w:rFonts w:ascii="Arial" w:hAnsi="Arial" w:cs="Arial"/>
          <w:color w:val="3B3838" w:themeColor="background2" w:themeShade="40"/>
          <w:sz w:val="20"/>
          <w:szCs w:val="20"/>
        </w:rPr>
        <w:t xml:space="preserve"> earnings</w:t>
      </w:r>
      <w:r w:rsidR="00B71633">
        <w:rPr>
          <w:rFonts w:ascii="Arial" w:hAnsi="Arial" w:cs="Arial"/>
          <w:color w:val="3B3838" w:themeColor="background2" w:themeShade="40"/>
          <w:sz w:val="20"/>
          <w:szCs w:val="20"/>
        </w:rPr>
        <w:t xml:space="preserve">, particularly in the technology sector, </w:t>
      </w:r>
      <w:r w:rsidR="009161C8">
        <w:rPr>
          <w:rFonts w:ascii="Arial" w:hAnsi="Arial" w:cs="Arial"/>
          <w:color w:val="3B3838" w:themeColor="background2" w:themeShade="40"/>
          <w:sz w:val="20"/>
          <w:szCs w:val="20"/>
        </w:rPr>
        <w:t xml:space="preserve">which is </w:t>
      </w:r>
      <w:r w:rsidR="00B71633">
        <w:rPr>
          <w:rFonts w:ascii="Arial" w:hAnsi="Arial" w:cs="Arial"/>
          <w:color w:val="3B3838" w:themeColor="background2" w:themeShade="40"/>
          <w:sz w:val="20"/>
          <w:szCs w:val="20"/>
        </w:rPr>
        <w:t>down 19.4% year to date.</w:t>
      </w:r>
    </w:p>
    <w:p w14:paraId="234CBCB8" w14:textId="2379DFC2" w:rsidR="00AE55FB" w:rsidRDefault="00AE55FB" w:rsidP="004A3AEE">
      <w:pPr>
        <w:spacing w:after="0"/>
        <w:ind w:left="1440" w:right="-360"/>
        <w:rPr>
          <w:rFonts w:ascii="Arial" w:hAnsi="Arial" w:cs="Arial"/>
          <w:color w:val="3B3838" w:themeColor="background2" w:themeShade="40"/>
          <w:sz w:val="20"/>
          <w:szCs w:val="20"/>
        </w:rPr>
      </w:pPr>
    </w:p>
    <w:p w14:paraId="51894E9B" w14:textId="788884CB" w:rsidR="00C946FA" w:rsidRDefault="004B24FB" w:rsidP="00074F9A">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Within bonds, the sell-off reversed in May</w:t>
      </w:r>
      <w:r w:rsidR="00C44320">
        <w:rPr>
          <w:rFonts w:ascii="Arial" w:hAnsi="Arial" w:cs="Arial"/>
          <w:color w:val="3B3838" w:themeColor="background2" w:themeShade="40"/>
          <w:sz w:val="20"/>
          <w:szCs w:val="20"/>
        </w:rPr>
        <w:t xml:space="preserve">. </w:t>
      </w:r>
      <w:r w:rsidR="004757BC">
        <w:rPr>
          <w:rFonts w:ascii="Arial" w:hAnsi="Arial" w:cs="Arial"/>
          <w:color w:val="3B3838" w:themeColor="background2" w:themeShade="40"/>
          <w:sz w:val="20"/>
          <w:szCs w:val="20"/>
        </w:rPr>
        <w:t xml:space="preserve">US fixed income </w:t>
      </w:r>
      <w:r w:rsidR="002A381C">
        <w:rPr>
          <w:rFonts w:ascii="Arial" w:hAnsi="Arial" w:cs="Arial"/>
          <w:color w:val="3B3838" w:themeColor="background2" w:themeShade="40"/>
          <w:sz w:val="20"/>
          <w:szCs w:val="20"/>
        </w:rPr>
        <w:t xml:space="preserve">gained </w:t>
      </w:r>
      <w:r w:rsidR="00F12CB8">
        <w:rPr>
          <w:rFonts w:ascii="Arial" w:hAnsi="Arial" w:cs="Arial"/>
          <w:color w:val="3B3838" w:themeColor="background2" w:themeShade="40"/>
          <w:sz w:val="20"/>
          <w:szCs w:val="20"/>
        </w:rPr>
        <w:t>0.6%</w:t>
      </w:r>
      <w:r w:rsidR="00776E82">
        <w:rPr>
          <w:rFonts w:ascii="Arial" w:hAnsi="Arial" w:cs="Arial"/>
          <w:color w:val="3B3838" w:themeColor="background2" w:themeShade="40"/>
          <w:sz w:val="20"/>
          <w:szCs w:val="20"/>
        </w:rPr>
        <w:t>,</w:t>
      </w:r>
      <w:r w:rsidR="004757BC">
        <w:rPr>
          <w:rFonts w:ascii="Arial" w:hAnsi="Arial" w:cs="Arial"/>
          <w:color w:val="3B3838" w:themeColor="background2" w:themeShade="40"/>
          <w:sz w:val="20"/>
          <w:szCs w:val="20"/>
        </w:rPr>
        <w:t xml:space="preserve"> </w:t>
      </w:r>
      <w:r w:rsidR="00DE239C">
        <w:rPr>
          <w:rFonts w:ascii="Arial" w:hAnsi="Arial" w:cs="Arial"/>
          <w:color w:val="3B3838" w:themeColor="background2" w:themeShade="40"/>
          <w:sz w:val="20"/>
          <w:szCs w:val="20"/>
        </w:rPr>
        <w:t>followed</w:t>
      </w:r>
      <w:r w:rsidR="004757BC">
        <w:rPr>
          <w:rFonts w:ascii="Arial" w:hAnsi="Arial" w:cs="Arial"/>
          <w:color w:val="3B3838" w:themeColor="background2" w:themeShade="40"/>
          <w:sz w:val="20"/>
          <w:szCs w:val="20"/>
        </w:rPr>
        <w:t xml:space="preserve"> by</w:t>
      </w:r>
      <w:r w:rsidR="00776E82">
        <w:rPr>
          <w:rFonts w:ascii="Arial" w:hAnsi="Arial" w:cs="Arial"/>
          <w:color w:val="3B3838" w:themeColor="background2" w:themeShade="40"/>
          <w:sz w:val="20"/>
          <w:szCs w:val="20"/>
        </w:rPr>
        <w:t xml:space="preserve"> emerging</w:t>
      </w:r>
      <w:r w:rsidR="00F9102F">
        <w:rPr>
          <w:rFonts w:ascii="Arial" w:hAnsi="Arial" w:cs="Arial"/>
          <w:color w:val="3B3838" w:themeColor="background2" w:themeShade="40"/>
          <w:sz w:val="20"/>
          <w:szCs w:val="20"/>
        </w:rPr>
        <w:t xml:space="preserve"> </w:t>
      </w:r>
      <w:r w:rsidR="00EF11E8">
        <w:rPr>
          <w:rFonts w:ascii="Arial" w:hAnsi="Arial" w:cs="Arial"/>
          <w:color w:val="3B3838" w:themeColor="background2" w:themeShade="40"/>
          <w:sz w:val="20"/>
          <w:szCs w:val="20"/>
        </w:rPr>
        <w:t>markets</w:t>
      </w:r>
      <w:r>
        <w:rPr>
          <w:rFonts w:ascii="Arial" w:hAnsi="Arial" w:cs="Arial"/>
          <w:color w:val="3B3838" w:themeColor="background2" w:themeShade="40"/>
          <w:sz w:val="20"/>
          <w:szCs w:val="20"/>
        </w:rPr>
        <w:t xml:space="preserve"> and </w:t>
      </w:r>
      <w:r w:rsidR="00F12CB8">
        <w:rPr>
          <w:rFonts w:ascii="Arial" w:hAnsi="Arial" w:cs="Arial"/>
          <w:color w:val="3B3838" w:themeColor="background2" w:themeShade="40"/>
          <w:sz w:val="20"/>
          <w:szCs w:val="20"/>
        </w:rPr>
        <w:t>i</w:t>
      </w:r>
      <w:r w:rsidR="004757BC">
        <w:rPr>
          <w:rFonts w:ascii="Arial" w:hAnsi="Arial" w:cs="Arial"/>
          <w:color w:val="3B3838" w:themeColor="background2" w:themeShade="40"/>
          <w:sz w:val="20"/>
          <w:szCs w:val="20"/>
        </w:rPr>
        <w:t>nternational developed</w:t>
      </w:r>
      <w:r>
        <w:rPr>
          <w:rFonts w:ascii="Arial" w:hAnsi="Arial" w:cs="Arial"/>
          <w:color w:val="3B3838" w:themeColor="background2" w:themeShade="40"/>
          <w:sz w:val="20"/>
          <w:szCs w:val="20"/>
        </w:rPr>
        <w:t xml:space="preserve"> bonds</w:t>
      </w:r>
      <w:r w:rsidR="004A749F">
        <w:rPr>
          <w:rFonts w:ascii="Arial" w:hAnsi="Arial" w:cs="Arial"/>
          <w:color w:val="3B3838" w:themeColor="background2" w:themeShade="40"/>
          <w:sz w:val="20"/>
          <w:szCs w:val="20"/>
        </w:rPr>
        <w:t>,</w:t>
      </w:r>
      <w:r w:rsidR="00F12CB8">
        <w:rPr>
          <w:rFonts w:ascii="Arial" w:hAnsi="Arial" w:cs="Arial"/>
          <w:color w:val="3B3838" w:themeColor="background2" w:themeShade="40"/>
          <w:sz w:val="20"/>
          <w:szCs w:val="20"/>
        </w:rPr>
        <w:t xml:space="preserve"> </w:t>
      </w:r>
      <w:r w:rsidR="00DE239C">
        <w:rPr>
          <w:rFonts w:ascii="Arial" w:hAnsi="Arial" w:cs="Arial"/>
          <w:color w:val="3B3838" w:themeColor="background2" w:themeShade="40"/>
          <w:sz w:val="20"/>
          <w:szCs w:val="20"/>
        </w:rPr>
        <w:t>which were</w:t>
      </w:r>
      <w:r w:rsidR="00F12CB8">
        <w:rPr>
          <w:rFonts w:ascii="Arial" w:hAnsi="Arial" w:cs="Arial"/>
          <w:color w:val="3B3838" w:themeColor="background2" w:themeShade="40"/>
          <w:sz w:val="20"/>
          <w:szCs w:val="20"/>
        </w:rPr>
        <w:t xml:space="preserve"> </w:t>
      </w:r>
      <w:r w:rsidR="00DE239C">
        <w:rPr>
          <w:rFonts w:ascii="Arial" w:hAnsi="Arial" w:cs="Arial"/>
          <w:color w:val="3B3838" w:themeColor="background2" w:themeShade="40"/>
          <w:sz w:val="20"/>
          <w:szCs w:val="20"/>
        </w:rPr>
        <w:t xml:space="preserve">both </w:t>
      </w:r>
      <w:r w:rsidR="00F12CB8">
        <w:rPr>
          <w:rFonts w:ascii="Arial" w:hAnsi="Arial" w:cs="Arial"/>
          <w:color w:val="3B3838" w:themeColor="background2" w:themeShade="40"/>
          <w:sz w:val="20"/>
          <w:szCs w:val="20"/>
        </w:rPr>
        <w:t>flat</w:t>
      </w:r>
      <w:r w:rsidR="004757BC">
        <w:rPr>
          <w:rFonts w:ascii="Arial" w:hAnsi="Arial" w:cs="Arial"/>
          <w:color w:val="3B3838" w:themeColor="background2" w:themeShade="40"/>
          <w:sz w:val="20"/>
          <w:szCs w:val="20"/>
        </w:rPr>
        <w:t xml:space="preserve">. </w:t>
      </w:r>
      <w:r w:rsidR="00F12CB8">
        <w:rPr>
          <w:rFonts w:ascii="Arial" w:hAnsi="Arial" w:cs="Arial"/>
          <w:color w:val="3B3838" w:themeColor="background2" w:themeShade="40"/>
          <w:sz w:val="20"/>
          <w:szCs w:val="20"/>
        </w:rPr>
        <w:t>Across US bond</w:t>
      </w:r>
      <w:r w:rsidR="004A3AEE" w:rsidRPr="00E55DE2">
        <w:rPr>
          <w:rFonts w:ascii="Arial" w:hAnsi="Arial" w:cs="Arial"/>
          <w:color w:val="3B3838" w:themeColor="background2" w:themeShade="40"/>
          <w:sz w:val="20"/>
          <w:szCs w:val="20"/>
        </w:rPr>
        <w:t xml:space="preserve"> sectors</w:t>
      </w:r>
      <w:r w:rsidR="009161C8">
        <w:rPr>
          <w:rFonts w:ascii="Arial" w:hAnsi="Arial" w:cs="Arial"/>
          <w:color w:val="3B3838" w:themeColor="background2" w:themeShade="40"/>
          <w:sz w:val="20"/>
          <w:szCs w:val="20"/>
        </w:rPr>
        <w:t>,</w:t>
      </w:r>
      <w:r w:rsidR="006D1378">
        <w:rPr>
          <w:rFonts w:ascii="Arial" w:hAnsi="Arial" w:cs="Arial"/>
          <w:color w:val="3B3838" w:themeColor="background2" w:themeShade="40"/>
          <w:sz w:val="20"/>
          <w:szCs w:val="20"/>
        </w:rPr>
        <w:t xml:space="preserve"> municipals </w:t>
      </w:r>
      <w:r w:rsidR="002A381C">
        <w:rPr>
          <w:rFonts w:ascii="Arial" w:hAnsi="Arial" w:cs="Arial"/>
          <w:color w:val="3B3838" w:themeColor="background2" w:themeShade="40"/>
          <w:sz w:val="20"/>
          <w:szCs w:val="20"/>
        </w:rPr>
        <w:t>gained</w:t>
      </w:r>
      <w:r w:rsidR="004A749F">
        <w:rPr>
          <w:rFonts w:ascii="Arial" w:hAnsi="Arial" w:cs="Arial"/>
          <w:color w:val="3B3838" w:themeColor="background2" w:themeShade="40"/>
          <w:sz w:val="20"/>
          <w:szCs w:val="20"/>
        </w:rPr>
        <w:t xml:space="preserve"> 1.5%</w:t>
      </w:r>
      <w:r w:rsidR="002A381C">
        <w:rPr>
          <w:rFonts w:ascii="Arial" w:hAnsi="Arial" w:cs="Arial"/>
          <w:color w:val="3B3838" w:themeColor="background2" w:themeShade="40"/>
          <w:sz w:val="20"/>
          <w:szCs w:val="20"/>
        </w:rPr>
        <w:t>, as rising rates made the sector attractive once again</w:t>
      </w:r>
      <w:r w:rsidR="00BA6A42">
        <w:rPr>
          <w:rStyle w:val="EndnoteReference"/>
          <w:rFonts w:ascii="Arial" w:hAnsi="Arial" w:cs="Arial"/>
          <w:color w:val="3B3838" w:themeColor="background2" w:themeShade="40"/>
          <w:sz w:val="20"/>
          <w:szCs w:val="20"/>
        </w:rPr>
        <w:endnoteReference w:id="2"/>
      </w:r>
      <w:r w:rsidR="006D1378" w:rsidRPr="006D1378">
        <w:rPr>
          <w:rFonts w:ascii="Arial" w:hAnsi="Arial" w:cs="Arial"/>
          <w:color w:val="3B3838" w:themeColor="background2" w:themeShade="40"/>
          <w:sz w:val="20"/>
          <w:szCs w:val="20"/>
        </w:rPr>
        <w:t>.</w:t>
      </w:r>
      <w:r w:rsidR="00074F9A">
        <w:rPr>
          <w:rFonts w:ascii="Arial" w:hAnsi="Arial" w:cs="Arial"/>
          <w:color w:val="3B3838" w:themeColor="background2" w:themeShade="40"/>
          <w:sz w:val="20"/>
          <w:szCs w:val="20"/>
        </w:rPr>
        <w:t xml:space="preserve"> </w:t>
      </w:r>
      <w:r w:rsidR="002A381C">
        <w:rPr>
          <w:rFonts w:ascii="Arial" w:hAnsi="Arial" w:cs="Arial"/>
          <w:color w:val="3B3838" w:themeColor="background2" w:themeShade="40"/>
          <w:sz w:val="20"/>
          <w:szCs w:val="20"/>
        </w:rPr>
        <w:t>On the other hand,</w:t>
      </w:r>
      <w:r w:rsidR="00074F9A" w:rsidRPr="00E55DE2">
        <w:rPr>
          <w:rFonts w:ascii="Arial" w:hAnsi="Arial" w:cs="Arial"/>
          <w:color w:val="3B3838" w:themeColor="background2" w:themeShade="40"/>
          <w:sz w:val="20"/>
          <w:szCs w:val="20"/>
        </w:rPr>
        <w:t xml:space="preserve"> </w:t>
      </w:r>
      <w:r w:rsidR="002A381C">
        <w:rPr>
          <w:rFonts w:ascii="Arial" w:hAnsi="Arial" w:cs="Arial"/>
          <w:color w:val="3B3838" w:themeColor="background2" w:themeShade="40"/>
          <w:sz w:val="20"/>
          <w:szCs w:val="20"/>
        </w:rPr>
        <w:t>T</w:t>
      </w:r>
      <w:r w:rsidR="00074F9A" w:rsidRPr="00E55DE2">
        <w:rPr>
          <w:rFonts w:ascii="Arial" w:hAnsi="Arial" w:cs="Arial"/>
          <w:color w:val="3B3838" w:themeColor="background2" w:themeShade="40"/>
          <w:sz w:val="20"/>
          <w:szCs w:val="20"/>
        </w:rPr>
        <w:t>reasuries</w:t>
      </w:r>
      <w:r w:rsidR="002A381C">
        <w:rPr>
          <w:rFonts w:ascii="Arial" w:hAnsi="Arial" w:cs="Arial"/>
          <w:color w:val="3B3838" w:themeColor="background2" w:themeShade="40"/>
          <w:sz w:val="20"/>
          <w:szCs w:val="20"/>
        </w:rPr>
        <w:t xml:space="preserve"> with longer maturities</w:t>
      </w:r>
      <w:r w:rsidR="00074F9A">
        <w:rPr>
          <w:rFonts w:ascii="Arial" w:hAnsi="Arial" w:cs="Arial"/>
          <w:color w:val="3B3838" w:themeColor="background2" w:themeShade="40"/>
          <w:sz w:val="20"/>
          <w:szCs w:val="20"/>
        </w:rPr>
        <w:t xml:space="preserve"> </w:t>
      </w:r>
      <w:r w:rsidR="008A3A52">
        <w:rPr>
          <w:rFonts w:ascii="Arial" w:hAnsi="Arial" w:cs="Arial"/>
          <w:color w:val="3B3838" w:themeColor="background2" w:themeShade="40"/>
          <w:sz w:val="20"/>
          <w:szCs w:val="20"/>
        </w:rPr>
        <w:t xml:space="preserve">were hit the </w:t>
      </w:r>
      <w:r w:rsidR="008368F4">
        <w:rPr>
          <w:rFonts w:ascii="Arial" w:hAnsi="Arial" w:cs="Arial"/>
          <w:color w:val="3B3838" w:themeColor="background2" w:themeShade="40"/>
          <w:sz w:val="20"/>
          <w:szCs w:val="20"/>
        </w:rPr>
        <w:t>hardest</w:t>
      </w:r>
      <w:r w:rsidR="008A3A52">
        <w:rPr>
          <w:rFonts w:ascii="Arial" w:hAnsi="Arial" w:cs="Arial"/>
          <w:color w:val="3B3838" w:themeColor="background2" w:themeShade="40"/>
          <w:sz w:val="20"/>
          <w:szCs w:val="20"/>
        </w:rPr>
        <w:t xml:space="preserve"> during the month</w:t>
      </w:r>
      <w:r w:rsidR="004A749F">
        <w:rPr>
          <w:rFonts w:ascii="Arial" w:hAnsi="Arial" w:cs="Arial"/>
          <w:color w:val="3B3838" w:themeColor="background2" w:themeShade="40"/>
          <w:sz w:val="20"/>
          <w:szCs w:val="20"/>
        </w:rPr>
        <w:t xml:space="preserve"> and were </w:t>
      </w:r>
      <w:r w:rsidR="008A3A52">
        <w:rPr>
          <w:rFonts w:ascii="Arial" w:hAnsi="Arial" w:cs="Arial"/>
          <w:color w:val="3B3838" w:themeColor="background2" w:themeShade="40"/>
          <w:sz w:val="20"/>
          <w:szCs w:val="20"/>
        </w:rPr>
        <w:t xml:space="preserve">down </w:t>
      </w:r>
      <w:r w:rsidR="004014FA">
        <w:rPr>
          <w:rFonts w:ascii="Arial" w:hAnsi="Arial" w:cs="Arial"/>
          <w:color w:val="3B3838" w:themeColor="background2" w:themeShade="40"/>
          <w:sz w:val="20"/>
          <w:szCs w:val="20"/>
        </w:rPr>
        <w:t>1</w:t>
      </w:r>
      <w:r w:rsidR="00A8769F">
        <w:rPr>
          <w:rFonts w:ascii="Arial" w:hAnsi="Arial" w:cs="Arial"/>
          <w:color w:val="3B3838" w:themeColor="background2" w:themeShade="40"/>
          <w:sz w:val="20"/>
          <w:szCs w:val="20"/>
        </w:rPr>
        <w:t>.9</w:t>
      </w:r>
      <w:r w:rsidR="00074F9A">
        <w:rPr>
          <w:rFonts w:ascii="Arial" w:hAnsi="Arial" w:cs="Arial"/>
          <w:color w:val="3B3838" w:themeColor="background2" w:themeShade="40"/>
          <w:sz w:val="20"/>
          <w:szCs w:val="20"/>
        </w:rPr>
        <w:t>%</w:t>
      </w:r>
      <w:r w:rsidR="002A381C">
        <w:rPr>
          <w:rFonts w:ascii="Arial" w:hAnsi="Arial" w:cs="Arial"/>
          <w:color w:val="3B3838" w:themeColor="background2" w:themeShade="40"/>
          <w:sz w:val="20"/>
          <w:szCs w:val="20"/>
        </w:rPr>
        <w:t xml:space="preserve"> as longer-term interest rates continued to rise</w:t>
      </w:r>
      <w:r w:rsidR="00495C87">
        <w:rPr>
          <w:rFonts w:ascii="Arial" w:hAnsi="Arial" w:cs="Arial"/>
          <w:color w:val="3B3838" w:themeColor="background2" w:themeShade="40"/>
          <w:sz w:val="20"/>
          <w:szCs w:val="20"/>
        </w:rPr>
        <w:t>.</w:t>
      </w:r>
    </w:p>
    <w:p w14:paraId="1D08DDB8" w14:textId="77777777" w:rsidR="00F30A84" w:rsidRDefault="00F30A84" w:rsidP="00A57EE1">
      <w:pPr>
        <w:spacing w:after="0"/>
        <w:ind w:left="1440" w:right="-360"/>
        <w:rPr>
          <w:rFonts w:ascii="Arial" w:hAnsi="Arial" w:cs="Arial"/>
          <w:color w:val="3B3838" w:themeColor="background2" w:themeShade="40"/>
          <w:sz w:val="20"/>
          <w:szCs w:val="20"/>
        </w:rPr>
      </w:pPr>
    </w:p>
    <w:p w14:paraId="50E226DB" w14:textId="5299BB3F" w:rsidR="00455CB2" w:rsidRDefault="00495C87" w:rsidP="00A57EE1">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The b</w:t>
      </w:r>
      <w:r w:rsidR="00724C85">
        <w:rPr>
          <w:rFonts w:ascii="Arial" w:hAnsi="Arial" w:cs="Arial"/>
          <w:color w:val="3B3838" w:themeColor="background2" w:themeShade="40"/>
          <w:sz w:val="20"/>
          <w:szCs w:val="20"/>
        </w:rPr>
        <w:t xml:space="preserve">road </w:t>
      </w:r>
      <w:r w:rsidR="004757BC">
        <w:rPr>
          <w:rFonts w:ascii="Arial" w:hAnsi="Arial" w:cs="Arial"/>
          <w:color w:val="3B3838" w:themeColor="background2" w:themeShade="40"/>
          <w:sz w:val="20"/>
          <w:szCs w:val="20"/>
        </w:rPr>
        <w:t>c</w:t>
      </w:r>
      <w:r w:rsidR="004A3AEE" w:rsidRPr="00E55DE2">
        <w:rPr>
          <w:rFonts w:ascii="Arial" w:hAnsi="Arial" w:cs="Arial"/>
          <w:color w:val="3B3838" w:themeColor="background2" w:themeShade="40"/>
          <w:sz w:val="20"/>
          <w:szCs w:val="20"/>
        </w:rPr>
        <w:t>ommodit</w:t>
      </w:r>
      <w:r>
        <w:rPr>
          <w:rFonts w:ascii="Arial" w:hAnsi="Arial" w:cs="Arial"/>
          <w:color w:val="3B3838" w:themeColor="background2" w:themeShade="40"/>
          <w:sz w:val="20"/>
          <w:szCs w:val="20"/>
        </w:rPr>
        <w:t>y index</w:t>
      </w:r>
      <w:r w:rsidR="004A3AEE" w:rsidRPr="00E55DE2">
        <w:rPr>
          <w:rFonts w:ascii="Arial" w:hAnsi="Arial" w:cs="Arial"/>
          <w:color w:val="3B3838" w:themeColor="background2" w:themeShade="40"/>
          <w:sz w:val="20"/>
          <w:szCs w:val="20"/>
        </w:rPr>
        <w:t xml:space="preserve"> continued to rally</w:t>
      </w:r>
      <w:r w:rsidR="004014FA">
        <w:rPr>
          <w:rFonts w:ascii="Arial" w:hAnsi="Arial" w:cs="Arial"/>
          <w:color w:val="3B3838" w:themeColor="background2" w:themeShade="40"/>
          <w:sz w:val="20"/>
          <w:szCs w:val="20"/>
        </w:rPr>
        <w:t>, gain</w:t>
      </w:r>
      <w:r w:rsidR="00604CEB">
        <w:rPr>
          <w:rFonts w:ascii="Arial" w:hAnsi="Arial" w:cs="Arial"/>
          <w:color w:val="3B3838" w:themeColor="background2" w:themeShade="40"/>
          <w:sz w:val="20"/>
          <w:szCs w:val="20"/>
        </w:rPr>
        <w:t>ing</w:t>
      </w:r>
      <w:r w:rsidR="004014FA">
        <w:rPr>
          <w:rFonts w:ascii="Arial" w:hAnsi="Arial" w:cs="Arial"/>
          <w:color w:val="3B3838" w:themeColor="background2" w:themeShade="40"/>
          <w:sz w:val="20"/>
          <w:szCs w:val="20"/>
        </w:rPr>
        <w:t xml:space="preserve"> </w:t>
      </w:r>
      <w:r w:rsidR="00A226E8">
        <w:rPr>
          <w:rFonts w:ascii="Arial" w:hAnsi="Arial" w:cs="Arial"/>
          <w:color w:val="3B3838" w:themeColor="background2" w:themeShade="40"/>
          <w:sz w:val="20"/>
          <w:szCs w:val="20"/>
        </w:rPr>
        <w:t>1.5</w:t>
      </w:r>
      <w:r w:rsidR="004757BC">
        <w:rPr>
          <w:rFonts w:ascii="Arial" w:hAnsi="Arial" w:cs="Arial"/>
          <w:color w:val="3B3838" w:themeColor="background2" w:themeShade="40"/>
          <w:sz w:val="20"/>
          <w:szCs w:val="20"/>
        </w:rPr>
        <w:t>%</w:t>
      </w:r>
      <w:r w:rsidR="004014FA">
        <w:rPr>
          <w:rFonts w:ascii="Arial" w:hAnsi="Arial" w:cs="Arial"/>
          <w:color w:val="3B3838" w:themeColor="background2" w:themeShade="40"/>
          <w:sz w:val="20"/>
          <w:szCs w:val="20"/>
        </w:rPr>
        <w:t xml:space="preserve"> in May</w:t>
      </w:r>
      <w:r w:rsidR="00A226E8">
        <w:rPr>
          <w:rFonts w:ascii="Arial" w:hAnsi="Arial" w:cs="Arial"/>
          <w:color w:val="3B3838" w:themeColor="background2" w:themeShade="40"/>
          <w:sz w:val="20"/>
          <w:szCs w:val="20"/>
        </w:rPr>
        <w:t xml:space="preserve">, adding to a year of extraordinary gains </w:t>
      </w:r>
      <w:r w:rsidR="004014FA">
        <w:rPr>
          <w:rFonts w:ascii="Arial" w:hAnsi="Arial" w:cs="Arial"/>
          <w:color w:val="3B3838" w:themeColor="background2" w:themeShade="40"/>
          <w:sz w:val="20"/>
          <w:szCs w:val="20"/>
        </w:rPr>
        <w:t>of 3</w:t>
      </w:r>
      <w:r w:rsidR="00A226E8">
        <w:rPr>
          <w:rFonts w:ascii="Arial" w:hAnsi="Arial" w:cs="Arial"/>
          <w:color w:val="3B3838" w:themeColor="background2" w:themeShade="40"/>
          <w:sz w:val="20"/>
          <w:szCs w:val="20"/>
        </w:rPr>
        <w:t xml:space="preserve">2.7%. </w:t>
      </w:r>
      <w:r>
        <w:rPr>
          <w:rFonts w:ascii="Arial" w:hAnsi="Arial" w:cs="Arial"/>
          <w:color w:val="3B3838" w:themeColor="background2" w:themeShade="40"/>
          <w:sz w:val="20"/>
          <w:szCs w:val="20"/>
        </w:rPr>
        <w:t>E</w:t>
      </w:r>
      <w:r w:rsidR="00A226E8">
        <w:rPr>
          <w:rFonts w:ascii="Arial" w:hAnsi="Arial" w:cs="Arial"/>
          <w:color w:val="3B3838" w:themeColor="background2" w:themeShade="40"/>
          <w:sz w:val="20"/>
          <w:szCs w:val="20"/>
        </w:rPr>
        <w:t xml:space="preserve">nergy </w:t>
      </w:r>
      <w:r>
        <w:rPr>
          <w:rFonts w:ascii="Arial" w:hAnsi="Arial" w:cs="Arial"/>
          <w:color w:val="3B3838" w:themeColor="background2" w:themeShade="40"/>
          <w:sz w:val="20"/>
          <w:szCs w:val="20"/>
        </w:rPr>
        <w:t>remained</w:t>
      </w:r>
      <w:r w:rsidR="00A226E8">
        <w:rPr>
          <w:rFonts w:ascii="Arial" w:hAnsi="Arial" w:cs="Arial"/>
          <w:color w:val="3B3838" w:themeColor="background2" w:themeShade="40"/>
          <w:sz w:val="20"/>
          <w:szCs w:val="20"/>
        </w:rPr>
        <w:t xml:space="preserve"> the </w:t>
      </w:r>
      <w:r>
        <w:rPr>
          <w:rFonts w:ascii="Arial" w:hAnsi="Arial" w:cs="Arial"/>
          <w:color w:val="3B3838" w:themeColor="background2" w:themeShade="40"/>
          <w:sz w:val="20"/>
          <w:szCs w:val="20"/>
        </w:rPr>
        <w:t>top</w:t>
      </w:r>
      <w:r w:rsidR="00A226E8">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contributor to the index</w:t>
      </w:r>
      <w:r w:rsidR="00A226E8">
        <w:rPr>
          <w:rFonts w:ascii="Arial" w:hAnsi="Arial" w:cs="Arial"/>
          <w:color w:val="3B3838" w:themeColor="background2" w:themeShade="40"/>
          <w:sz w:val="20"/>
          <w:szCs w:val="20"/>
        </w:rPr>
        <w:t>, up 10.4% for the month and 85.3% for the year</w:t>
      </w:r>
      <w:r w:rsidR="006013B0">
        <w:rPr>
          <w:rFonts w:ascii="Arial" w:hAnsi="Arial" w:cs="Arial"/>
          <w:color w:val="3B3838" w:themeColor="background2" w:themeShade="40"/>
          <w:sz w:val="20"/>
          <w:szCs w:val="20"/>
        </w:rPr>
        <w:t>.</w:t>
      </w:r>
      <w:r w:rsidR="00192E8F">
        <w:rPr>
          <w:rFonts w:ascii="Arial" w:hAnsi="Arial" w:cs="Arial"/>
          <w:color w:val="3B3838" w:themeColor="background2" w:themeShade="40"/>
          <w:sz w:val="20"/>
          <w:szCs w:val="20"/>
        </w:rPr>
        <w:t xml:space="preserve"> </w:t>
      </w:r>
      <w:r w:rsidR="001D528D">
        <w:rPr>
          <w:rFonts w:ascii="Arial" w:hAnsi="Arial" w:cs="Arial"/>
          <w:color w:val="3B3838" w:themeColor="background2" w:themeShade="40"/>
          <w:sz w:val="20"/>
          <w:szCs w:val="20"/>
        </w:rPr>
        <w:t xml:space="preserve">Gold </w:t>
      </w:r>
      <w:r w:rsidR="00A226E8">
        <w:rPr>
          <w:rFonts w:ascii="Arial" w:hAnsi="Arial" w:cs="Arial"/>
          <w:color w:val="3B3838" w:themeColor="background2" w:themeShade="40"/>
          <w:sz w:val="20"/>
          <w:szCs w:val="20"/>
        </w:rPr>
        <w:t>continued to struggle in May</w:t>
      </w:r>
      <w:r w:rsidR="001D528D">
        <w:rPr>
          <w:rFonts w:ascii="Arial" w:hAnsi="Arial" w:cs="Arial"/>
          <w:color w:val="3B3838" w:themeColor="background2" w:themeShade="40"/>
          <w:sz w:val="20"/>
          <w:szCs w:val="20"/>
        </w:rPr>
        <w:t xml:space="preserve"> </w:t>
      </w:r>
      <w:r w:rsidR="004014FA">
        <w:rPr>
          <w:rFonts w:ascii="Arial" w:hAnsi="Arial" w:cs="Arial"/>
          <w:color w:val="3B3838" w:themeColor="background2" w:themeShade="40"/>
          <w:sz w:val="20"/>
          <w:szCs w:val="20"/>
        </w:rPr>
        <w:t xml:space="preserve">and fell </w:t>
      </w:r>
      <w:r w:rsidR="00A226E8">
        <w:rPr>
          <w:rFonts w:ascii="Arial" w:hAnsi="Arial" w:cs="Arial"/>
          <w:color w:val="3B3838" w:themeColor="background2" w:themeShade="40"/>
          <w:sz w:val="20"/>
          <w:szCs w:val="20"/>
        </w:rPr>
        <w:t>3.6</w:t>
      </w:r>
      <w:r w:rsidR="00D25D66">
        <w:rPr>
          <w:rFonts w:ascii="Arial" w:hAnsi="Arial" w:cs="Arial"/>
          <w:color w:val="3B3838" w:themeColor="background2" w:themeShade="40"/>
          <w:sz w:val="20"/>
          <w:szCs w:val="20"/>
        </w:rPr>
        <w:t xml:space="preserve">%. </w:t>
      </w:r>
      <w:r w:rsidR="009161C8">
        <w:rPr>
          <w:rFonts w:ascii="Arial" w:hAnsi="Arial" w:cs="Arial"/>
          <w:color w:val="3B3838" w:themeColor="background2" w:themeShade="40"/>
          <w:sz w:val="20"/>
          <w:szCs w:val="20"/>
        </w:rPr>
        <w:t xml:space="preserve">As </w:t>
      </w:r>
      <w:r w:rsidR="009161C8" w:rsidRPr="00D25D66">
        <w:rPr>
          <w:rFonts w:ascii="Arial" w:hAnsi="Arial" w:cs="Arial"/>
          <w:color w:val="3B3838" w:themeColor="background2" w:themeShade="40"/>
          <w:sz w:val="20"/>
          <w:szCs w:val="20"/>
        </w:rPr>
        <w:t>interest rate</w:t>
      </w:r>
      <w:r w:rsidR="009161C8">
        <w:rPr>
          <w:rFonts w:ascii="Arial" w:hAnsi="Arial" w:cs="Arial"/>
          <w:color w:val="3B3838" w:themeColor="background2" w:themeShade="40"/>
          <w:sz w:val="20"/>
          <w:szCs w:val="20"/>
        </w:rPr>
        <w:t>s</w:t>
      </w:r>
      <w:r w:rsidR="009161C8" w:rsidRPr="00D25D66">
        <w:rPr>
          <w:rFonts w:ascii="Arial" w:hAnsi="Arial" w:cs="Arial"/>
          <w:color w:val="3B3838" w:themeColor="background2" w:themeShade="40"/>
          <w:sz w:val="20"/>
          <w:szCs w:val="20"/>
        </w:rPr>
        <w:t xml:space="preserve"> </w:t>
      </w:r>
      <w:r w:rsidR="009161C8">
        <w:rPr>
          <w:rFonts w:ascii="Arial" w:hAnsi="Arial" w:cs="Arial"/>
          <w:color w:val="3B3838" w:themeColor="background2" w:themeShade="40"/>
          <w:sz w:val="20"/>
          <w:szCs w:val="20"/>
        </w:rPr>
        <w:t>have risen, i</w:t>
      </w:r>
      <w:r w:rsidR="00D25D66">
        <w:rPr>
          <w:rFonts w:ascii="Arial" w:hAnsi="Arial" w:cs="Arial"/>
          <w:color w:val="3B3838" w:themeColor="background2" w:themeShade="40"/>
          <w:sz w:val="20"/>
          <w:szCs w:val="20"/>
        </w:rPr>
        <w:t>nvestors have left gold</w:t>
      </w:r>
      <w:r w:rsidR="009161C8">
        <w:rPr>
          <w:rFonts w:ascii="Arial" w:hAnsi="Arial" w:cs="Arial"/>
          <w:color w:val="3B3838" w:themeColor="background2" w:themeShade="40"/>
          <w:sz w:val="20"/>
          <w:szCs w:val="20"/>
        </w:rPr>
        <w:t xml:space="preserve"> in search of yield</w:t>
      </w:r>
      <w:r w:rsidR="00D468BB">
        <w:rPr>
          <w:rFonts w:ascii="Arial" w:hAnsi="Arial" w:cs="Arial"/>
          <w:color w:val="3B3838" w:themeColor="background2" w:themeShade="40"/>
          <w:sz w:val="20"/>
          <w:szCs w:val="20"/>
        </w:rPr>
        <w:t>-</w:t>
      </w:r>
      <w:r w:rsidR="009161C8">
        <w:rPr>
          <w:rFonts w:ascii="Arial" w:hAnsi="Arial" w:cs="Arial"/>
          <w:color w:val="3B3838" w:themeColor="background2" w:themeShade="40"/>
          <w:sz w:val="20"/>
          <w:szCs w:val="20"/>
        </w:rPr>
        <w:t>bearing assets</w:t>
      </w:r>
      <w:r w:rsidR="00A8769F">
        <w:rPr>
          <w:rFonts w:ascii="Arial" w:hAnsi="Arial" w:cs="Arial"/>
          <w:color w:val="3B3838" w:themeColor="background2" w:themeShade="40"/>
          <w:sz w:val="20"/>
          <w:szCs w:val="20"/>
        </w:rPr>
        <w:t>,</w:t>
      </w:r>
      <w:r w:rsidR="003F0F82">
        <w:rPr>
          <w:rFonts w:ascii="Arial" w:hAnsi="Arial" w:cs="Arial"/>
          <w:color w:val="3B3838" w:themeColor="background2" w:themeShade="40"/>
          <w:sz w:val="20"/>
          <w:szCs w:val="20"/>
        </w:rPr>
        <w:t xml:space="preserve"> putting </w:t>
      </w:r>
      <w:r w:rsidR="003F0F82">
        <w:rPr>
          <w:rFonts w:ascii="Arial" w:hAnsi="Arial" w:cs="Arial"/>
          <w:color w:val="3B3838" w:themeColor="background2" w:themeShade="40"/>
          <w:sz w:val="20"/>
          <w:szCs w:val="20"/>
        </w:rPr>
        <w:lastRenderedPageBreak/>
        <w:t>downward pressure on the bullion</w:t>
      </w:r>
      <w:r w:rsidR="00BA6A42">
        <w:rPr>
          <w:rStyle w:val="EndnoteReference"/>
          <w:rFonts w:ascii="Arial" w:hAnsi="Arial" w:cs="Arial"/>
          <w:color w:val="3B3838" w:themeColor="background2" w:themeShade="40"/>
          <w:sz w:val="20"/>
          <w:szCs w:val="20"/>
        </w:rPr>
        <w:endnoteReference w:id="3"/>
      </w:r>
      <w:r w:rsidR="00D25D66">
        <w:rPr>
          <w:rFonts w:ascii="Arial" w:hAnsi="Arial" w:cs="Arial"/>
          <w:color w:val="3B3838" w:themeColor="background2" w:themeShade="40"/>
          <w:sz w:val="20"/>
          <w:szCs w:val="20"/>
        </w:rPr>
        <w:t>.</w:t>
      </w:r>
      <w:r w:rsidR="00D25D66" w:rsidRPr="00D25D66">
        <w:rPr>
          <w:rFonts w:ascii="Arial" w:hAnsi="Arial" w:cs="Arial"/>
          <w:color w:val="3B3838" w:themeColor="background2" w:themeShade="40"/>
          <w:sz w:val="20"/>
          <w:szCs w:val="20"/>
        </w:rPr>
        <w:t xml:space="preserve"> </w:t>
      </w:r>
      <w:r w:rsidR="001D528D">
        <w:rPr>
          <w:rFonts w:ascii="Arial" w:hAnsi="Arial" w:cs="Arial"/>
          <w:color w:val="3B3838" w:themeColor="background2" w:themeShade="40"/>
          <w:sz w:val="20"/>
          <w:szCs w:val="20"/>
        </w:rPr>
        <w:t xml:space="preserve">The US dollar </w:t>
      </w:r>
      <w:r w:rsidR="00A226E8">
        <w:rPr>
          <w:rFonts w:ascii="Arial" w:hAnsi="Arial" w:cs="Arial"/>
          <w:color w:val="3B3838" w:themeColor="background2" w:themeShade="40"/>
          <w:sz w:val="20"/>
          <w:szCs w:val="20"/>
        </w:rPr>
        <w:t>took a step back this</w:t>
      </w:r>
      <w:r w:rsidR="001D528D">
        <w:rPr>
          <w:rFonts w:ascii="Arial" w:hAnsi="Arial" w:cs="Arial"/>
          <w:color w:val="3B3838" w:themeColor="background2" w:themeShade="40"/>
          <w:sz w:val="20"/>
          <w:szCs w:val="20"/>
        </w:rPr>
        <w:t xml:space="preserve"> month</w:t>
      </w:r>
      <w:r>
        <w:rPr>
          <w:rFonts w:ascii="Arial" w:hAnsi="Arial" w:cs="Arial"/>
          <w:color w:val="3B3838" w:themeColor="background2" w:themeShade="40"/>
          <w:sz w:val="20"/>
          <w:szCs w:val="20"/>
        </w:rPr>
        <w:t xml:space="preserve"> and </w:t>
      </w:r>
      <w:r w:rsidR="002A381C">
        <w:rPr>
          <w:rFonts w:ascii="Arial" w:hAnsi="Arial" w:cs="Arial"/>
          <w:color w:val="3B3838" w:themeColor="background2" w:themeShade="40"/>
          <w:sz w:val="20"/>
          <w:szCs w:val="20"/>
        </w:rPr>
        <w:t>fell</w:t>
      </w:r>
      <w:r w:rsidR="00A226E8">
        <w:rPr>
          <w:rFonts w:ascii="Arial" w:hAnsi="Arial" w:cs="Arial"/>
          <w:color w:val="3B3838" w:themeColor="background2" w:themeShade="40"/>
          <w:sz w:val="20"/>
          <w:szCs w:val="20"/>
        </w:rPr>
        <w:t xml:space="preserve"> 1.3%.</w:t>
      </w:r>
      <w:r w:rsidR="009B610E">
        <w:rPr>
          <w:rFonts w:ascii="Arial" w:hAnsi="Arial" w:cs="Arial"/>
          <w:color w:val="3B3838" w:themeColor="background2" w:themeShade="40"/>
          <w:sz w:val="20"/>
          <w:szCs w:val="20"/>
        </w:rPr>
        <w:t xml:space="preserve">  </w:t>
      </w:r>
      <w:r w:rsidR="002A381C">
        <w:rPr>
          <w:rFonts w:ascii="Arial" w:hAnsi="Arial" w:cs="Arial"/>
          <w:color w:val="3B3838" w:themeColor="background2" w:themeShade="40"/>
          <w:sz w:val="20"/>
          <w:szCs w:val="20"/>
        </w:rPr>
        <w:t xml:space="preserve">Rising interest rates drove </w:t>
      </w:r>
      <w:r w:rsidR="00D25D66">
        <w:rPr>
          <w:rFonts w:ascii="Arial" w:hAnsi="Arial" w:cs="Arial"/>
          <w:color w:val="3B3838" w:themeColor="background2" w:themeShade="40"/>
          <w:sz w:val="20"/>
          <w:szCs w:val="20"/>
        </w:rPr>
        <w:t xml:space="preserve">US </w:t>
      </w:r>
      <w:r w:rsidR="009B610E">
        <w:rPr>
          <w:rFonts w:ascii="Arial" w:hAnsi="Arial" w:cs="Arial"/>
          <w:color w:val="3B3838" w:themeColor="background2" w:themeShade="40"/>
          <w:sz w:val="20"/>
          <w:szCs w:val="20"/>
        </w:rPr>
        <w:t>REITs</w:t>
      </w:r>
      <w:r w:rsidR="00D25D66">
        <w:rPr>
          <w:rFonts w:ascii="Arial" w:hAnsi="Arial" w:cs="Arial"/>
          <w:color w:val="3B3838" w:themeColor="background2" w:themeShade="40"/>
          <w:sz w:val="20"/>
          <w:szCs w:val="20"/>
        </w:rPr>
        <w:t xml:space="preserve"> down 4.7%</w:t>
      </w:r>
      <w:r w:rsidR="002A381C">
        <w:rPr>
          <w:rFonts w:ascii="Arial" w:hAnsi="Arial" w:cs="Arial"/>
          <w:color w:val="3B3838" w:themeColor="background2" w:themeShade="40"/>
          <w:sz w:val="20"/>
          <w:szCs w:val="20"/>
        </w:rPr>
        <w:t xml:space="preserve"> for the month</w:t>
      </w:r>
      <w:r w:rsidR="00D25D66">
        <w:rPr>
          <w:rFonts w:ascii="Arial" w:hAnsi="Arial" w:cs="Arial"/>
          <w:color w:val="3B3838" w:themeColor="background2" w:themeShade="40"/>
          <w:sz w:val="20"/>
          <w:szCs w:val="20"/>
        </w:rPr>
        <w:t>.</w:t>
      </w:r>
    </w:p>
    <w:p w14:paraId="3C492FB7" w14:textId="1306AF9E" w:rsidR="00710280" w:rsidRDefault="00455CB2" w:rsidP="00C946FA">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r w:rsidR="00500609">
        <w:rPr>
          <w:rFonts w:ascii="Arial" w:hAnsi="Arial" w:cs="Arial"/>
          <w:color w:val="3B3838" w:themeColor="background2" w:themeShade="40"/>
          <w:sz w:val="20"/>
          <w:szCs w:val="20"/>
        </w:rPr>
        <w:t xml:space="preserve"> </w:t>
      </w:r>
      <w:r w:rsidR="004A3AEE" w:rsidRPr="00E55DE2">
        <w:rPr>
          <w:rFonts w:ascii="Arial" w:hAnsi="Arial" w:cs="Arial"/>
          <w:color w:val="3B3838" w:themeColor="background2" w:themeShade="40"/>
          <w:sz w:val="20"/>
          <w:szCs w:val="20"/>
        </w:rPr>
        <w:t xml:space="preserve"> </w:t>
      </w:r>
    </w:p>
    <w:p w14:paraId="6CC0A689" w14:textId="10D551D6" w:rsidR="004A3AEE" w:rsidRPr="006F399C" w:rsidRDefault="004A3AEE" w:rsidP="00E95E1E">
      <w:pPr>
        <w:spacing w:after="0"/>
        <w:ind w:left="1440" w:right="-360"/>
        <w:rPr>
          <w:rFonts w:ascii="Arial" w:hAnsi="Arial" w:cs="Arial"/>
          <w:color w:val="3B3838" w:themeColor="background2" w:themeShade="40"/>
          <w:sz w:val="20"/>
          <w:szCs w:val="20"/>
        </w:rPr>
      </w:pPr>
      <w:r w:rsidRPr="000753AC">
        <w:rPr>
          <w:rFonts w:ascii="Arial" w:hAnsi="Arial" w:cs="Arial"/>
          <w:color w:val="3B3838" w:themeColor="background2" w:themeShade="40"/>
          <w:sz w:val="20"/>
          <w:szCs w:val="20"/>
        </w:rPr>
        <w:t>Relative to a globally balanced (60/40) equity/bond index, allocations to</w:t>
      </w:r>
      <w:r w:rsidR="00E95E1E">
        <w:rPr>
          <w:rFonts w:ascii="Arial" w:hAnsi="Arial" w:cs="Arial"/>
          <w:color w:val="3B3838" w:themeColor="background2" w:themeShade="40"/>
          <w:sz w:val="20"/>
          <w:szCs w:val="20"/>
        </w:rPr>
        <w:t xml:space="preserve"> </w:t>
      </w:r>
      <w:r w:rsidR="00E95E1E" w:rsidRPr="000753AC">
        <w:rPr>
          <w:rFonts w:ascii="Arial" w:hAnsi="Arial" w:cs="Arial"/>
          <w:color w:val="3B3838" w:themeColor="background2" w:themeShade="40"/>
          <w:sz w:val="20"/>
          <w:szCs w:val="20"/>
        </w:rPr>
        <w:t xml:space="preserve">global </w:t>
      </w:r>
      <w:r w:rsidR="00E95E1E">
        <w:rPr>
          <w:rFonts w:ascii="Arial" w:hAnsi="Arial" w:cs="Arial"/>
          <w:color w:val="3B3838" w:themeColor="background2" w:themeShade="40"/>
          <w:sz w:val="20"/>
          <w:szCs w:val="20"/>
        </w:rPr>
        <w:t>bonds</w:t>
      </w:r>
      <w:r w:rsidR="00E95E1E" w:rsidRPr="000753AC">
        <w:rPr>
          <w:rFonts w:ascii="Arial" w:hAnsi="Arial" w:cs="Arial"/>
          <w:color w:val="3B3838" w:themeColor="background2" w:themeShade="40"/>
          <w:sz w:val="20"/>
          <w:szCs w:val="20"/>
        </w:rPr>
        <w:t xml:space="preserve"> </w:t>
      </w:r>
      <w:r w:rsidR="00E95E1E">
        <w:rPr>
          <w:rFonts w:ascii="Arial" w:hAnsi="Arial" w:cs="Arial"/>
          <w:color w:val="3B3838" w:themeColor="background2" w:themeShade="40"/>
          <w:sz w:val="20"/>
          <w:szCs w:val="20"/>
        </w:rPr>
        <w:t xml:space="preserve">and </w:t>
      </w:r>
      <w:r w:rsidRPr="000753AC">
        <w:rPr>
          <w:rFonts w:ascii="Arial" w:hAnsi="Arial" w:cs="Arial"/>
          <w:color w:val="3B3838" w:themeColor="background2" w:themeShade="40"/>
          <w:sz w:val="20"/>
          <w:szCs w:val="20"/>
        </w:rPr>
        <w:t>commodities</w:t>
      </w:r>
      <w:r w:rsidR="00E95E1E">
        <w:rPr>
          <w:rFonts w:ascii="Arial" w:hAnsi="Arial" w:cs="Arial"/>
          <w:color w:val="3B3838" w:themeColor="background2" w:themeShade="40"/>
          <w:sz w:val="20"/>
          <w:szCs w:val="20"/>
        </w:rPr>
        <w:t xml:space="preserve"> </w:t>
      </w:r>
      <w:r w:rsidRPr="000753AC">
        <w:rPr>
          <w:rFonts w:ascii="Arial" w:hAnsi="Arial" w:cs="Arial"/>
          <w:color w:val="3B3838" w:themeColor="background2" w:themeShade="40"/>
          <w:sz w:val="20"/>
          <w:szCs w:val="20"/>
        </w:rPr>
        <w:t xml:space="preserve">helped while </w:t>
      </w:r>
      <w:r w:rsidR="00E95E1E">
        <w:rPr>
          <w:rFonts w:ascii="Arial" w:hAnsi="Arial" w:cs="Arial"/>
          <w:color w:val="3B3838" w:themeColor="background2" w:themeShade="40"/>
          <w:sz w:val="20"/>
          <w:szCs w:val="20"/>
        </w:rPr>
        <w:t>gold</w:t>
      </w:r>
      <w:r w:rsidR="00A8769F">
        <w:rPr>
          <w:rFonts w:ascii="Arial" w:hAnsi="Arial" w:cs="Arial"/>
          <w:color w:val="3B3838" w:themeColor="background2" w:themeShade="40"/>
          <w:sz w:val="20"/>
          <w:szCs w:val="20"/>
        </w:rPr>
        <w:t xml:space="preserve">, </w:t>
      </w:r>
      <w:r w:rsidR="00A8769F" w:rsidRPr="000753AC">
        <w:rPr>
          <w:rFonts w:ascii="Arial" w:hAnsi="Arial" w:cs="Arial"/>
          <w:color w:val="3B3838" w:themeColor="background2" w:themeShade="40"/>
          <w:sz w:val="20"/>
          <w:szCs w:val="20"/>
        </w:rPr>
        <w:t xml:space="preserve">global </w:t>
      </w:r>
      <w:r w:rsidR="00A8769F">
        <w:rPr>
          <w:rFonts w:ascii="Arial" w:hAnsi="Arial" w:cs="Arial"/>
          <w:color w:val="3B3838" w:themeColor="background2" w:themeShade="40"/>
          <w:sz w:val="20"/>
          <w:szCs w:val="20"/>
        </w:rPr>
        <w:t>equities</w:t>
      </w:r>
      <w:r w:rsidR="00E95E1E">
        <w:rPr>
          <w:rFonts w:ascii="Arial" w:hAnsi="Arial" w:cs="Arial"/>
          <w:color w:val="3B3838" w:themeColor="background2" w:themeShade="40"/>
          <w:sz w:val="20"/>
          <w:szCs w:val="20"/>
        </w:rPr>
        <w:t xml:space="preserve"> and </w:t>
      </w:r>
      <w:r w:rsidR="00E95E1E" w:rsidRPr="000753AC">
        <w:rPr>
          <w:rFonts w:ascii="Arial" w:hAnsi="Arial" w:cs="Arial"/>
          <w:color w:val="3B3838" w:themeColor="background2" w:themeShade="40"/>
          <w:sz w:val="20"/>
          <w:szCs w:val="20"/>
        </w:rPr>
        <w:t xml:space="preserve">US REITs </w:t>
      </w:r>
      <w:r w:rsidR="00F30A84">
        <w:rPr>
          <w:rFonts w:ascii="Arial" w:hAnsi="Arial" w:cs="Arial"/>
          <w:color w:val="3B3838" w:themeColor="background2" w:themeShade="40"/>
          <w:sz w:val="20"/>
          <w:szCs w:val="20"/>
        </w:rPr>
        <w:t>hurt.</w:t>
      </w:r>
    </w:p>
    <w:p w14:paraId="35C1D6F2" w14:textId="62B13DD4" w:rsidR="004A3AEE" w:rsidRDefault="004014FA" w:rsidP="004A3AEE">
      <w:pPr>
        <w:autoSpaceDE w:val="0"/>
        <w:autoSpaceDN w:val="0"/>
        <w:spacing w:after="0"/>
        <w:ind w:right="-360"/>
        <w:rPr>
          <w:rFonts w:ascii="Arial" w:hAnsi="Arial" w:cs="Arial"/>
          <w:color w:val="7F7F7F" w:themeColor="text1" w:themeTint="80"/>
          <w:sz w:val="18"/>
          <w:szCs w:val="18"/>
        </w:rPr>
      </w:pPr>
      <w:r>
        <w:rPr>
          <w:noProof/>
        </w:rPr>
        <w:drawing>
          <wp:anchor distT="0" distB="0" distL="114300" distR="114300" simplePos="0" relativeHeight="251681792" behindDoc="0" locked="0" layoutInCell="1" allowOverlap="1" wp14:anchorId="4005FF92" wp14:editId="00CFB818">
            <wp:simplePos x="0" y="0"/>
            <wp:positionH relativeFrom="margin">
              <wp:posOffset>875665</wp:posOffset>
            </wp:positionH>
            <wp:positionV relativeFrom="page">
              <wp:posOffset>2029460</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685FE172" w14:textId="700B8808" w:rsidR="004A3AEE" w:rsidRPr="00706956" w:rsidRDefault="004A3AEE" w:rsidP="004A3AEE">
      <w:pPr>
        <w:autoSpaceDE w:val="0"/>
        <w:autoSpaceDN w:val="0"/>
        <w:spacing w:after="0"/>
        <w:ind w:left="1470" w:right="-360" w:firstLine="14"/>
        <w:rPr>
          <w:rFonts w:ascii="Arial" w:hAnsi="Arial" w:cs="Arial"/>
          <w:noProof/>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246DE4C5" w14:textId="5D04E7D0" w:rsidR="004A3AEE" w:rsidRDefault="004A3AEE" w:rsidP="00996FBD">
      <w:pPr>
        <w:spacing w:after="0"/>
        <w:ind w:left="-720" w:right="-720"/>
        <w:rPr>
          <w:rFonts w:ascii="Arial" w:hAnsi="Arial" w:cs="Arial"/>
          <w:b/>
          <w:color w:val="0070C0"/>
          <w:sz w:val="20"/>
          <w:szCs w:val="20"/>
        </w:rPr>
      </w:pPr>
    </w:p>
    <w:p w14:paraId="11D790A0" w14:textId="0FB2A954" w:rsidR="00C946FA" w:rsidRDefault="00C946FA" w:rsidP="004C18B4">
      <w:pPr>
        <w:autoSpaceDE w:val="0"/>
        <w:autoSpaceDN w:val="0"/>
        <w:spacing w:after="0"/>
        <w:ind w:right="-360"/>
        <w:rPr>
          <w:rFonts w:ascii="Arial" w:hAnsi="Arial" w:cs="Arial"/>
          <w:color w:val="343433"/>
          <w:sz w:val="21"/>
        </w:rPr>
      </w:pPr>
    </w:p>
    <w:p w14:paraId="2118F804" w14:textId="19962701" w:rsidR="00996FBD" w:rsidRDefault="00B5385F" w:rsidP="000E5F02">
      <w:pPr>
        <w:autoSpaceDE w:val="0"/>
        <w:autoSpaceDN w:val="0"/>
        <w:spacing w:after="0"/>
        <w:ind w:right="-360" w:hanging="540"/>
        <w:rPr>
          <w:rFonts w:ascii="Arial" w:hAnsi="Arial" w:cs="Arial"/>
          <w:color w:val="343433"/>
          <w:sz w:val="21"/>
        </w:rPr>
      </w:pPr>
      <w:r w:rsidRPr="0040163B">
        <w:rPr>
          <w:rFonts w:ascii="Arial" w:hAnsi="Arial" w:cs="Arial"/>
          <w:color w:val="343433"/>
          <w:sz w:val="21"/>
        </w:rPr>
        <w:t>DEFINITIONS</w:t>
      </w:r>
    </w:p>
    <w:p w14:paraId="05719B78" w14:textId="5918F9D3" w:rsidR="008C20D8" w:rsidRDefault="008C20D8" w:rsidP="000E5F02">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3490"/>
        <w:gridCol w:w="3583"/>
      </w:tblGrid>
      <w:tr w:rsidR="008C20D8" w:rsidRPr="00567CF8" w14:paraId="78D2843B" w14:textId="77777777" w:rsidTr="002C32BB">
        <w:trPr>
          <w:trHeight w:val="264"/>
        </w:trPr>
        <w:tc>
          <w:tcPr>
            <w:tcW w:w="1654" w:type="dxa"/>
            <w:tcBorders>
              <w:top w:val="nil"/>
              <w:left w:val="nil"/>
              <w:bottom w:val="nil"/>
              <w:right w:val="nil"/>
            </w:tcBorders>
            <w:shd w:val="clear" w:color="auto" w:fill="auto"/>
            <w:noWrap/>
            <w:vAlign w:val="bottom"/>
            <w:hideMark/>
          </w:tcPr>
          <w:p w14:paraId="480F9592" w14:textId="77777777" w:rsidR="008C20D8" w:rsidRPr="00567CF8" w:rsidRDefault="008C20D8" w:rsidP="002C32BB">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18E9D8A9"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gridSpan w:val="2"/>
            <w:tcBorders>
              <w:top w:val="nil"/>
              <w:left w:val="nil"/>
              <w:bottom w:val="nil"/>
              <w:right w:val="nil"/>
            </w:tcBorders>
            <w:shd w:val="clear" w:color="auto" w:fill="auto"/>
            <w:noWrap/>
            <w:vAlign w:val="bottom"/>
            <w:hideMark/>
          </w:tcPr>
          <w:p w14:paraId="5E297DF8"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8C20D8" w:rsidRPr="00567CF8" w14:paraId="7123EA5F" w14:textId="77777777" w:rsidTr="002C32BB">
        <w:trPr>
          <w:trHeight w:val="636"/>
        </w:trPr>
        <w:tc>
          <w:tcPr>
            <w:tcW w:w="1654" w:type="dxa"/>
            <w:tcBorders>
              <w:top w:val="nil"/>
              <w:left w:val="nil"/>
              <w:bottom w:val="nil"/>
              <w:right w:val="nil"/>
            </w:tcBorders>
            <w:shd w:val="clear" w:color="auto" w:fill="auto"/>
            <w:hideMark/>
          </w:tcPr>
          <w:p w14:paraId="3F27D647"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76542B98"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S&amp;P 500</w:t>
            </w:r>
          </w:p>
        </w:tc>
        <w:tc>
          <w:tcPr>
            <w:tcW w:w="7073" w:type="dxa"/>
            <w:gridSpan w:val="2"/>
            <w:tcBorders>
              <w:top w:val="nil"/>
              <w:left w:val="nil"/>
              <w:bottom w:val="nil"/>
              <w:right w:val="nil"/>
            </w:tcBorders>
            <w:shd w:val="clear" w:color="auto" w:fill="auto"/>
            <w:hideMark/>
          </w:tcPr>
          <w:p w14:paraId="16196334"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p w14:paraId="66FF7477"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6A4B2CC6" w14:textId="77777777" w:rsidTr="002C32BB">
        <w:trPr>
          <w:trHeight w:val="384"/>
        </w:trPr>
        <w:tc>
          <w:tcPr>
            <w:tcW w:w="1654" w:type="dxa"/>
            <w:tcBorders>
              <w:top w:val="nil"/>
              <w:left w:val="nil"/>
              <w:bottom w:val="nil"/>
              <w:right w:val="nil"/>
            </w:tcBorders>
            <w:shd w:val="clear" w:color="auto" w:fill="auto"/>
            <w:hideMark/>
          </w:tcPr>
          <w:p w14:paraId="09E322FF"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69C23413"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MSCI ACWI </w:t>
            </w:r>
          </w:p>
        </w:tc>
        <w:tc>
          <w:tcPr>
            <w:tcW w:w="7073" w:type="dxa"/>
            <w:gridSpan w:val="2"/>
            <w:tcBorders>
              <w:top w:val="nil"/>
              <w:left w:val="nil"/>
              <w:bottom w:val="nil"/>
              <w:right w:val="nil"/>
            </w:tcBorders>
            <w:shd w:val="clear" w:color="auto" w:fill="auto"/>
            <w:hideMark/>
          </w:tcPr>
          <w:p w14:paraId="5A54B9E2"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large- and mid-cap equity performance of developed and emerging markets.  Represents approximately 85% of the global equity investment universe. </w:t>
            </w:r>
          </w:p>
          <w:p w14:paraId="7F6BEC0A"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74E2C9A5" w14:textId="77777777" w:rsidTr="002C32BB">
        <w:trPr>
          <w:trHeight w:val="537"/>
        </w:trPr>
        <w:tc>
          <w:tcPr>
            <w:tcW w:w="1654" w:type="dxa"/>
            <w:tcBorders>
              <w:top w:val="nil"/>
              <w:left w:val="nil"/>
              <w:bottom w:val="nil"/>
              <w:right w:val="nil"/>
            </w:tcBorders>
            <w:shd w:val="clear" w:color="auto" w:fill="auto"/>
            <w:hideMark/>
          </w:tcPr>
          <w:p w14:paraId="61018C8F"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137A219E"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MSCI EAFE</w:t>
            </w:r>
          </w:p>
        </w:tc>
        <w:tc>
          <w:tcPr>
            <w:tcW w:w="7073" w:type="dxa"/>
            <w:gridSpan w:val="2"/>
            <w:tcBorders>
              <w:top w:val="nil"/>
              <w:left w:val="nil"/>
              <w:bottom w:val="nil"/>
              <w:right w:val="nil"/>
            </w:tcBorders>
            <w:shd w:val="clear" w:color="auto" w:fill="auto"/>
            <w:hideMark/>
          </w:tcPr>
          <w:p w14:paraId="4F6871CE"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measures the equity performance of countries considered to represent developed markets, excluding the U.S. and Canada.</w:t>
            </w:r>
          </w:p>
        </w:tc>
      </w:tr>
      <w:tr w:rsidR="008C20D8" w:rsidRPr="00567CF8" w14:paraId="67629128" w14:textId="77777777" w:rsidTr="002C32BB">
        <w:trPr>
          <w:trHeight w:val="546"/>
        </w:trPr>
        <w:tc>
          <w:tcPr>
            <w:tcW w:w="1654" w:type="dxa"/>
            <w:tcBorders>
              <w:top w:val="nil"/>
              <w:left w:val="nil"/>
              <w:bottom w:val="nil"/>
              <w:right w:val="nil"/>
            </w:tcBorders>
            <w:shd w:val="clear" w:color="auto" w:fill="auto"/>
            <w:hideMark/>
          </w:tcPr>
          <w:p w14:paraId="3B5EA8AA"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Emerging Markets (EM) Equity</w:t>
            </w:r>
          </w:p>
        </w:tc>
        <w:tc>
          <w:tcPr>
            <w:tcW w:w="1929" w:type="dxa"/>
            <w:tcBorders>
              <w:top w:val="nil"/>
              <w:left w:val="nil"/>
              <w:bottom w:val="nil"/>
              <w:right w:val="nil"/>
            </w:tcBorders>
            <w:shd w:val="clear" w:color="auto" w:fill="auto"/>
            <w:hideMark/>
          </w:tcPr>
          <w:p w14:paraId="397966FD"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MSCI Emerging Markets</w:t>
            </w:r>
          </w:p>
        </w:tc>
        <w:tc>
          <w:tcPr>
            <w:tcW w:w="7073" w:type="dxa"/>
            <w:gridSpan w:val="2"/>
            <w:tcBorders>
              <w:top w:val="nil"/>
              <w:left w:val="nil"/>
              <w:bottom w:val="nil"/>
              <w:right w:val="nil"/>
            </w:tcBorders>
            <w:shd w:val="clear" w:color="auto" w:fill="auto"/>
            <w:hideMark/>
          </w:tcPr>
          <w:p w14:paraId="0170BA9A"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equity market performance of countries considered to represent emerging markets. </w:t>
            </w:r>
          </w:p>
          <w:p w14:paraId="5CB34C62" w14:textId="77777777" w:rsidR="008C20D8" w:rsidRDefault="008C20D8" w:rsidP="002C32BB">
            <w:pPr>
              <w:spacing w:after="0" w:line="240" w:lineRule="auto"/>
              <w:rPr>
                <w:rFonts w:ascii="Arial" w:hAnsi="Arial" w:cs="Arial"/>
                <w:color w:val="000000"/>
                <w:sz w:val="18"/>
                <w:szCs w:val="18"/>
              </w:rPr>
            </w:pPr>
          </w:p>
          <w:p w14:paraId="65862C68"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61FDAAEF" w14:textId="77777777" w:rsidTr="002C32BB">
        <w:trPr>
          <w:gridAfter w:val="1"/>
          <w:wAfter w:w="3583" w:type="dxa"/>
          <w:trHeight w:val="78"/>
        </w:trPr>
        <w:tc>
          <w:tcPr>
            <w:tcW w:w="7073" w:type="dxa"/>
            <w:gridSpan w:val="3"/>
            <w:tcBorders>
              <w:top w:val="nil"/>
              <w:left w:val="nil"/>
              <w:bottom w:val="nil"/>
              <w:right w:val="nil"/>
            </w:tcBorders>
            <w:shd w:val="clear" w:color="auto" w:fill="auto"/>
          </w:tcPr>
          <w:p w14:paraId="4B67A3A4" w14:textId="77777777" w:rsidR="008C20D8" w:rsidRPr="00567CF8" w:rsidRDefault="008C20D8" w:rsidP="002C32BB">
            <w:pPr>
              <w:spacing w:after="0" w:line="240" w:lineRule="auto"/>
              <w:rPr>
                <w:rFonts w:ascii="Arial" w:hAnsi="Arial" w:cs="Arial"/>
                <w:color w:val="000000"/>
                <w:sz w:val="18"/>
                <w:szCs w:val="18"/>
              </w:rPr>
            </w:pPr>
          </w:p>
        </w:tc>
      </w:tr>
      <w:tr w:rsidR="008C20D8" w:rsidRPr="00844036" w14:paraId="4065824F" w14:textId="77777777" w:rsidTr="002C32BB">
        <w:trPr>
          <w:trHeight w:val="1791"/>
        </w:trPr>
        <w:tc>
          <w:tcPr>
            <w:tcW w:w="10656" w:type="dxa"/>
            <w:gridSpan w:val="4"/>
            <w:tcBorders>
              <w:top w:val="nil"/>
              <w:left w:val="nil"/>
              <w:right w:val="nil"/>
            </w:tcBorders>
            <w:shd w:val="clear" w:color="auto" w:fill="auto"/>
          </w:tcPr>
          <w:tbl>
            <w:tblPr>
              <w:tblW w:w="10346" w:type="dxa"/>
              <w:tblLayout w:type="fixed"/>
              <w:tblLook w:val="04A0" w:firstRow="1" w:lastRow="0" w:firstColumn="1" w:lastColumn="0" w:noHBand="0" w:noVBand="1"/>
            </w:tblPr>
            <w:tblGrid>
              <w:gridCol w:w="1610"/>
              <w:gridCol w:w="1853"/>
              <w:gridCol w:w="6883"/>
            </w:tblGrid>
            <w:tr w:rsidR="008C20D8" w:rsidRPr="00844036" w14:paraId="60667CEC" w14:textId="77777777" w:rsidTr="002E23C4">
              <w:trPr>
                <w:trHeight w:val="569"/>
              </w:trPr>
              <w:tc>
                <w:tcPr>
                  <w:tcW w:w="1610" w:type="dxa"/>
                  <w:tcBorders>
                    <w:top w:val="nil"/>
                    <w:left w:val="nil"/>
                    <w:bottom w:val="nil"/>
                    <w:right w:val="nil"/>
                  </w:tcBorders>
                  <w:shd w:val="clear" w:color="auto" w:fill="auto"/>
                </w:tcPr>
                <w:p w14:paraId="5B93834A"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Global Fixed Income</w:t>
                  </w:r>
                </w:p>
              </w:tc>
              <w:tc>
                <w:tcPr>
                  <w:tcW w:w="1853" w:type="dxa"/>
                  <w:tcBorders>
                    <w:top w:val="nil"/>
                    <w:left w:val="nil"/>
                    <w:bottom w:val="nil"/>
                    <w:right w:val="nil"/>
                  </w:tcBorders>
                  <w:shd w:val="clear" w:color="auto" w:fill="auto"/>
                </w:tcPr>
                <w:p w14:paraId="4520A060"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Bloomberg Global Aggregate</w:t>
                  </w:r>
                </w:p>
              </w:tc>
              <w:tc>
                <w:tcPr>
                  <w:tcW w:w="6883" w:type="dxa"/>
                  <w:tcBorders>
                    <w:top w:val="nil"/>
                    <w:left w:val="nil"/>
                    <w:bottom w:val="nil"/>
                    <w:right w:val="nil"/>
                  </w:tcBorders>
                  <w:shd w:val="clear" w:color="auto" w:fill="auto"/>
                </w:tcPr>
                <w:p w14:paraId="0FB54B55"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global, investment-grade debt from 24 local currency markets.  This benchmark includes treasury, government-related, corporate and securitized fixed-rate bonds from both developed and emerging markets issuers.</w:t>
                  </w:r>
                </w:p>
                <w:p w14:paraId="3917C828" w14:textId="77777777" w:rsidR="008C20D8" w:rsidRPr="00844036" w:rsidRDefault="008C20D8" w:rsidP="002C32BB">
                  <w:pPr>
                    <w:spacing w:after="0" w:line="240" w:lineRule="auto"/>
                    <w:rPr>
                      <w:rFonts w:ascii="Arial" w:hAnsi="Arial" w:cs="Arial"/>
                      <w:color w:val="000000"/>
                      <w:sz w:val="18"/>
                      <w:szCs w:val="18"/>
                    </w:rPr>
                  </w:pPr>
                </w:p>
              </w:tc>
            </w:tr>
            <w:tr w:rsidR="008C20D8" w:rsidRPr="00844036" w14:paraId="3FB88B55" w14:textId="77777777" w:rsidTr="002E23C4">
              <w:trPr>
                <w:trHeight w:val="698"/>
              </w:trPr>
              <w:tc>
                <w:tcPr>
                  <w:tcW w:w="1610" w:type="dxa"/>
                  <w:tcBorders>
                    <w:top w:val="nil"/>
                    <w:left w:val="nil"/>
                    <w:bottom w:val="nil"/>
                    <w:right w:val="nil"/>
                  </w:tcBorders>
                  <w:shd w:val="clear" w:color="auto" w:fill="auto"/>
                </w:tcPr>
                <w:p w14:paraId="56D35422"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US Fixed Income</w:t>
                  </w:r>
                </w:p>
              </w:tc>
              <w:tc>
                <w:tcPr>
                  <w:tcW w:w="1853" w:type="dxa"/>
                  <w:tcBorders>
                    <w:top w:val="nil"/>
                    <w:left w:val="nil"/>
                    <w:bottom w:val="nil"/>
                    <w:right w:val="nil"/>
                  </w:tcBorders>
                  <w:shd w:val="clear" w:color="auto" w:fill="auto"/>
                </w:tcPr>
                <w:p w14:paraId="044F737F"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Bloomberg US Aggregate</w:t>
                  </w:r>
                </w:p>
              </w:tc>
              <w:tc>
                <w:tcPr>
                  <w:tcW w:w="6883" w:type="dxa"/>
                  <w:tcBorders>
                    <w:top w:val="nil"/>
                    <w:left w:val="nil"/>
                    <w:bottom w:val="nil"/>
                    <w:right w:val="nil"/>
                  </w:tcBorders>
                  <w:shd w:val="clear" w:color="auto" w:fill="auto"/>
                </w:tcPr>
                <w:p w14:paraId="770E8C20"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p>
                <w:p w14:paraId="0422A249" w14:textId="77777777" w:rsidR="008C20D8" w:rsidRPr="00844036" w:rsidRDefault="008C20D8" w:rsidP="002C32BB">
                  <w:pPr>
                    <w:spacing w:after="0" w:line="240" w:lineRule="auto"/>
                    <w:rPr>
                      <w:rFonts w:ascii="Arial" w:hAnsi="Arial" w:cs="Arial"/>
                      <w:color w:val="000000"/>
                      <w:sz w:val="18"/>
                      <w:szCs w:val="18"/>
                      <w:highlight w:val="yellow"/>
                    </w:rPr>
                  </w:pPr>
                </w:p>
              </w:tc>
            </w:tr>
            <w:tr w:rsidR="008C20D8" w:rsidRPr="00844036" w14:paraId="111C636E" w14:textId="77777777" w:rsidTr="002E23C4">
              <w:trPr>
                <w:trHeight w:val="698"/>
              </w:trPr>
              <w:tc>
                <w:tcPr>
                  <w:tcW w:w="1610" w:type="dxa"/>
                  <w:tcBorders>
                    <w:top w:val="nil"/>
                    <w:left w:val="nil"/>
                    <w:bottom w:val="nil"/>
                    <w:right w:val="nil"/>
                  </w:tcBorders>
                  <w:shd w:val="clear" w:color="auto" w:fill="auto"/>
                </w:tcPr>
                <w:p w14:paraId="25C61A4A"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US Long Treasuries</w:t>
                  </w:r>
                </w:p>
              </w:tc>
              <w:tc>
                <w:tcPr>
                  <w:tcW w:w="1853" w:type="dxa"/>
                  <w:tcBorders>
                    <w:top w:val="nil"/>
                    <w:left w:val="nil"/>
                    <w:bottom w:val="nil"/>
                    <w:right w:val="nil"/>
                  </w:tcBorders>
                  <w:shd w:val="clear" w:color="auto" w:fill="auto"/>
                </w:tcPr>
                <w:p w14:paraId="3BEB5DA1"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Bloomberg US Treasury Long</w:t>
                  </w:r>
                </w:p>
              </w:tc>
              <w:tc>
                <w:tcPr>
                  <w:tcW w:w="6883" w:type="dxa"/>
                  <w:tcBorders>
                    <w:top w:val="nil"/>
                    <w:left w:val="nil"/>
                    <w:bottom w:val="nil"/>
                    <w:right w:val="nil"/>
                  </w:tcBorders>
                  <w:shd w:val="clear" w:color="auto" w:fill="auto"/>
                </w:tcPr>
                <w:p w14:paraId="4F73ADAC"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long-term US Treasury bonds, including all publicly issued securities that have a remaining maturity of ten or more years, are: non-convertible, denominated in US dollars, rated investment-grade, fixed-rate and have $250 or more of outstanding face value.</w:t>
                  </w:r>
                </w:p>
                <w:p w14:paraId="23DA8491" w14:textId="77777777" w:rsidR="008C20D8" w:rsidRPr="00844036" w:rsidRDefault="008C20D8" w:rsidP="002C32BB">
                  <w:pPr>
                    <w:spacing w:after="0" w:line="240" w:lineRule="auto"/>
                    <w:rPr>
                      <w:rFonts w:ascii="Arial" w:hAnsi="Arial" w:cs="Arial"/>
                      <w:color w:val="000000"/>
                      <w:sz w:val="18"/>
                      <w:szCs w:val="18"/>
                      <w:highlight w:val="yellow"/>
                    </w:rPr>
                  </w:pPr>
                </w:p>
              </w:tc>
            </w:tr>
            <w:tr w:rsidR="00A9647D" w:rsidRPr="00844036" w14:paraId="750C6ECF" w14:textId="77777777" w:rsidTr="002E23C4">
              <w:trPr>
                <w:trHeight w:val="698"/>
              </w:trPr>
              <w:tc>
                <w:tcPr>
                  <w:tcW w:w="1610" w:type="dxa"/>
                  <w:tcBorders>
                    <w:top w:val="nil"/>
                    <w:left w:val="nil"/>
                    <w:bottom w:val="nil"/>
                    <w:right w:val="nil"/>
                  </w:tcBorders>
                  <w:shd w:val="clear" w:color="auto" w:fill="auto"/>
                </w:tcPr>
                <w:p w14:paraId="091F21A5" w14:textId="076EB9B8" w:rsidR="00A9647D" w:rsidRPr="00844036" w:rsidRDefault="00A9647D" w:rsidP="00A9647D">
                  <w:pPr>
                    <w:spacing w:after="0" w:line="240" w:lineRule="auto"/>
                    <w:rPr>
                      <w:rFonts w:ascii="Arial" w:hAnsi="Arial" w:cs="Arial"/>
                      <w:color w:val="000000"/>
                      <w:sz w:val="18"/>
                      <w:szCs w:val="18"/>
                    </w:rPr>
                  </w:pPr>
                  <w:r w:rsidRPr="00844036">
                    <w:rPr>
                      <w:rFonts w:ascii="Arial" w:hAnsi="Arial" w:cs="Arial"/>
                      <w:sz w:val="18"/>
                      <w:szCs w:val="18"/>
                    </w:rPr>
                    <w:lastRenderedPageBreak/>
                    <w:t>US Municipal</w:t>
                  </w:r>
                </w:p>
              </w:tc>
              <w:tc>
                <w:tcPr>
                  <w:tcW w:w="1853" w:type="dxa"/>
                  <w:tcBorders>
                    <w:top w:val="nil"/>
                    <w:left w:val="nil"/>
                    <w:bottom w:val="nil"/>
                    <w:right w:val="nil"/>
                  </w:tcBorders>
                  <w:shd w:val="clear" w:color="auto" w:fill="auto"/>
                </w:tcPr>
                <w:p w14:paraId="0A5A70A4" w14:textId="0FF03B76" w:rsidR="00A9647D" w:rsidRPr="00844036" w:rsidRDefault="00A9647D" w:rsidP="00A9647D">
                  <w:pPr>
                    <w:spacing w:after="0" w:line="240" w:lineRule="auto"/>
                    <w:rPr>
                      <w:rFonts w:ascii="Arial" w:hAnsi="Arial" w:cs="Arial"/>
                      <w:color w:val="000000"/>
                      <w:sz w:val="18"/>
                      <w:szCs w:val="18"/>
                    </w:rPr>
                  </w:pPr>
                  <w:r w:rsidRPr="00844036">
                    <w:rPr>
                      <w:rFonts w:ascii="Arial" w:hAnsi="Arial" w:cs="Arial"/>
                      <w:sz w:val="18"/>
                      <w:szCs w:val="18"/>
                    </w:rPr>
                    <w:t xml:space="preserve">Bloomberg Barclays US Municipal </w:t>
                  </w:r>
                </w:p>
              </w:tc>
              <w:tc>
                <w:tcPr>
                  <w:tcW w:w="6883" w:type="dxa"/>
                  <w:tcBorders>
                    <w:top w:val="nil"/>
                    <w:left w:val="nil"/>
                    <w:bottom w:val="nil"/>
                    <w:right w:val="nil"/>
                  </w:tcBorders>
                  <w:shd w:val="clear" w:color="auto" w:fill="auto"/>
                </w:tcPr>
                <w:p w14:paraId="4A9FF1CF" w14:textId="5EE50BB9" w:rsidR="00A9647D" w:rsidRPr="00844036" w:rsidRDefault="00A9647D" w:rsidP="00A9647D">
                  <w:pPr>
                    <w:spacing w:after="0" w:line="240" w:lineRule="auto"/>
                    <w:rPr>
                      <w:rFonts w:ascii="Arial" w:hAnsi="Arial" w:cs="Arial"/>
                      <w:color w:val="000000"/>
                      <w:sz w:val="18"/>
                      <w:szCs w:val="18"/>
                    </w:rPr>
                  </w:pPr>
                  <w:r w:rsidRPr="00844036">
                    <w:rPr>
                      <w:rFonts w:ascii="Arial" w:hAnsi="Arial" w:cs="Arial"/>
                      <w:sz w:val="18"/>
                      <w:szCs w:val="18"/>
                    </w:rPr>
                    <w:t>measures the performance of the USD-denominated long-term tax-exempt bond market.  The index has four main sectors:  state and local general obligation bonds, revenue bonds, insured bonds, and pre-refunded bonds.</w:t>
                  </w:r>
                </w:p>
              </w:tc>
            </w:tr>
            <w:tr w:rsidR="008C20D8" w:rsidRPr="00844036" w14:paraId="109738A9" w14:textId="77777777" w:rsidTr="002E23C4">
              <w:trPr>
                <w:trHeight w:val="698"/>
              </w:trPr>
              <w:tc>
                <w:tcPr>
                  <w:tcW w:w="1610" w:type="dxa"/>
                  <w:tcBorders>
                    <w:top w:val="nil"/>
                    <w:left w:val="nil"/>
                    <w:bottom w:val="nil"/>
                    <w:right w:val="nil"/>
                  </w:tcBorders>
                  <w:shd w:val="clear" w:color="auto" w:fill="auto"/>
                </w:tcPr>
                <w:p w14:paraId="7903E884" w14:textId="77777777" w:rsidR="008C20D8" w:rsidRPr="00844036" w:rsidRDefault="008C20D8" w:rsidP="002C32BB">
                  <w:pPr>
                    <w:spacing w:after="0" w:line="240" w:lineRule="auto"/>
                    <w:rPr>
                      <w:rFonts w:ascii="Arial" w:hAnsi="Arial" w:cs="Arial"/>
                      <w:color w:val="000000"/>
                      <w:sz w:val="18"/>
                      <w:szCs w:val="18"/>
                    </w:rPr>
                  </w:pPr>
                </w:p>
                <w:p w14:paraId="25FC10C2"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Emerging Markets Fixed Income</w:t>
                  </w:r>
                </w:p>
              </w:tc>
              <w:tc>
                <w:tcPr>
                  <w:tcW w:w="1853" w:type="dxa"/>
                  <w:tcBorders>
                    <w:top w:val="nil"/>
                    <w:left w:val="nil"/>
                    <w:bottom w:val="nil"/>
                    <w:right w:val="nil"/>
                  </w:tcBorders>
                  <w:shd w:val="clear" w:color="auto" w:fill="auto"/>
                </w:tcPr>
                <w:p w14:paraId="521B9F3E" w14:textId="77777777" w:rsidR="008C20D8" w:rsidRPr="00844036" w:rsidRDefault="008C20D8" w:rsidP="002C32BB">
                  <w:pPr>
                    <w:spacing w:after="0" w:line="240" w:lineRule="auto"/>
                    <w:rPr>
                      <w:rFonts w:ascii="Arial" w:hAnsi="Arial" w:cs="Arial"/>
                      <w:color w:val="000000"/>
                      <w:sz w:val="18"/>
                      <w:szCs w:val="18"/>
                    </w:rPr>
                  </w:pPr>
                </w:p>
                <w:p w14:paraId="08B8F348"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Bloomberg Emerging Markets USD Aggregate</w:t>
                  </w:r>
                </w:p>
              </w:tc>
              <w:tc>
                <w:tcPr>
                  <w:tcW w:w="6883" w:type="dxa"/>
                  <w:tcBorders>
                    <w:top w:val="nil"/>
                    <w:left w:val="nil"/>
                    <w:bottom w:val="nil"/>
                    <w:right w:val="nil"/>
                  </w:tcBorders>
                  <w:shd w:val="clear" w:color="auto" w:fill="auto"/>
                </w:tcPr>
                <w:p w14:paraId="3A59B7E5" w14:textId="77777777" w:rsidR="008C20D8" w:rsidRPr="00844036" w:rsidRDefault="008C20D8" w:rsidP="002C32BB">
                  <w:pPr>
                    <w:spacing w:after="0" w:line="240" w:lineRule="auto"/>
                    <w:rPr>
                      <w:rFonts w:ascii="Arial" w:hAnsi="Arial" w:cs="Arial"/>
                      <w:color w:val="000000"/>
                      <w:sz w:val="18"/>
                      <w:szCs w:val="18"/>
                    </w:rPr>
                  </w:pPr>
                </w:p>
                <w:p w14:paraId="1EF0A283"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8C20D8" w:rsidRPr="00844036" w14:paraId="45A298AC" w14:textId="77777777" w:rsidTr="002E23C4">
              <w:trPr>
                <w:trHeight w:val="698"/>
              </w:trPr>
              <w:tc>
                <w:tcPr>
                  <w:tcW w:w="1610" w:type="dxa"/>
                  <w:tcBorders>
                    <w:top w:val="nil"/>
                    <w:left w:val="nil"/>
                    <w:bottom w:val="nil"/>
                    <w:right w:val="nil"/>
                  </w:tcBorders>
                  <w:shd w:val="clear" w:color="auto" w:fill="auto"/>
                </w:tcPr>
                <w:p w14:paraId="1465604C" w14:textId="77777777" w:rsidR="008C20D8" w:rsidRPr="00844036" w:rsidRDefault="008C20D8" w:rsidP="002C32BB">
                  <w:pPr>
                    <w:spacing w:after="0" w:line="240" w:lineRule="auto"/>
                    <w:rPr>
                      <w:rFonts w:ascii="Arial" w:hAnsi="Arial" w:cs="Arial"/>
                      <w:color w:val="000000"/>
                      <w:sz w:val="18"/>
                      <w:szCs w:val="18"/>
                    </w:rPr>
                  </w:pPr>
                </w:p>
                <w:p w14:paraId="102C003B"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International Fixed Income</w:t>
                  </w:r>
                </w:p>
              </w:tc>
              <w:tc>
                <w:tcPr>
                  <w:tcW w:w="1853" w:type="dxa"/>
                  <w:tcBorders>
                    <w:top w:val="nil"/>
                    <w:left w:val="nil"/>
                    <w:bottom w:val="nil"/>
                    <w:right w:val="nil"/>
                  </w:tcBorders>
                  <w:shd w:val="clear" w:color="auto" w:fill="auto"/>
                </w:tcPr>
                <w:p w14:paraId="031188E4" w14:textId="77777777" w:rsidR="008C20D8" w:rsidRPr="00844036" w:rsidRDefault="008C20D8" w:rsidP="002C32BB">
                  <w:pPr>
                    <w:spacing w:after="0" w:line="240" w:lineRule="auto"/>
                    <w:rPr>
                      <w:rFonts w:ascii="Arial" w:hAnsi="Arial" w:cs="Arial"/>
                      <w:color w:val="000000"/>
                      <w:sz w:val="18"/>
                      <w:szCs w:val="18"/>
                    </w:rPr>
                  </w:pPr>
                </w:p>
                <w:p w14:paraId="52BD41CF"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Bloomberg Global Aggregate ex-USD</w:t>
                  </w:r>
                </w:p>
              </w:tc>
              <w:tc>
                <w:tcPr>
                  <w:tcW w:w="6883" w:type="dxa"/>
                  <w:tcBorders>
                    <w:top w:val="nil"/>
                    <w:left w:val="nil"/>
                    <w:bottom w:val="nil"/>
                    <w:right w:val="nil"/>
                  </w:tcBorders>
                  <w:shd w:val="clear" w:color="auto" w:fill="auto"/>
                </w:tcPr>
                <w:p w14:paraId="419277C5" w14:textId="77777777" w:rsidR="008C20D8" w:rsidRPr="00844036" w:rsidRDefault="008C20D8" w:rsidP="002C32BB">
                  <w:pPr>
                    <w:spacing w:after="0" w:line="240" w:lineRule="auto"/>
                    <w:rPr>
                      <w:rFonts w:ascii="Arial" w:hAnsi="Arial" w:cs="Arial"/>
                      <w:color w:val="000000"/>
                      <w:sz w:val="18"/>
                      <w:szCs w:val="18"/>
                    </w:rPr>
                  </w:pPr>
                </w:p>
                <w:p w14:paraId="2B099BAE"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investment-grade debt from 24 local currency markets.  This multi-currency index includes treasury, government-related, corporate and securitized fixed-rate bonds from both developed and emerging markets issuers.  It excludes bonds issued in USD.</w:t>
                  </w:r>
                </w:p>
                <w:p w14:paraId="2AA63742" w14:textId="77777777" w:rsidR="008C20D8" w:rsidRPr="00844036" w:rsidRDefault="008C20D8" w:rsidP="002C32BB">
                  <w:pPr>
                    <w:spacing w:after="0" w:line="240" w:lineRule="auto"/>
                    <w:rPr>
                      <w:rFonts w:ascii="Arial" w:hAnsi="Arial" w:cs="Arial"/>
                      <w:color w:val="000000"/>
                      <w:sz w:val="18"/>
                      <w:szCs w:val="18"/>
                    </w:rPr>
                  </w:pPr>
                </w:p>
              </w:tc>
            </w:tr>
            <w:tr w:rsidR="008C20D8" w:rsidRPr="00844036" w14:paraId="7DB5A235" w14:textId="77777777" w:rsidTr="002E23C4">
              <w:trPr>
                <w:trHeight w:val="698"/>
              </w:trPr>
              <w:tc>
                <w:tcPr>
                  <w:tcW w:w="1610" w:type="dxa"/>
                  <w:tcBorders>
                    <w:top w:val="nil"/>
                    <w:left w:val="nil"/>
                    <w:bottom w:val="nil"/>
                    <w:right w:val="nil"/>
                  </w:tcBorders>
                  <w:shd w:val="clear" w:color="auto" w:fill="auto"/>
                </w:tcPr>
                <w:p w14:paraId="09C7D315" w14:textId="77777777" w:rsidR="008C20D8" w:rsidRPr="00844036" w:rsidRDefault="008C20D8" w:rsidP="002C32BB">
                  <w:pPr>
                    <w:spacing w:after="0" w:line="240" w:lineRule="auto"/>
                    <w:rPr>
                      <w:rFonts w:ascii="Arial" w:hAnsi="Arial" w:cs="Arial"/>
                      <w:sz w:val="18"/>
                      <w:szCs w:val="18"/>
                    </w:rPr>
                  </w:pPr>
                  <w:r w:rsidRPr="00844036">
                    <w:rPr>
                      <w:rFonts w:ascii="Arial" w:hAnsi="Arial" w:cs="Arial"/>
                      <w:sz w:val="18"/>
                      <w:szCs w:val="18"/>
                    </w:rPr>
                    <w:t>Emerging Markets Fixed Income</w:t>
                  </w:r>
                </w:p>
                <w:p w14:paraId="51F982E0" w14:textId="77777777" w:rsidR="008C20D8" w:rsidRPr="00844036" w:rsidRDefault="008C20D8" w:rsidP="002C32BB">
                  <w:pPr>
                    <w:spacing w:after="0" w:line="240" w:lineRule="auto"/>
                    <w:rPr>
                      <w:rFonts w:ascii="Arial" w:hAnsi="Arial" w:cs="Arial"/>
                      <w:sz w:val="18"/>
                      <w:szCs w:val="18"/>
                    </w:rPr>
                  </w:pPr>
                </w:p>
                <w:p w14:paraId="6C1EB8B1" w14:textId="77777777" w:rsidR="008C20D8" w:rsidRPr="00844036" w:rsidRDefault="008C20D8" w:rsidP="002C32BB">
                  <w:pPr>
                    <w:spacing w:after="0" w:line="240" w:lineRule="auto"/>
                    <w:rPr>
                      <w:rFonts w:ascii="Arial" w:hAnsi="Arial" w:cs="Arial"/>
                      <w:color w:val="000000"/>
                      <w:sz w:val="18"/>
                      <w:szCs w:val="18"/>
                      <w:highlight w:val="yellow"/>
                    </w:rPr>
                  </w:pPr>
                </w:p>
              </w:tc>
              <w:tc>
                <w:tcPr>
                  <w:tcW w:w="1853" w:type="dxa"/>
                  <w:tcBorders>
                    <w:top w:val="nil"/>
                    <w:left w:val="nil"/>
                    <w:bottom w:val="nil"/>
                    <w:right w:val="nil"/>
                  </w:tcBorders>
                  <w:shd w:val="clear" w:color="auto" w:fill="auto"/>
                </w:tcPr>
                <w:p w14:paraId="71A05F06" w14:textId="77777777" w:rsidR="008C20D8" w:rsidRPr="00844036" w:rsidRDefault="008C20D8" w:rsidP="002C32BB">
                  <w:pPr>
                    <w:spacing w:after="0" w:line="240" w:lineRule="auto"/>
                    <w:rPr>
                      <w:rFonts w:ascii="Arial" w:hAnsi="Arial" w:cs="Arial"/>
                      <w:color w:val="000000"/>
                      <w:sz w:val="18"/>
                      <w:szCs w:val="18"/>
                      <w:highlight w:val="yellow"/>
                    </w:rPr>
                  </w:pPr>
                  <w:r w:rsidRPr="00844036">
                    <w:rPr>
                      <w:rFonts w:ascii="Arial" w:hAnsi="Arial" w:cs="Arial"/>
                      <w:sz w:val="18"/>
                      <w:szCs w:val="18"/>
                    </w:rPr>
                    <w:t>Barclays Emerging Markets Local Currency Government</w:t>
                  </w:r>
                </w:p>
              </w:tc>
              <w:tc>
                <w:tcPr>
                  <w:tcW w:w="6883" w:type="dxa"/>
                  <w:tcBorders>
                    <w:top w:val="nil"/>
                    <w:left w:val="nil"/>
                    <w:bottom w:val="nil"/>
                    <w:right w:val="nil"/>
                  </w:tcBorders>
                  <w:shd w:val="clear" w:color="auto" w:fill="auto"/>
                </w:tcPr>
                <w:p w14:paraId="306A6BC8" w14:textId="77777777" w:rsidR="008C20D8" w:rsidRPr="00844036" w:rsidRDefault="008C20D8" w:rsidP="002C32BB">
                  <w:pPr>
                    <w:spacing w:after="0" w:line="240" w:lineRule="auto"/>
                    <w:rPr>
                      <w:rFonts w:ascii="Arial" w:hAnsi="Arial" w:cs="Arial"/>
                      <w:sz w:val="18"/>
                      <w:szCs w:val="18"/>
                    </w:rPr>
                  </w:pPr>
                  <w:r w:rsidRPr="00844036">
                    <w:rPr>
                      <w:rFonts w:ascii="Arial" w:hAnsi="Arial" w:cs="Arial"/>
                      <w:sz w:val="18"/>
                      <w:szCs w:val="18"/>
                    </w:rPr>
                    <w:t xml:space="preserve">Measures the performance of local currency emerging markets debt.  </w:t>
                  </w:r>
                </w:p>
              </w:tc>
            </w:tr>
            <w:tr w:rsidR="008C20D8" w:rsidRPr="00844036" w14:paraId="47D584E3" w14:textId="77777777" w:rsidTr="002E23C4">
              <w:trPr>
                <w:trHeight w:val="480"/>
              </w:trPr>
              <w:tc>
                <w:tcPr>
                  <w:tcW w:w="1610" w:type="dxa"/>
                  <w:tcBorders>
                    <w:top w:val="nil"/>
                    <w:left w:val="nil"/>
                    <w:bottom w:val="nil"/>
                    <w:right w:val="nil"/>
                  </w:tcBorders>
                  <w:shd w:val="clear" w:color="auto" w:fill="auto"/>
                </w:tcPr>
                <w:p w14:paraId="3C1CC131"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Commodities</w:t>
                  </w:r>
                </w:p>
              </w:tc>
              <w:tc>
                <w:tcPr>
                  <w:tcW w:w="1853" w:type="dxa"/>
                  <w:tcBorders>
                    <w:top w:val="nil"/>
                    <w:left w:val="nil"/>
                    <w:bottom w:val="nil"/>
                    <w:right w:val="nil"/>
                  </w:tcBorders>
                  <w:shd w:val="clear" w:color="auto" w:fill="auto"/>
                </w:tcPr>
                <w:p w14:paraId="362C4B0B"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 xml:space="preserve">Bloomberg Commodity </w:t>
                  </w:r>
                </w:p>
              </w:tc>
              <w:tc>
                <w:tcPr>
                  <w:tcW w:w="6883" w:type="dxa"/>
                  <w:tcBorders>
                    <w:top w:val="nil"/>
                    <w:left w:val="nil"/>
                    <w:bottom w:val="nil"/>
                    <w:right w:val="nil"/>
                  </w:tcBorders>
                  <w:shd w:val="clear" w:color="auto" w:fill="auto"/>
                </w:tcPr>
                <w:p w14:paraId="5C47C175"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 xml:space="preserve">Measures the performance of a broadly diversified exposure to physical commodities via futures contracts.  </w:t>
                  </w:r>
                </w:p>
              </w:tc>
            </w:tr>
            <w:tr w:rsidR="008C20D8" w:rsidRPr="00844036" w14:paraId="6D5BEEFF" w14:textId="77777777" w:rsidTr="002E23C4">
              <w:trPr>
                <w:trHeight w:val="400"/>
              </w:trPr>
              <w:tc>
                <w:tcPr>
                  <w:tcW w:w="1610" w:type="dxa"/>
                  <w:tcBorders>
                    <w:top w:val="nil"/>
                    <w:left w:val="nil"/>
                    <w:bottom w:val="nil"/>
                    <w:right w:val="nil"/>
                  </w:tcBorders>
                  <w:shd w:val="clear" w:color="auto" w:fill="auto"/>
                </w:tcPr>
                <w:p w14:paraId="6557DB12"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Gold</w:t>
                  </w:r>
                </w:p>
              </w:tc>
              <w:tc>
                <w:tcPr>
                  <w:tcW w:w="1853" w:type="dxa"/>
                  <w:tcBorders>
                    <w:top w:val="nil"/>
                    <w:left w:val="nil"/>
                    <w:bottom w:val="nil"/>
                    <w:right w:val="nil"/>
                  </w:tcBorders>
                  <w:shd w:val="clear" w:color="auto" w:fill="auto"/>
                </w:tcPr>
                <w:p w14:paraId="767C1CE0"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Bloomberg Sub Gold</w:t>
                  </w:r>
                </w:p>
              </w:tc>
              <w:tc>
                <w:tcPr>
                  <w:tcW w:w="6883" w:type="dxa"/>
                  <w:tcBorders>
                    <w:top w:val="nil"/>
                    <w:left w:val="nil"/>
                    <w:bottom w:val="nil"/>
                    <w:right w:val="nil"/>
                  </w:tcBorders>
                  <w:shd w:val="clear" w:color="auto" w:fill="auto"/>
                </w:tcPr>
                <w:p w14:paraId="126CA754" w14:textId="77777777" w:rsidR="008C20D8" w:rsidRPr="00844036" w:rsidRDefault="008C20D8" w:rsidP="002C32BB">
                  <w:pPr>
                    <w:spacing w:after="0" w:line="240" w:lineRule="auto"/>
                    <w:rPr>
                      <w:rFonts w:ascii="Arial" w:hAnsi="Arial" w:cs="Arial"/>
                      <w:color w:val="000000"/>
                      <w:sz w:val="18"/>
                      <w:szCs w:val="18"/>
                    </w:rPr>
                  </w:pPr>
                  <w:r w:rsidRPr="00844036">
                    <w:rPr>
                      <w:rFonts w:ascii="Arial" w:hAnsi="Arial" w:cs="Arial"/>
                      <w:color w:val="000000"/>
                      <w:sz w:val="18"/>
                      <w:szCs w:val="18"/>
                    </w:rPr>
                    <w:t>measures the performance of futures contract on Gold and is quoted in USD.</w:t>
                  </w:r>
                </w:p>
              </w:tc>
            </w:tr>
            <w:tr w:rsidR="00B07B59" w:rsidRPr="00844036" w14:paraId="2105EA33" w14:textId="77777777" w:rsidTr="002E23C4">
              <w:trPr>
                <w:trHeight w:val="400"/>
              </w:trPr>
              <w:tc>
                <w:tcPr>
                  <w:tcW w:w="1610" w:type="dxa"/>
                  <w:tcBorders>
                    <w:top w:val="nil"/>
                    <w:left w:val="nil"/>
                    <w:bottom w:val="nil"/>
                    <w:right w:val="nil"/>
                  </w:tcBorders>
                  <w:shd w:val="clear" w:color="auto" w:fill="auto"/>
                </w:tcPr>
                <w:p w14:paraId="7AEC904A" w14:textId="1BE896FD"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Sector - Energy</w:t>
                  </w:r>
                </w:p>
              </w:tc>
              <w:tc>
                <w:tcPr>
                  <w:tcW w:w="1853" w:type="dxa"/>
                  <w:tcBorders>
                    <w:top w:val="nil"/>
                    <w:left w:val="nil"/>
                    <w:bottom w:val="nil"/>
                    <w:right w:val="nil"/>
                  </w:tcBorders>
                  <w:shd w:val="clear" w:color="auto" w:fill="auto"/>
                </w:tcPr>
                <w:p w14:paraId="60685733" w14:textId="0B9E25D4"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S&amp;P 500 Sector Energy</w:t>
                  </w:r>
                </w:p>
              </w:tc>
              <w:tc>
                <w:tcPr>
                  <w:tcW w:w="6883" w:type="dxa"/>
                  <w:tcBorders>
                    <w:top w:val="nil"/>
                    <w:left w:val="nil"/>
                    <w:bottom w:val="nil"/>
                    <w:right w:val="nil"/>
                  </w:tcBorders>
                  <w:shd w:val="clear" w:color="auto" w:fill="auto"/>
                </w:tcPr>
                <w:p w14:paraId="1DE62429" w14:textId="0FB5D6E6"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measures the performance of companies involved in the development and production of crude oil, natural gas and provide drilling and other energy-related services.</w:t>
                  </w:r>
                </w:p>
              </w:tc>
            </w:tr>
            <w:tr w:rsidR="00A9647D" w:rsidRPr="00844036" w14:paraId="5B6C1B8E" w14:textId="77777777" w:rsidTr="002E23C4">
              <w:trPr>
                <w:trHeight w:val="400"/>
              </w:trPr>
              <w:tc>
                <w:tcPr>
                  <w:tcW w:w="1610" w:type="dxa"/>
                  <w:tcBorders>
                    <w:top w:val="nil"/>
                    <w:left w:val="nil"/>
                    <w:bottom w:val="nil"/>
                    <w:right w:val="nil"/>
                  </w:tcBorders>
                  <w:shd w:val="clear" w:color="auto" w:fill="auto"/>
                </w:tcPr>
                <w:p w14:paraId="62225E25" w14:textId="77777777" w:rsidR="00A9647D" w:rsidRPr="002E23C4" w:rsidRDefault="00A9647D" w:rsidP="002C32BB">
                  <w:pPr>
                    <w:spacing w:after="0" w:line="240" w:lineRule="auto"/>
                    <w:rPr>
                      <w:rFonts w:ascii="Arial" w:hAnsi="Arial" w:cs="Arial"/>
                      <w:color w:val="000000"/>
                      <w:sz w:val="18"/>
                      <w:szCs w:val="18"/>
                    </w:rPr>
                  </w:pPr>
                </w:p>
                <w:p w14:paraId="7AF66DEE" w14:textId="5B829C23" w:rsidR="00A9647D" w:rsidRPr="002E23C4" w:rsidRDefault="00A9647D" w:rsidP="002C32BB">
                  <w:pPr>
                    <w:spacing w:after="0" w:line="240" w:lineRule="auto"/>
                    <w:rPr>
                      <w:rFonts w:ascii="Arial" w:hAnsi="Arial" w:cs="Arial"/>
                      <w:color w:val="000000"/>
                      <w:sz w:val="18"/>
                      <w:szCs w:val="18"/>
                    </w:rPr>
                  </w:pPr>
                  <w:r w:rsidRPr="002E23C4">
                    <w:rPr>
                      <w:rFonts w:ascii="Arial" w:hAnsi="Arial" w:cs="Arial"/>
                      <w:color w:val="000000"/>
                      <w:sz w:val="18"/>
                      <w:szCs w:val="18"/>
                    </w:rPr>
                    <w:t>US REIT</w:t>
                  </w:r>
                </w:p>
              </w:tc>
              <w:tc>
                <w:tcPr>
                  <w:tcW w:w="1853" w:type="dxa"/>
                  <w:tcBorders>
                    <w:top w:val="nil"/>
                    <w:left w:val="nil"/>
                    <w:bottom w:val="nil"/>
                    <w:right w:val="nil"/>
                  </w:tcBorders>
                  <w:shd w:val="clear" w:color="auto" w:fill="auto"/>
                </w:tcPr>
                <w:p w14:paraId="4EC321CE" w14:textId="77777777" w:rsidR="00A9647D" w:rsidRPr="002E23C4" w:rsidRDefault="00A9647D" w:rsidP="002C32BB">
                  <w:pPr>
                    <w:spacing w:after="0" w:line="240" w:lineRule="auto"/>
                    <w:rPr>
                      <w:rFonts w:ascii="Arial" w:hAnsi="Arial" w:cs="Arial"/>
                      <w:color w:val="000000"/>
                      <w:sz w:val="18"/>
                      <w:szCs w:val="18"/>
                    </w:rPr>
                  </w:pPr>
                </w:p>
                <w:p w14:paraId="5AE447A2" w14:textId="2EF4B1A1" w:rsidR="00A9647D" w:rsidRPr="002E23C4" w:rsidRDefault="00A9647D" w:rsidP="002C32BB">
                  <w:pPr>
                    <w:spacing w:after="0" w:line="240" w:lineRule="auto"/>
                    <w:rPr>
                      <w:rFonts w:ascii="Arial" w:hAnsi="Arial" w:cs="Arial"/>
                      <w:color w:val="000000"/>
                      <w:sz w:val="18"/>
                      <w:szCs w:val="18"/>
                    </w:rPr>
                  </w:pPr>
                  <w:r w:rsidRPr="002E23C4">
                    <w:rPr>
                      <w:rFonts w:ascii="Arial" w:hAnsi="Arial" w:cs="Arial"/>
                      <w:color w:val="000000"/>
                      <w:sz w:val="18"/>
                      <w:szCs w:val="18"/>
                    </w:rPr>
                    <w:t xml:space="preserve">FTSE NAREIT All Equity REITs </w:t>
                  </w:r>
                </w:p>
              </w:tc>
              <w:tc>
                <w:tcPr>
                  <w:tcW w:w="6883" w:type="dxa"/>
                  <w:tcBorders>
                    <w:top w:val="nil"/>
                    <w:left w:val="nil"/>
                    <w:bottom w:val="nil"/>
                    <w:right w:val="nil"/>
                  </w:tcBorders>
                  <w:shd w:val="clear" w:color="auto" w:fill="auto"/>
                </w:tcPr>
                <w:p w14:paraId="0850949D" w14:textId="77777777" w:rsidR="00A9647D" w:rsidRPr="002E23C4" w:rsidRDefault="00A9647D" w:rsidP="002C32BB">
                  <w:pPr>
                    <w:spacing w:after="0" w:line="240" w:lineRule="auto"/>
                    <w:rPr>
                      <w:rFonts w:ascii="Arial" w:hAnsi="Arial" w:cs="Arial"/>
                      <w:color w:val="000000"/>
                      <w:sz w:val="18"/>
                      <w:szCs w:val="18"/>
                    </w:rPr>
                  </w:pPr>
                </w:p>
                <w:p w14:paraId="1662051C" w14:textId="77777777" w:rsidR="00A9647D" w:rsidRPr="002E23C4" w:rsidRDefault="00A9647D" w:rsidP="002C32BB">
                  <w:pPr>
                    <w:spacing w:after="0" w:line="240" w:lineRule="auto"/>
                    <w:rPr>
                      <w:rFonts w:ascii="Arial" w:hAnsi="Arial" w:cs="Arial"/>
                      <w:color w:val="000000"/>
                      <w:sz w:val="18"/>
                      <w:szCs w:val="18"/>
                    </w:rPr>
                  </w:pPr>
                  <w:r w:rsidRPr="002E23C4">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p w14:paraId="029CFB94" w14:textId="7C4F4680" w:rsidR="00A9647D" w:rsidRPr="002E23C4" w:rsidRDefault="00A9647D" w:rsidP="002C32BB">
                  <w:pPr>
                    <w:spacing w:after="0" w:line="240" w:lineRule="auto"/>
                    <w:rPr>
                      <w:rFonts w:ascii="Arial" w:hAnsi="Arial" w:cs="Arial"/>
                      <w:color w:val="000000"/>
                      <w:sz w:val="18"/>
                      <w:szCs w:val="18"/>
                    </w:rPr>
                  </w:pPr>
                </w:p>
              </w:tc>
            </w:tr>
            <w:tr w:rsidR="00B07B59" w:rsidRPr="00844036" w14:paraId="3AF1464F" w14:textId="77777777" w:rsidTr="002E23C4">
              <w:trPr>
                <w:trHeight w:val="909"/>
              </w:trPr>
              <w:tc>
                <w:tcPr>
                  <w:tcW w:w="1610" w:type="dxa"/>
                  <w:tcBorders>
                    <w:top w:val="nil"/>
                    <w:left w:val="nil"/>
                    <w:bottom w:val="nil"/>
                    <w:right w:val="nil"/>
                  </w:tcBorders>
                  <w:shd w:val="clear" w:color="auto" w:fill="auto"/>
                </w:tcPr>
                <w:p w14:paraId="4575A00C" w14:textId="6C0F65E0"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Sector - Real Estate</w:t>
                  </w:r>
                </w:p>
              </w:tc>
              <w:tc>
                <w:tcPr>
                  <w:tcW w:w="1853" w:type="dxa"/>
                  <w:tcBorders>
                    <w:top w:val="nil"/>
                    <w:left w:val="nil"/>
                    <w:bottom w:val="nil"/>
                    <w:right w:val="nil"/>
                  </w:tcBorders>
                  <w:shd w:val="clear" w:color="auto" w:fill="auto"/>
                </w:tcPr>
                <w:p w14:paraId="5C268877" w14:textId="71CE4107"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S&amp;P 500 Sector Real Estate</w:t>
                  </w:r>
                </w:p>
              </w:tc>
              <w:tc>
                <w:tcPr>
                  <w:tcW w:w="6883" w:type="dxa"/>
                  <w:tcBorders>
                    <w:top w:val="nil"/>
                    <w:left w:val="nil"/>
                    <w:bottom w:val="nil"/>
                    <w:right w:val="nil"/>
                  </w:tcBorders>
                  <w:shd w:val="clear" w:color="auto" w:fill="auto"/>
                </w:tcPr>
                <w:p w14:paraId="58B1E028" w14:textId="25A36E95"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measures the performance of companies from the following industries:  real estate management &amp; development and REITS, excluding mortgage REITS.</w:t>
                  </w:r>
                </w:p>
              </w:tc>
            </w:tr>
            <w:tr w:rsidR="00B07B59" w:rsidRPr="00844036" w14:paraId="7E53D663" w14:textId="77777777" w:rsidTr="002E23C4">
              <w:trPr>
                <w:trHeight w:val="909"/>
              </w:trPr>
              <w:tc>
                <w:tcPr>
                  <w:tcW w:w="1610" w:type="dxa"/>
                  <w:tcBorders>
                    <w:top w:val="nil"/>
                    <w:left w:val="nil"/>
                    <w:bottom w:val="nil"/>
                    <w:right w:val="nil"/>
                  </w:tcBorders>
                  <w:shd w:val="clear" w:color="auto" w:fill="auto"/>
                </w:tcPr>
                <w:p w14:paraId="2F1549BF" w14:textId="477A5AC7"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 xml:space="preserve">Sector – Utilities </w:t>
                  </w:r>
                </w:p>
              </w:tc>
              <w:tc>
                <w:tcPr>
                  <w:tcW w:w="1853" w:type="dxa"/>
                  <w:tcBorders>
                    <w:top w:val="nil"/>
                    <w:left w:val="nil"/>
                    <w:bottom w:val="nil"/>
                    <w:right w:val="nil"/>
                  </w:tcBorders>
                  <w:shd w:val="clear" w:color="auto" w:fill="auto"/>
                </w:tcPr>
                <w:p w14:paraId="5EBAEF2A" w14:textId="68F34C24"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S&amp;P 500 Sector Utilities</w:t>
                  </w:r>
                </w:p>
              </w:tc>
              <w:tc>
                <w:tcPr>
                  <w:tcW w:w="6883" w:type="dxa"/>
                  <w:tcBorders>
                    <w:top w:val="nil"/>
                    <w:left w:val="nil"/>
                    <w:bottom w:val="nil"/>
                    <w:right w:val="nil"/>
                  </w:tcBorders>
                  <w:shd w:val="clear" w:color="auto" w:fill="auto"/>
                </w:tcPr>
                <w:p w14:paraId="447602BD" w14:textId="648E0858"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measures the performance of companies that product, generate, transmit or distribute electricity, water or natural gas, and also includes power producers &amp; energy traders and companies that engage in generation and distribution of electricity using renewable sources.</w:t>
                  </w:r>
                </w:p>
              </w:tc>
            </w:tr>
            <w:tr w:rsidR="00B07B59" w:rsidRPr="00844036" w14:paraId="03A54102" w14:textId="77777777" w:rsidTr="002E23C4">
              <w:trPr>
                <w:trHeight w:val="909"/>
              </w:trPr>
              <w:tc>
                <w:tcPr>
                  <w:tcW w:w="1610" w:type="dxa"/>
                  <w:tcBorders>
                    <w:top w:val="nil"/>
                    <w:left w:val="nil"/>
                    <w:bottom w:val="nil"/>
                    <w:right w:val="nil"/>
                  </w:tcBorders>
                  <w:shd w:val="clear" w:color="auto" w:fill="auto"/>
                </w:tcPr>
                <w:p w14:paraId="2EA85989" w14:textId="5F3EA251"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Sector - Technology</w:t>
                  </w:r>
                </w:p>
              </w:tc>
              <w:tc>
                <w:tcPr>
                  <w:tcW w:w="1853" w:type="dxa"/>
                  <w:tcBorders>
                    <w:top w:val="nil"/>
                    <w:left w:val="nil"/>
                    <w:bottom w:val="nil"/>
                    <w:right w:val="nil"/>
                  </w:tcBorders>
                  <w:shd w:val="clear" w:color="auto" w:fill="auto"/>
                </w:tcPr>
                <w:p w14:paraId="0B7F9E2F" w14:textId="0BFEC333"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S&amp;P 500 Sector Technology</w:t>
                  </w:r>
                </w:p>
              </w:tc>
              <w:tc>
                <w:tcPr>
                  <w:tcW w:w="6883" w:type="dxa"/>
                  <w:tcBorders>
                    <w:top w:val="nil"/>
                    <w:left w:val="nil"/>
                    <w:bottom w:val="nil"/>
                    <w:right w:val="nil"/>
                  </w:tcBorders>
                  <w:shd w:val="clear" w:color="auto" w:fill="auto"/>
                </w:tcPr>
                <w:p w14:paraId="39E43A81" w14:textId="7379824D" w:rsidR="00B07B59" w:rsidRPr="00B07B59" w:rsidRDefault="00B07B59" w:rsidP="00B07B59">
                  <w:pPr>
                    <w:spacing w:after="0" w:line="240" w:lineRule="auto"/>
                    <w:rPr>
                      <w:rFonts w:ascii="Arial" w:hAnsi="Arial" w:cs="Arial"/>
                      <w:color w:val="000000"/>
                      <w:sz w:val="18"/>
                      <w:szCs w:val="18"/>
                    </w:rPr>
                  </w:pPr>
                  <w:r w:rsidRPr="00B07B59">
                    <w:rPr>
                      <w:rFonts w:ascii="Arial" w:hAnsi="Arial" w:cs="Arial"/>
                      <w:sz w:val="18"/>
                      <w:szCs w:val="18"/>
                    </w:rPr>
                    <w:t>measures the performance of companies involved in technology hardware, storage and peripherals, software, communications equipment, semiconductors and semiconductor equipment, internet software and services, IT services, electronic equipment, instruments and components.</w:t>
                  </w:r>
                </w:p>
              </w:tc>
            </w:tr>
            <w:tr w:rsidR="00641FCD" w:rsidRPr="00844036" w14:paraId="765C7E00" w14:textId="77777777" w:rsidTr="002E23C4">
              <w:trPr>
                <w:trHeight w:val="909"/>
              </w:trPr>
              <w:tc>
                <w:tcPr>
                  <w:tcW w:w="1610" w:type="dxa"/>
                  <w:tcBorders>
                    <w:top w:val="nil"/>
                    <w:left w:val="nil"/>
                    <w:bottom w:val="nil"/>
                    <w:right w:val="nil"/>
                  </w:tcBorders>
                  <w:shd w:val="clear" w:color="auto" w:fill="auto"/>
                </w:tcPr>
                <w:p w14:paraId="3CFBAE99" w14:textId="41E06E6E"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US Value</w:t>
                  </w:r>
                </w:p>
              </w:tc>
              <w:tc>
                <w:tcPr>
                  <w:tcW w:w="1853" w:type="dxa"/>
                  <w:tcBorders>
                    <w:top w:val="nil"/>
                    <w:left w:val="nil"/>
                    <w:bottom w:val="nil"/>
                    <w:right w:val="nil"/>
                  </w:tcBorders>
                  <w:shd w:val="clear" w:color="auto" w:fill="auto"/>
                </w:tcPr>
                <w:p w14:paraId="1E6601FE" w14:textId="4D845622"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S&amp;P 500 Value</w:t>
                  </w:r>
                </w:p>
              </w:tc>
              <w:tc>
                <w:tcPr>
                  <w:tcW w:w="6883" w:type="dxa"/>
                  <w:tcBorders>
                    <w:top w:val="nil"/>
                    <w:left w:val="nil"/>
                    <w:bottom w:val="nil"/>
                    <w:right w:val="nil"/>
                  </w:tcBorders>
                  <w:shd w:val="clear" w:color="auto" w:fill="auto"/>
                </w:tcPr>
                <w:p w14:paraId="4A674204" w14:textId="560CEC69"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 xml:space="preserve">measures the performance of value stocks in the U.S., which are identified by sales growth, price-to-earnings and momentum.  Constituents generally have a market-cap above $5 billion. </w:t>
                  </w:r>
                </w:p>
              </w:tc>
            </w:tr>
            <w:tr w:rsidR="00641FCD" w:rsidRPr="00844036" w14:paraId="36310FBD" w14:textId="77777777" w:rsidTr="002E23C4">
              <w:trPr>
                <w:trHeight w:val="909"/>
              </w:trPr>
              <w:tc>
                <w:tcPr>
                  <w:tcW w:w="1610" w:type="dxa"/>
                  <w:tcBorders>
                    <w:top w:val="nil"/>
                    <w:left w:val="nil"/>
                    <w:bottom w:val="nil"/>
                    <w:right w:val="nil"/>
                  </w:tcBorders>
                  <w:shd w:val="clear" w:color="auto" w:fill="auto"/>
                </w:tcPr>
                <w:p w14:paraId="681FC41D" w14:textId="6534F3BE"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US Growth</w:t>
                  </w:r>
                </w:p>
              </w:tc>
              <w:tc>
                <w:tcPr>
                  <w:tcW w:w="1853" w:type="dxa"/>
                  <w:tcBorders>
                    <w:top w:val="nil"/>
                    <w:left w:val="nil"/>
                    <w:bottom w:val="nil"/>
                    <w:right w:val="nil"/>
                  </w:tcBorders>
                  <w:shd w:val="clear" w:color="auto" w:fill="auto"/>
                </w:tcPr>
                <w:p w14:paraId="25B38A92" w14:textId="79110587"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S&amp;P 500 Growth</w:t>
                  </w:r>
                </w:p>
              </w:tc>
              <w:tc>
                <w:tcPr>
                  <w:tcW w:w="6883" w:type="dxa"/>
                  <w:tcBorders>
                    <w:top w:val="nil"/>
                    <w:left w:val="nil"/>
                    <w:bottom w:val="nil"/>
                    <w:right w:val="nil"/>
                  </w:tcBorders>
                  <w:shd w:val="clear" w:color="auto" w:fill="auto"/>
                </w:tcPr>
                <w:p w14:paraId="73D7BB15" w14:textId="3E4F0630" w:rsidR="00641FCD" w:rsidRPr="001E1180" w:rsidRDefault="00641FCD" w:rsidP="00641FCD">
                  <w:pPr>
                    <w:spacing w:after="0" w:line="240" w:lineRule="auto"/>
                    <w:rPr>
                      <w:rFonts w:ascii="Arial" w:hAnsi="Arial" w:cs="Arial"/>
                      <w:color w:val="000000"/>
                      <w:sz w:val="18"/>
                      <w:szCs w:val="18"/>
                    </w:rPr>
                  </w:pPr>
                  <w:r w:rsidRPr="001E1180">
                    <w:rPr>
                      <w:rFonts w:ascii="Arial" w:hAnsi="Arial" w:cs="Arial"/>
                      <w:sz w:val="18"/>
                      <w:szCs w:val="18"/>
                    </w:rPr>
                    <w:t xml:space="preserve">measures the performance of large-cap growth stocks in the U.S., which are identified by sales growth, price-to-earnings and momentum.  Constituents generally have a market-cap above $5 billion. </w:t>
                  </w:r>
                </w:p>
              </w:tc>
            </w:tr>
            <w:tr w:rsidR="00A9647D" w:rsidRPr="00844036" w14:paraId="3621F63C" w14:textId="77777777" w:rsidTr="002E23C4">
              <w:trPr>
                <w:trHeight w:val="909"/>
              </w:trPr>
              <w:tc>
                <w:tcPr>
                  <w:tcW w:w="1610" w:type="dxa"/>
                  <w:tcBorders>
                    <w:top w:val="nil"/>
                    <w:left w:val="nil"/>
                    <w:bottom w:val="nil"/>
                    <w:right w:val="nil"/>
                  </w:tcBorders>
                  <w:shd w:val="clear" w:color="auto" w:fill="auto"/>
                </w:tcPr>
                <w:p w14:paraId="62A43842" w14:textId="2E14C53A" w:rsidR="00A9647D" w:rsidRPr="001E1180" w:rsidRDefault="00A9647D" w:rsidP="002C32BB">
                  <w:pPr>
                    <w:spacing w:after="0" w:line="240" w:lineRule="auto"/>
                    <w:rPr>
                      <w:rFonts w:ascii="Arial" w:hAnsi="Arial" w:cs="Arial"/>
                      <w:color w:val="000000"/>
                      <w:sz w:val="18"/>
                      <w:szCs w:val="18"/>
                    </w:rPr>
                  </w:pPr>
                  <w:r w:rsidRPr="001E1180">
                    <w:rPr>
                      <w:rFonts w:ascii="Arial" w:hAnsi="Arial" w:cs="Arial"/>
                      <w:color w:val="000000"/>
                      <w:sz w:val="18"/>
                      <w:szCs w:val="18"/>
                    </w:rPr>
                    <w:t>Global 60/40 Index Blend</w:t>
                  </w:r>
                </w:p>
              </w:tc>
              <w:tc>
                <w:tcPr>
                  <w:tcW w:w="1853" w:type="dxa"/>
                  <w:tcBorders>
                    <w:top w:val="nil"/>
                    <w:left w:val="nil"/>
                    <w:bottom w:val="nil"/>
                    <w:right w:val="nil"/>
                  </w:tcBorders>
                  <w:shd w:val="clear" w:color="auto" w:fill="auto"/>
                </w:tcPr>
                <w:p w14:paraId="510F2EFE" w14:textId="20BAA84A" w:rsidR="00A9647D" w:rsidRPr="001E1180" w:rsidRDefault="00A9647D" w:rsidP="002C32BB">
                  <w:pPr>
                    <w:spacing w:after="0" w:line="240" w:lineRule="auto"/>
                    <w:rPr>
                      <w:rFonts w:ascii="Arial" w:hAnsi="Arial" w:cs="Arial"/>
                      <w:color w:val="000000"/>
                      <w:sz w:val="18"/>
                      <w:szCs w:val="18"/>
                    </w:rPr>
                  </w:pPr>
                  <w:r w:rsidRPr="001E1180">
                    <w:rPr>
                      <w:rFonts w:ascii="Arial" w:hAnsi="Arial" w:cs="Arial"/>
                      <w:color w:val="000000"/>
                      <w:sz w:val="18"/>
                      <w:szCs w:val="18"/>
                    </w:rPr>
                    <w:t>60% MSCI ACWI, 40% BBG Barclays Global Aggregate</w:t>
                  </w:r>
                </w:p>
              </w:tc>
              <w:tc>
                <w:tcPr>
                  <w:tcW w:w="6883" w:type="dxa"/>
                  <w:tcBorders>
                    <w:top w:val="nil"/>
                    <w:left w:val="nil"/>
                    <w:bottom w:val="nil"/>
                    <w:right w:val="nil"/>
                  </w:tcBorders>
                  <w:shd w:val="clear" w:color="auto" w:fill="auto"/>
                </w:tcPr>
                <w:p w14:paraId="4E8A9925" w14:textId="53A16179" w:rsidR="00A9647D" w:rsidRPr="001E1180" w:rsidRDefault="00A9647D" w:rsidP="002C32BB">
                  <w:pPr>
                    <w:spacing w:after="0" w:line="240" w:lineRule="auto"/>
                    <w:rPr>
                      <w:rFonts w:ascii="Arial" w:hAnsi="Arial" w:cs="Arial"/>
                      <w:color w:val="000000"/>
                      <w:sz w:val="18"/>
                      <w:szCs w:val="18"/>
                    </w:rPr>
                  </w:pPr>
                  <w:r w:rsidRPr="001E1180">
                    <w:rPr>
                      <w:rFonts w:ascii="Arial" w:hAnsi="Arial" w:cs="Arial"/>
                      <w:color w:val="000000"/>
                      <w:sz w:val="18"/>
                      <w:szCs w:val="18"/>
                    </w:rPr>
                    <w:t>measures the performance of a blend of global equities and global bond indexes used as a benchmark for balanced portfolios</w:t>
                  </w:r>
                </w:p>
              </w:tc>
            </w:tr>
            <w:tr w:rsidR="00A9647D" w:rsidRPr="00844036" w14:paraId="44D72D8E" w14:textId="77777777" w:rsidTr="002E23C4">
              <w:trPr>
                <w:trHeight w:val="909"/>
              </w:trPr>
              <w:tc>
                <w:tcPr>
                  <w:tcW w:w="1610" w:type="dxa"/>
                  <w:tcBorders>
                    <w:top w:val="nil"/>
                    <w:left w:val="nil"/>
                    <w:bottom w:val="nil"/>
                    <w:right w:val="nil"/>
                  </w:tcBorders>
                  <w:shd w:val="clear" w:color="auto" w:fill="auto"/>
                </w:tcPr>
                <w:p w14:paraId="4FF034D0" w14:textId="3BE3FD13" w:rsidR="00A9647D" w:rsidRPr="00844036" w:rsidRDefault="00A9647D" w:rsidP="002C32BB">
                  <w:pPr>
                    <w:spacing w:after="0" w:line="240" w:lineRule="auto"/>
                    <w:rPr>
                      <w:rFonts w:ascii="Arial" w:hAnsi="Arial" w:cs="Arial"/>
                      <w:color w:val="000000"/>
                      <w:sz w:val="18"/>
                      <w:szCs w:val="18"/>
                    </w:rPr>
                  </w:pPr>
                  <w:r w:rsidRPr="00844036">
                    <w:rPr>
                      <w:rFonts w:ascii="Arial" w:hAnsi="Arial" w:cs="Arial"/>
                      <w:color w:val="000000"/>
                      <w:sz w:val="18"/>
                      <w:szCs w:val="18"/>
                    </w:rPr>
                    <w:lastRenderedPageBreak/>
                    <w:t>US Dollar</w:t>
                  </w:r>
                </w:p>
              </w:tc>
              <w:tc>
                <w:tcPr>
                  <w:tcW w:w="1853" w:type="dxa"/>
                  <w:tcBorders>
                    <w:top w:val="nil"/>
                    <w:left w:val="nil"/>
                    <w:bottom w:val="nil"/>
                    <w:right w:val="nil"/>
                  </w:tcBorders>
                  <w:shd w:val="clear" w:color="auto" w:fill="auto"/>
                </w:tcPr>
                <w:p w14:paraId="4D26E14F" w14:textId="5F6F958E" w:rsidR="00A9647D" w:rsidRPr="00844036" w:rsidRDefault="00A9647D" w:rsidP="002C32BB">
                  <w:pPr>
                    <w:spacing w:after="0" w:line="240" w:lineRule="auto"/>
                    <w:rPr>
                      <w:rFonts w:ascii="Arial" w:hAnsi="Arial" w:cs="Arial"/>
                      <w:color w:val="000000"/>
                      <w:sz w:val="18"/>
                      <w:szCs w:val="18"/>
                    </w:rPr>
                  </w:pPr>
                  <w:r w:rsidRPr="00844036">
                    <w:rPr>
                      <w:rFonts w:ascii="Arial" w:hAnsi="Arial" w:cs="Arial"/>
                      <w:color w:val="000000"/>
                      <w:sz w:val="18"/>
                      <w:szCs w:val="18"/>
                    </w:rPr>
                    <w:t>US Dollar Index</w:t>
                  </w:r>
                </w:p>
              </w:tc>
              <w:tc>
                <w:tcPr>
                  <w:tcW w:w="6883" w:type="dxa"/>
                  <w:tcBorders>
                    <w:top w:val="nil"/>
                    <w:left w:val="nil"/>
                    <w:bottom w:val="nil"/>
                    <w:right w:val="nil"/>
                  </w:tcBorders>
                  <w:shd w:val="clear" w:color="auto" w:fill="auto"/>
                </w:tcPr>
                <w:p w14:paraId="679E740E" w14:textId="0530BCCE" w:rsidR="00A9647D" w:rsidRPr="00844036" w:rsidRDefault="00A9647D" w:rsidP="002C32BB">
                  <w:pPr>
                    <w:spacing w:after="0" w:line="240" w:lineRule="auto"/>
                    <w:rPr>
                      <w:rFonts w:ascii="Arial" w:hAnsi="Arial" w:cs="Arial"/>
                      <w:color w:val="000000"/>
                      <w:sz w:val="18"/>
                      <w:szCs w:val="18"/>
                    </w:rPr>
                  </w:pPr>
                  <w:r w:rsidRPr="00844036">
                    <w:rPr>
                      <w:rFonts w:ascii="Arial" w:hAnsi="Arial" w:cs="Arial"/>
                      <w:color w:val="000000"/>
                      <w:sz w:val="18"/>
                      <w:szCs w:val="18"/>
                    </w:rPr>
                    <w:t xml:space="preserve">measures the value of the US dollar relative to the value of a 'basket' of currencies of the majority of the U.S.'s most significant trading partners.  Factors the exchange rates of six major world currencies:  euro, Japanese yen, Canadian dollar, British pound, Swedish krona and Swiss franc. </w:t>
                  </w:r>
                </w:p>
              </w:tc>
            </w:tr>
            <w:tr w:rsidR="00A9647D" w:rsidRPr="00844036" w14:paraId="3C0572A0" w14:textId="77777777" w:rsidTr="002E23C4">
              <w:trPr>
                <w:trHeight w:val="909"/>
              </w:trPr>
              <w:tc>
                <w:tcPr>
                  <w:tcW w:w="1610" w:type="dxa"/>
                  <w:tcBorders>
                    <w:top w:val="nil"/>
                    <w:left w:val="nil"/>
                    <w:bottom w:val="nil"/>
                    <w:right w:val="nil"/>
                  </w:tcBorders>
                  <w:shd w:val="clear" w:color="auto" w:fill="auto"/>
                </w:tcPr>
                <w:p w14:paraId="0DFB6CB7" w14:textId="39C7D2A0" w:rsidR="00A9647D" w:rsidRPr="00844036" w:rsidRDefault="00A9647D" w:rsidP="002C32BB">
                  <w:pPr>
                    <w:spacing w:after="0" w:line="240" w:lineRule="auto"/>
                    <w:rPr>
                      <w:rFonts w:ascii="Arial" w:hAnsi="Arial" w:cs="Arial"/>
                      <w:color w:val="000000"/>
                      <w:sz w:val="18"/>
                      <w:szCs w:val="18"/>
                    </w:rPr>
                  </w:pPr>
                </w:p>
              </w:tc>
              <w:tc>
                <w:tcPr>
                  <w:tcW w:w="1853" w:type="dxa"/>
                  <w:tcBorders>
                    <w:top w:val="nil"/>
                    <w:left w:val="nil"/>
                    <w:bottom w:val="nil"/>
                    <w:right w:val="nil"/>
                  </w:tcBorders>
                  <w:shd w:val="clear" w:color="auto" w:fill="auto"/>
                </w:tcPr>
                <w:p w14:paraId="018670F1" w14:textId="41E808E9" w:rsidR="00A9647D" w:rsidRPr="00844036" w:rsidRDefault="00A9647D" w:rsidP="002C32BB">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1DA77378" w14:textId="7DAAA2BD" w:rsidR="00A9647D" w:rsidRPr="00844036" w:rsidRDefault="00A9647D" w:rsidP="002C32BB">
                  <w:pPr>
                    <w:spacing w:after="0" w:line="240" w:lineRule="auto"/>
                    <w:rPr>
                      <w:rFonts w:ascii="Arial" w:hAnsi="Arial" w:cs="Arial"/>
                      <w:color w:val="000000"/>
                      <w:sz w:val="18"/>
                      <w:szCs w:val="18"/>
                    </w:rPr>
                  </w:pPr>
                </w:p>
              </w:tc>
            </w:tr>
            <w:tr w:rsidR="00A9647D" w:rsidRPr="00844036" w14:paraId="20C3209A" w14:textId="77777777" w:rsidTr="002E23C4">
              <w:trPr>
                <w:trHeight w:val="909"/>
              </w:trPr>
              <w:tc>
                <w:tcPr>
                  <w:tcW w:w="1610" w:type="dxa"/>
                  <w:tcBorders>
                    <w:top w:val="nil"/>
                    <w:left w:val="nil"/>
                    <w:bottom w:val="nil"/>
                    <w:right w:val="nil"/>
                  </w:tcBorders>
                  <w:shd w:val="clear" w:color="auto" w:fill="auto"/>
                </w:tcPr>
                <w:p w14:paraId="380B33AA" w14:textId="48EE0BB2" w:rsidR="00A9647D" w:rsidRPr="00844036" w:rsidRDefault="00A9647D" w:rsidP="002C32BB">
                  <w:pPr>
                    <w:spacing w:after="0" w:line="240" w:lineRule="auto"/>
                    <w:rPr>
                      <w:rFonts w:ascii="Arial" w:hAnsi="Arial" w:cs="Arial"/>
                      <w:color w:val="000000"/>
                      <w:sz w:val="18"/>
                      <w:szCs w:val="18"/>
                    </w:rPr>
                  </w:pPr>
                </w:p>
              </w:tc>
              <w:tc>
                <w:tcPr>
                  <w:tcW w:w="1853" w:type="dxa"/>
                  <w:tcBorders>
                    <w:top w:val="nil"/>
                    <w:left w:val="nil"/>
                    <w:bottom w:val="nil"/>
                    <w:right w:val="nil"/>
                  </w:tcBorders>
                  <w:shd w:val="clear" w:color="auto" w:fill="auto"/>
                </w:tcPr>
                <w:p w14:paraId="20C9C026" w14:textId="6F437983" w:rsidR="00A9647D" w:rsidRPr="00844036" w:rsidRDefault="00A9647D" w:rsidP="002C32BB">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76DD3EE7" w14:textId="0A998C3B" w:rsidR="00A9647D" w:rsidRPr="00844036" w:rsidRDefault="00A9647D" w:rsidP="002C32BB">
                  <w:pPr>
                    <w:spacing w:after="0" w:line="240" w:lineRule="auto"/>
                    <w:rPr>
                      <w:rFonts w:ascii="Arial" w:hAnsi="Arial" w:cs="Arial"/>
                      <w:color w:val="000000"/>
                      <w:sz w:val="18"/>
                      <w:szCs w:val="18"/>
                    </w:rPr>
                  </w:pPr>
                </w:p>
              </w:tc>
            </w:tr>
            <w:tr w:rsidR="00A9647D" w:rsidRPr="00844036" w14:paraId="270B7A7B" w14:textId="77777777" w:rsidTr="002E23C4">
              <w:trPr>
                <w:trHeight w:val="909"/>
              </w:trPr>
              <w:tc>
                <w:tcPr>
                  <w:tcW w:w="1610" w:type="dxa"/>
                  <w:tcBorders>
                    <w:top w:val="nil"/>
                    <w:left w:val="nil"/>
                    <w:bottom w:val="nil"/>
                    <w:right w:val="nil"/>
                  </w:tcBorders>
                  <w:shd w:val="clear" w:color="auto" w:fill="auto"/>
                </w:tcPr>
                <w:p w14:paraId="78C67102" w14:textId="25F2E2C0" w:rsidR="00A9647D" w:rsidRPr="00844036" w:rsidRDefault="00A9647D" w:rsidP="002C32BB">
                  <w:pPr>
                    <w:spacing w:after="0" w:line="240" w:lineRule="auto"/>
                    <w:rPr>
                      <w:rFonts w:ascii="Arial" w:hAnsi="Arial" w:cs="Arial"/>
                      <w:color w:val="000000"/>
                      <w:sz w:val="18"/>
                      <w:szCs w:val="18"/>
                    </w:rPr>
                  </w:pPr>
                </w:p>
              </w:tc>
              <w:tc>
                <w:tcPr>
                  <w:tcW w:w="1853" w:type="dxa"/>
                  <w:tcBorders>
                    <w:top w:val="nil"/>
                    <w:left w:val="nil"/>
                    <w:bottom w:val="nil"/>
                    <w:right w:val="nil"/>
                  </w:tcBorders>
                  <w:shd w:val="clear" w:color="auto" w:fill="auto"/>
                </w:tcPr>
                <w:p w14:paraId="6FEA5B5A" w14:textId="29F48DDB" w:rsidR="00A9647D" w:rsidRPr="00844036" w:rsidRDefault="00A9647D" w:rsidP="002C32BB">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0CBF6ED4" w14:textId="40EB9D0B" w:rsidR="00A9647D" w:rsidRPr="00844036" w:rsidRDefault="00A9647D" w:rsidP="002C32BB">
                  <w:pPr>
                    <w:spacing w:after="0" w:line="240" w:lineRule="auto"/>
                    <w:rPr>
                      <w:rFonts w:ascii="Arial" w:hAnsi="Arial" w:cs="Arial"/>
                      <w:color w:val="000000"/>
                      <w:sz w:val="18"/>
                      <w:szCs w:val="18"/>
                    </w:rPr>
                  </w:pPr>
                </w:p>
              </w:tc>
            </w:tr>
          </w:tbl>
          <w:p w14:paraId="7E6694C0" w14:textId="77777777" w:rsidR="008C20D8" w:rsidRPr="00844036" w:rsidRDefault="008C20D8" w:rsidP="002C32BB">
            <w:pPr>
              <w:spacing w:after="160"/>
              <w:ind w:left="-720" w:right="-720"/>
              <w:rPr>
                <w:rFonts w:ascii="Arial" w:hAnsi="Arial" w:cs="Arial"/>
                <w:color w:val="343433"/>
                <w:sz w:val="18"/>
                <w:szCs w:val="18"/>
              </w:rPr>
            </w:pPr>
          </w:p>
        </w:tc>
      </w:tr>
      <w:bookmarkEnd w:id="0"/>
    </w:tbl>
    <w:p w14:paraId="3B5D31A8" w14:textId="5458CB82" w:rsidR="0026106D" w:rsidRPr="00844036" w:rsidRDefault="0026106D" w:rsidP="000E5F02">
      <w:pPr>
        <w:autoSpaceDE w:val="0"/>
        <w:autoSpaceDN w:val="0"/>
        <w:spacing w:after="0"/>
        <w:ind w:right="-360" w:hanging="540"/>
        <w:rPr>
          <w:rFonts w:ascii="Arial" w:hAnsi="Arial" w:cs="Arial"/>
          <w:color w:val="3B3838" w:themeColor="background2" w:themeShade="40"/>
          <w:sz w:val="18"/>
          <w:szCs w:val="18"/>
        </w:rPr>
      </w:pPr>
    </w:p>
    <w:p w14:paraId="1EC23BD2" w14:textId="1C7DB5BE" w:rsidR="00082B41" w:rsidRPr="00844036" w:rsidRDefault="00082B41" w:rsidP="000E5F02">
      <w:pPr>
        <w:autoSpaceDE w:val="0"/>
        <w:autoSpaceDN w:val="0"/>
        <w:spacing w:after="0"/>
        <w:ind w:right="-360" w:hanging="540"/>
        <w:rPr>
          <w:rFonts w:ascii="Arial" w:hAnsi="Arial" w:cs="Arial"/>
          <w:color w:val="3B3838" w:themeColor="background2" w:themeShade="40"/>
          <w:sz w:val="18"/>
          <w:szCs w:val="18"/>
        </w:rPr>
      </w:pPr>
    </w:p>
    <w:p w14:paraId="1DB1F452" w14:textId="4EF6AD67" w:rsidR="00082B41" w:rsidRPr="00844036" w:rsidRDefault="00082B41" w:rsidP="000E5F02">
      <w:pPr>
        <w:autoSpaceDE w:val="0"/>
        <w:autoSpaceDN w:val="0"/>
        <w:spacing w:after="0"/>
        <w:ind w:right="-360" w:hanging="540"/>
        <w:rPr>
          <w:rFonts w:ascii="Arial" w:hAnsi="Arial" w:cs="Arial"/>
          <w:color w:val="3B3838" w:themeColor="background2" w:themeShade="40"/>
          <w:sz w:val="18"/>
          <w:szCs w:val="18"/>
        </w:rPr>
      </w:pPr>
    </w:p>
    <w:p w14:paraId="38C84D78" w14:textId="77777777" w:rsidR="00082B41" w:rsidRPr="00844036" w:rsidRDefault="00082B41" w:rsidP="000E5F02">
      <w:pPr>
        <w:autoSpaceDE w:val="0"/>
        <w:autoSpaceDN w:val="0"/>
        <w:spacing w:after="0"/>
        <w:ind w:right="-360" w:hanging="540"/>
        <w:rPr>
          <w:rFonts w:ascii="Arial" w:hAnsi="Arial" w:cs="Arial"/>
          <w:color w:val="3B3838" w:themeColor="background2" w:themeShade="40"/>
          <w:sz w:val="18"/>
          <w:szCs w:val="18"/>
        </w:rPr>
      </w:pPr>
    </w:p>
    <w:p w14:paraId="1CA21405" w14:textId="77777777" w:rsidR="00DE0BBF" w:rsidRPr="00844036" w:rsidRDefault="00DE0BBF" w:rsidP="00FE7F0D">
      <w:pPr>
        <w:spacing w:after="160"/>
        <w:ind w:right="-720"/>
        <w:rPr>
          <w:rFonts w:ascii="Arial" w:hAnsi="Arial" w:cs="Arial"/>
          <w:color w:val="343433"/>
          <w:sz w:val="18"/>
          <w:szCs w:val="18"/>
        </w:rPr>
      </w:pPr>
    </w:p>
    <w:p w14:paraId="7FB63708" w14:textId="77777777" w:rsidR="00DE0BBF" w:rsidRPr="00844036" w:rsidRDefault="00DE0BBF" w:rsidP="00FE7F0D">
      <w:pPr>
        <w:spacing w:after="160"/>
        <w:ind w:right="-720"/>
        <w:rPr>
          <w:rFonts w:ascii="Arial" w:hAnsi="Arial" w:cs="Arial"/>
          <w:color w:val="343433"/>
          <w:sz w:val="18"/>
          <w:szCs w:val="18"/>
        </w:rPr>
      </w:pPr>
    </w:p>
    <w:p w14:paraId="640A84B7" w14:textId="10E6C23C"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79744" behindDoc="0" locked="0" layoutInCell="1" allowOverlap="1" wp14:anchorId="35A1F3A9" wp14:editId="1F0455E7">
                <wp:simplePos x="0" y="0"/>
                <wp:positionH relativeFrom="margin">
                  <wp:posOffset>-661670</wp:posOffset>
                </wp:positionH>
                <wp:positionV relativeFrom="paragraph">
                  <wp:posOffset>2426970</wp:posOffset>
                </wp:positionV>
                <wp:extent cx="6927850" cy="5575300"/>
                <wp:effectExtent l="0" t="0" r="6350" b="6350"/>
                <wp:wrapTopAndBottom/>
                <wp:docPr id="3" name="Group 3"/>
                <wp:cNvGraphicFramePr/>
                <a:graphic xmlns:a="http://schemas.openxmlformats.org/drawingml/2006/main">
                  <a:graphicData uri="http://schemas.microsoft.com/office/word/2010/wordprocessingGroup">
                    <wpg:wgp>
                      <wpg:cNvGrpSpPr/>
                      <wpg:grpSpPr>
                        <a:xfrm>
                          <a:off x="0" y="0"/>
                          <a:ext cx="6927850" cy="557530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638" y="319560"/>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11215" y="44450"/>
                            <a:ext cx="5417820" cy="2483090"/>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5"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that govern the use of these materials and also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23FD3691" w:rsidR="002F7F11" w:rsidRPr="00BF0CB7" w:rsidRDefault="00F57DC6" w:rsidP="00476763">
                              <w:pPr>
                                <w:pStyle w:val="NormalWeb"/>
                                <w:spacing w:before="0" w:beforeAutospacing="0"/>
                                <w:contextualSpacing/>
                                <w:rPr>
                                  <w:rFonts w:ascii="Arial" w:hAnsi="Arial" w:cs="Arial"/>
                                  <w:sz w:val="16"/>
                                  <w:szCs w:val="16"/>
                                </w:rPr>
                              </w:pPr>
                              <w:r w:rsidRPr="009B4BFC">
                                <w:rPr>
                                  <w:rFonts w:ascii="Arial" w:hAnsi="Arial" w:cs="Arial"/>
                                  <w:sz w:val="16"/>
                                  <w:szCs w:val="16"/>
                                </w:rPr>
                                <w:t>1033</w:t>
                              </w:r>
                              <w:r w:rsidR="009B4BFC" w:rsidRPr="009B4BFC">
                                <w:rPr>
                                  <w:rFonts w:ascii="Arial" w:hAnsi="Arial" w:cs="Arial"/>
                                  <w:sz w:val="16"/>
                                  <w:szCs w:val="16"/>
                                </w:rPr>
                                <w:t>53</w:t>
                              </w:r>
                              <w:r w:rsidR="002F7F11" w:rsidRPr="009B4BFC">
                                <w:rPr>
                                  <w:rFonts w:ascii="Arial" w:hAnsi="Arial" w:cs="Arial"/>
                                  <w:sz w:val="16"/>
                                  <w:szCs w:val="16"/>
                                </w:rPr>
                                <w:t xml:space="preserve"> | </w:t>
                              </w:r>
                              <w:r w:rsidR="009B4BFC" w:rsidRPr="009B4BFC">
                                <w:rPr>
                                  <w:rFonts w:ascii="Arial" w:hAnsi="Arial" w:cs="Arial"/>
                                  <w:sz w:val="16"/>
                                  <w:szCs w:val="16"/>
                                </w:rPr>
                                <w:t>C22-18880</w:t>
                              </w:r>
                              <w:r w:rsidR="009B4BFC" w:rsidRPr="009B4BFC">
                                <w:rPr>
                                  <w:rFonts w:ascii="Arial" w:hAnsi="Arial" w:cs="Arial"/>
                                  <w:sz w:val="16"/>
                                  <w:szCs w:val="16"/>
                                </w:rPr>
                                <w:t xml:space="preserve"> </w:t>
                              </w:r>
                              <w:r w:rsidR="002F7F11" w:rsidRPr="009B4BFC">
                                <w:rPr>
                                  <w:rFonts w:ascii="Arial" w:hAnsi="Arial" w:cs="Arial"/>
                                  <w:sz w:val="16"/>
                                  <w:szCs w:val="16"/>
                                </w:rPr>
                                <w:t>| 0</w:t>
                              </w:r>
                              <w:r w:rsidR="00D345DA" w:rsidRPr="009B4BFC">
                                <w:rPr>
                                  <w:rFonts w:ascii="Arial" w:hAnsi="Arial" w:cs="Arial"/>
                                  <w:sz w:val="16"/>
                                  <w:szCs w:val="16"/>
                                </w:rPr>
                                <w:t>6</w:t>
                              </w:r>
                              <w:r w:rsidR="002F7F11" w:rsidRPr="009B4BFC">
                                <w:rPr>
                                  <w:rFonts w:ascii="Arial" w:hAnsi="Arial" w:cs="Arial"/>
                                  <w:sz w:val="16"/>
                                  <w:szCs w:val="16"/>
                                </w:rPr>
                                <w:t>/202</w:t>
                              </w:r>
                              <w:r w:rsidR="00F67AD8" w:rsidRPr="009B4BFC">
                                <w:rPr>
                                  <w:rFonts w:ascii="Arial" w:hAnsi="Arial" w:cs="Arial"/>
                                  <w:sz w:val="16"/>
                                  <w:szCs w:val="16"/>
                                </w:rPr>
                                <w:t>2</w:t>
                              </w:r>
                              <w:r w:rsidR="002F7F11" w:rsidRPr="009B4BFC">
                                <w:rPr>
                                  <w:rFonts w:ascii="Arial" w:hAnsi="Arial" w:cs="Arial"/>
                                  <w:sz w:val="16"/>
                                  <w:szCs w:val="16"/>
                                </w:rPr>
                                <w:t xml:space="preserve"> | EXP 0</w:t>
                              </w:r>
                              <w:r w:rsidR="00D345DA" w:rsidRPr="009B4BFC">
                                <w:rPr>
                                  <w:rFonts w:ascii="Arial" w:hAnsi="Arial" w:cs="Arial"/>
                                  <w:sz w:val="16"/>
                                  <w:szCs w:val="16"/>
                                </w:rPr>
                                <w:t>6</w:t>
                              </w:r>
                              <w:r w:rsidR="002F7F11" w:rsidRPr="009B4BFC">
                                <w:rPr>
                                  <w:rFonts w:ascii="Arial" w:hAnsi="Arial" w:cs="Arial"/>
                                  <w:sz w:val="16"/>
                                  <w:szCs w:val="16"/>
                                </w:rPr>
                                <w:t>/</w:t>
                              </w:r>
                              <w:r w:rsidR="0054164A" w:rsidRPr="009B4BFC">
                                <w:rPr>
                                  <w:rFonts w:ascii="Arial" w:hAnsi="Arial" w:cs="Arial"/>
                                  <w:sz w:val="16"/>
                                  <w:szCs w:val="16"/>
                                </w:rPr>
                                <w:t>3</w:t>
                              </w:r>
                              <w:r w:rsidR="00D345DA" w:rsidRPr="009B4BFC">
                                <w:rPr>
                                  <w:rFonts w:ascii="Arial" w:hAnsi="Arial" w:cs="Arial"/>
                                  <w:sz w:val="16"/>
                                  <w:szCs w:val="16"/>
                                </w:rPr>
                                <w:t>0</w:t>
                              </w:r>
                              <w:r w:rsidR="002F7F11" w:rsidRPr="009B4BFC">
                                <w:rPr>
                                  <w:rFonts w:ascii="Arial" w:hAnsi="Arial" w:cs="Arial"/>
                                  <w:sz w:val="16"/>
                                  <w:szCs w:val="16"/>
                                </w:rPr>
                                <w:t>/202</w:t>
                              </w:r>
                              <w:r w:rsidR="00F67AD8" w:rsidRPr="009B4BFC">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52.1pt;margin-top:191.1pt;width:545.5pt;height:439pt;z-index:251679744;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486;top:3195;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112;top:444;width:54178;height:2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6"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that govern the use of these materials and also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23FD3691" w:rsidR="002F7F11" w:rsidRPr="00BF0CB7" w:rsidRDefault="00F57DC6" w:rsidP="00476763">
                        <w:pPr>
                          <w:pStyle w:val="NormalWeb"/>
                          <w:spacing w:before="0" w:beforeAutospacing="0"/>
                          <w:contextualSpacing/>
                          <w:rPr>
                            <w:rFonts w:ascii="Arial" w:hAnsi="Arial" w:cs="Arial"/>
                            <w:sz w:val="16"/>
                            <w:szCs w:val="16"/>
                          </w:rPr>
                        </w:pPr>
                        <w:r w:rsidRPr="009B4BFC">
                          <w:rPr>
                            <w:rFonts w:ascii="Arial" w:hAnsi="Arial" w:cs="Arial"/>
                            <w:sz w:val="16"/>
                            <w:szCs w:val="16"/>
                          </w:rPr>
                          <w:t>1033</w:t>
                        </w:r>
                        <w:r w:rsidR="009B4BFC" w:rsidRPr="009B4BFC">
                          <w:rPr>
                            <w:rFonts w:ascii="Arial" w:hAnsi="Arial" w:cs="Arial"/>
                            <w:sz w:val="16"/>
                            <w:szCs w:val="16"/>
                          </w:rPr>
                          <w:t>53</w:t>
                        </w:r>
                        <w:r w:rsidR="002F7F11" w:rsidRPr="009B4BFC">
                          <w:rPr>
                            <w:rFonts w:ascii="Arial" w:hAnsi="Arial" w:cs="Arial"/>
                            <w:sz w:val="16"/>
                            <w:szCs w:val="16"/>
                          </w:rPr>
                          <w:t xml:space="preserve"> | </w:t>
                        </w:r>
                        <w:r w:rsidR="009B4BFC" w:rsidRPr="009B4BFC">
                          <w:rPr>
                            <w:rFonts w:ascii="Arial" w:hAnsi="Arial" w:cs="Arial"/>
                            <w:sz w:val="16"/>
                            <w:szCs w:val="16"/>
                          </w:rPr>
                          <w:t>C22-18880</w:t>
                        </w:r>
                        <w:r w:rsidR="009B4BFC" w:rsidRPr="009B4BFC">
                          <w:rPr>
                            <w:rFonts w:ascii="Arial" w:hAnsi="Arial" w:cs="Arial"/>
                            <w:sz w:val="16"/>
                            <w:szCs w:val="16"/>
                          </w:rPr>
                          <w:t xml:space="preserve"> </w:t>
                        </w:r>
                        <w:r w:rsidR="002F7F11" w:rsidRPr="009B4BFC">
                          <w:rPr>
                            <w:rFonts w:ascii="Arial" w:hAnsi="Arial" w:cs="Arial"/>
                            <w:sz w:val="16"/>
                            <w:szCs w:val="16"/>
                          </w:rPr>
                          <w:t>| 0</w:t>
                        </w:r>
                        <w:r w:rsidR="00D345DA" w:rsidRPr="009B4BFC">
                          <w:rPr>
                            <w:rFonts w:ascii="Arial" w:hAnsi="Arial" w:cs="Arial"/>
                            <w:sz w:val="16"/>
                            <w:szCs w:val="16"/>
                          </w:rPr>
                          <w:t>6</w:t>
                        </w:r>
                        <w:r w:rsidR="002F7F11" w:rsidRPr="009B4BFC">
                          <w:rPr>
                            <w:rFonts w:ascii="Arial" w:hAnsi="Arial" w:cs="Arial"/>
                            <w:sz w:val="16"/>
                            <w:szCs w:val="16"/>
                          </w:rPr>
                          <w:t>/202</w:t>
                        </w:r>
                        <w:r w:rsidR="00F67AD8" w:rsidRPr="009B4BFC">
                          <w:rPr>
                            <w:rFonts w:ascii="Arial" w:hAnsi="Arial" w:cs="Arial"/>
                            <w:sz w:val="16"/>
                            <w:szCs w:val="16"/>
                          </w:rPr>
                          <w:t>2</w:t>
                        </w:r>
                        <w:r w:rsidR="002F7F11" w:rsidRPr="009B4BFC">
                          <w:rPr>
                            <w:rFonts w:ascii="Arial" w:hAnsi="Arial" w:cs="Arial"/>
                            <w:sz w:val="16"/>
                            <w:szCs w:val="16"/>
                          </w:rPr>
                          <w:t xml:space="preserve"> | EXP 0</w:t>
                        </w:r>
                        <w:r w:rsidR="00D345DA" w:rsidRPr="009B4BFC">
                          <w:rPr>
                            <w:rFonts w:ascii="Arial" w:hAnsi="Arial" w:cs="Arial"/>
                            <w:sz w:val="16"/>
                            <w:szCs w:val="16"/>
                          </w:rPr>
                          <w:t>6</w:t>
                        </w:r>
                        <w:r w:rsidR="002F7F11" w:rsidRPr="009B4BFC">
                          <w:rPr>
                            <w:rFonts w:ascii="Arial" w:hAnsi="Arial" w:cs="Arial"/>
                            <w:sz w:val="16"/>
                            <w:szCs w:val="16"/>
                          </w:rPr>
                          <w:t>/</w:t>
                        </w:r>
                        <w:r w:rsidR="0054164A" w:rsidRPr="009B4BFC">
                          <w:rPr>
                            <w:rFonts w:ascii="Arial" w:hAnsi="Arial" w:cs="Arial"/>
                            <w:sz w:val="16"/>
                            <w:szCs w:val="16"/>
                          </w:rPr>
                          <w:t>3</w:t>
                        </w:r>
                        <w:r w:rsidR="00D345DA" w:rsidRPr="009B4BFC">
                          <w:rPr>
                            <w:rFonts w:ascii="Arial" w:hAnsi="Arial" w:cs="Arial"/>
                            <w:sz w:val="16"/>
                            <w:szCs w:val="16"/>
                          </w:rPr>
                          <w:t>0</w:t>
                        </w:r>
                        <w:r w:rsidR="002F7F11" w:rsidRPr="009B4BFC">
                          <w:rPr>
                            <w:rFonts w:ascii="Arial" w:hAnsi="Arial" w:cs="Arial"/>
                            <w:sz w:val="16"/>
                            <w:szCs w:val="16"/>
                          </w:rPr>
                          <w:t>/202</w:t>
                        </w:r>
                        <w:r w:rsidR="00F67AD8" w:rsidRPr="009B4BFC">
                          <w:rPr>
                            <w:rFonts w:ascii="Arial" w:hAnsi="Arial" w:cs="Arial"/>
                            <w:sz w:val="16"/>
                            <w:szCs w:val="16"/>
                          </w:rPr>
                          <w:t>4</w:t>
                        </w:r>
                      </w:p>
                    </w:txbxContent>
                  </v:textbox>
                </v:shape>
                <w10:wrap type="topAndBottom" anchorx="margin"/>
              </v:group>
            </w:pict>
          </mc:Fallback>
        </mc:AlternateContent>
      </w:r>
    </w:p>
    <w:sectPr w:rsidR="003A27B5" w:rsidRPr="0040163B" w:rsidSect="006A6909">
      <w:headerReference w:type="default" r:id="rId17"/>
      <w:footerReference w:type="even" r:id="rId18"/>
      <w:footerReference w:type="default" r:id="rId19"/>
      <w:headerReference w:type="first" r:id="rId20"/>
      <w:footerReference w:type="first" r:id="rId21"/>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D4C7A" w14:textId="77777777" w:rsidR="00D4354A" w:rsidRDefault="00D4354A" w:rsidP="005C1D70">
      <w:pPr>
        <w:spacing w:after="0" w:line="240" w:lineRule="auto"/>
      </w:pPr>
      <w:r>
        <w:separator/>
      </w:r>
    </w:p>
  </w:endnote>
  <w:endnote w:type="continuationSeparator" w:id="0">
    <w:p w14:paraId="5E41FB88" w14:textId="77777777" w:rsidR="00D4354A" w:rsidRDefault="00D4354A" w:rsidP="005C1D70">
      <w:pPr>
        <w:spacing w:after="0" w:line="240" w:lineRule="auto"/>
      </w:pPr>
      <w:r>
        <w:continuationSeparator/>
      </w:r>
    </w:p>
  </w:endnote>
  <w:endnote w:id="1">
    <w:p w14:paraId="37E0425A" w14:textId="35EF79FC" w:rsidR="00BA6A42" w:rsidRPr="004B7758" w:rsidRDefault="00BA6A42">
      <w:pPr>
        <w:pStyle w:val="EndnoteText"/>
        <w:rPr>
          <w:rFonts w:ascii="Arial" w:hAnsi="Arial" w:cs="Arial"/>
          <w:sz w:val="16"/>
          <w:szCs w:val="16"/>
        </w:rPr>
      </w:pPr>
      <w:r w:rsidRPr="004B7758">
        <w:rPr>
          <w:rStyle w:val="EndnoteReference"/>
          <w:rFonts w:ascii="Arial" w:hAnsi="Arial" w:cs="Arial"/>
          <w:sz w:val="16"/>
          <w:szCs w:val="16"/>
        </w:rPr>
        <w:endnoteRef/>
      </w:r>
      <w:r w:rsidRPr="004B7758">
        <w:rPr>
          <w:rFonts w:ascii="Arial" w:hAnsi="Arial" w:cs="Arial"/>
          <w:sz w:val="16"/>
          <w:szCs w:val="16"/>
        </w:rPr>
        <w:t xml:space="preserve"> </w:t>
      </w:r>
      <w:hyperlink r:id="rId1" w:history="1">
        <w:r w:rsidRPr="004B7758">
          <w:rPr>
            <w:rStyle w:val="Hyperlink"/>
            <w:rFonts w:ascii="Arial" w:hAnsi="Arial" w:cs="Arial"/>
            <w:sz w:val="16"/>
            <w:szCs w:val="16"/>
          </w:rPr>
          <w:t>May 2022 Review and Outlook | Nasdaq</w:t>
        </w:r>
      </w:hyperlink>
    </w:p>
  </w:endnote>
  <w:endnote w:id="2">
    <w:p w14:paraId="715DD9D6" w14:textId="5FBF4DDD" w:rsidR="00BA6A42" w:rsidRPr="004B7758" w:rsidRDefault="00BA6A42">
      <w:pPr>
        <w:pStyle w:val="EndnoteText"/>
        <w:rPr>
          <w:rFonts w:ascii="Arial" w:hAnsi="Arial" w:cs="Arial"/>
          <w:sz w:val="16"/>
          <w:szCs w:val="16"/>
        </w:rPr>
      </w:pPr>
      <w:r w:rsidRPr="004B7758">
        <w:rPr>
          <w:rStyle w:val="EndnoteReference"/>
          <w:rFonts w:ascii="Arial" w:hAnsi="Arial" w:cs="Arial"/>
          <w:sz w:val="16"/>
          <w:szCs w:val="16"/>
        </w:rPr>
        <w:endnoteRef/>
      </w:r>
      <w:r w:rsidRPr="004B7758">
        <w:rPr>
          <w:rFonts w:ascii="Arial" w:hAnsi="Arial" w:cs="Arial"/>
          <w:sz w:val="16"/>
          <w:szCs w:val="16"/>
        </w:rPr>
        <w:t xml:space="preserve"> </w:t>
      </w:r>
      <w:hyperlink r:id="rId2" w:history="1">
        <w:r w:rsidRPr="004B7758">
          <w:rPr>
            <w:rStyle w:val="Hyperlink"/>
            <w:rFonts w:ascii="Arial" w:hAnsi="Arial" w:cs="Arial"/>
            <w:sz w:val="16"/>
            <w:szCs w:val="16"/>
          </w:rPr>
          <w:t>May 2022 Market Commentary | ALM First</w:t>
        </w:r>
      </w:hyperlink>
    </w:p>
  </w:endnote>
  <w:endnote w:id="3">
    <w:p w14:paraId="6D3B0782" w14:textId="1ABD270A" w:rsidR="00BA6A42" w:rsidRDefault="00BA6A42">
      <w:pPr>
        <w:pStyle w:val="EndnoteText"/>
      </w:pPr>
      <w:r w:rsidRPr="004B7758">
        <w:rPr>
          <w:rStyle w:val="EndnoteReference"/>
          <w:rFonts w:ascii="Arial" w:hAnsi="Arial" w:cs="Arial"/>
          <w:sz w:val="16"/>
          <w:szCs w:val="16"/>
        </w:rPr>
        <w:endnoteRef/>
      </w:r>
      <w:r w:rsidRPr="004B7758">
        <w:rPr>
          <w:rFonts w:ascii="Arial" w:hAnsi="Arial" w:cs="Arial"/>
          <w:sz w:val="16"/>
          <w:szCs w:val="16"/>
        </w:rPr>
        <w:t xml:space="preserve"> </w:t>
      </w:r>
      <w:hyperlink r:id="rId3" w:history="1">
        <w:r w:rsidRPr="004B7758">
          <w:rPr>
            <w:rStyle w:val="Hyperlink"/>
            <w:rFonts w:ascii="Arial" w:hAnsi="Arial" w:cs="Arial"/>
            <w:sz w:val="16"/>
            <w:szCs w:val="16"/>
          </w:rPr>
          <w:t>Gold prices slip as Fed affirms aggressive policy stance | Reuters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8DB3F"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93AD0"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E86C5" w14:textId="77777777" w:rsidR="00D4354A" w:rsidRDefault="00D4354A" w:rsidP="005C1D70">
      <w:pPr>
        <w:spacing w:after="0" w:line="240" w:lineRule="auto"/>
      </w:pPr>
      <w:r>
        <w:separator/>
      </w:r>
    </w:p>
  </w:footnote>
  <w:footnote w:type="continuationSeparator" w:id="0">
    <w:p w14:paraId="6CF42ABD" w14:textId="77777777" w:rsidR="00D4354A" w:rsidRDefault="00D4354A"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50113"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12A79DF0" w:rsidR="0037202D" w:rsidRPr="0037202D" w:rsidRDefault="009B610E" w:rsidP="0037202D">
                          <w:pPr>
                            <w:rPr>
                              <w:rFonts w:ascii="Arial" w:hAnsi="Arial" w:cs="Arial"/>
                              <w:sz w:val="18"/>
                            </w:rPr>
                          </w:pPr>
                          <w:r>
                            <w:rPr>
                              <w:rFonts w:ascii="Arial" w:hAnsi="Arial" w:cs="Arial"/>
                            </w:rPr>
                            <w:t>May</w:t>
                          </w:r>
                          <w:r w:rsidR="0037202D">
                            <w:rPr>
                              <w:rFonts w:ascii="Arial" w:hAnsi="Arial" w:cs="Arial"/>
                            </w:rPr>
                            <w:t xml:space="preserve"> 2</w:t>
                          </w:r>
                          <w:r w:rsidR="00D31089">
                            <w:rPr>
                              <w:rFonts w:ascii="Arial" w:hAnsi="Arial" w:cs="Arial"/>
                            </w:rPr>
                            <w:t>02</w:t>
                          </w:r>
                          <w:r w:rsidR="00F27D3C">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12A79DF0" w:rsidR="0037202D" w:rsidRPr="0037202D" w:rsidRDefault="009B610E" w:rsidP="0037202D">
                    <w:pPr>
                      <w:rPr>
                        <w:rFonts w:ascii="Arial" w:hAnsi="Arial" w:cs="Arial"/>
                        <w:sz w:val="18"/>
                      </w:rPr>
                    </w:pPr>
                    <w:r>
                      <w:rPr>
                        <w:rFonts w:ascii="Arial" w:hAnsi="Arial" w:cs="Arial"/>
                      </w:rPr>
                      <w:t>May</w:t>
                    </w:r>
                    <w:r w:rsidR="0037202D">
                      <w:rPr>
                        <w:rFonts w:ascii="Arial" w:hAnsi="Arial" w:cs="Arial"/>
                      </w:rPr>
                      <w:t xml:space="preserve"> 2</w:t>
                    </w:r>
                    <w:r w:rsidR="00D31089">
                      <w:rPr>
                        <w:rFonts w:ascii="Arial" w:hAnsi="Arial" w:cs="Arial"/>
                      </w:rPr>
                      <w:t>02</w:t>
                    </w:r>
                    <w:r w:rsidR="00F27D3C">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2D29"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4"/>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kwqwUAUVh1ZiwAAAA="/>
    <w:docVar w:name="APWAFNeedToUniquify" w:val="fals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117"/>
    <w:rsid w:val="00016A13"/>
    <w:rsid w:val="00016B9E"/>
    <w:rsid w:val="000206C0"/>
    <w:rsid w:val="00023599"/>
    <w:rsid w:val="000240EF"/>
    <w:rsid w:val="000242CF"/>
    <w:rsid w:val="000242F4"/>
    <w:rsid w:val="00024439"/>
    <w:rsid w:val="00025503"/>
    <w:rsid w:val="00025D22"/>
    <w:rsid w:val="0003017C"/>
    <w:rsid w:val="00030ECA"/>
    <w:rsid w:val="0003376F"/>
    <w:rsid w:val="0003567F"/>
    <w:rsid w:val="000371DC"/>
    <w:rsid w:val="00041620"/>
    <w:rsid w:val="00042E23"/>
    <w:rsid w:val="000430A6"/>
    <w:rsid w:val="00045057"/>
    <w:rsid w:val="00051F5A"/>
    <w:rsid w:val="000525E5"/>
    <w:rsid w:val="00053EFC"/>
    <w:rsid w:val="00054C1C"/>
    <w:rsid w:val="00066B89"/>
    <w:rsid w:val="00067D72"/>
    <w:rsid w:val="00074F9A"/>
    <w:rsid w:val="0007798A"/>
    <w:rsid w:val="00081251"/>
    <w:rsid w:val="00081973"/>
    <w:rsid w:val="00082B41"/>
    <w:rsid w:val="00090399"/>
    <w:rsid w:val="0009147A"/>
    <w:rsid w:val="0009187A"/>
    <w:rsid w:val="00091B63"/>
    <w:rsid w:val="000929C4"/>
    <w:rsid w:val="00092E4D"/>
    <w:rsid w:val="00094A2D"/>
    <w:rsid w:val="000966B3"/>
    <w:rsid w:val="00096F2C"/>
    <w:rsid w:val="000A165A"/>
    <w:rsid w:val="000A2108"/>
    <w:rsid w:val="000A2ED9"/>
    <w:rsid w:val="000A5A3C"/>
    <w:rsid w:val="000A6046"/>
    <w:rsid w:val="000A7488"/>
    <w:rsid w:val="000A7E8D"/>
    <w:rsid w:val="000B0791"/>
    <w:rsid w:val="000B134F"/>
    <w:rsid w:val="000B19DD"/>
    <w:rsid w:val="000B1D36"/>
    <w:rsid w:val="000B2834"/>
    <w:rsid w:val="000B3F75"/>
    <w:rsid w:val="000B4C97"/>
    <w:rsid w:val="000B540D"/>
    <w:rsid w:val="000C049C"/>
    <w:rsid w:val="000C06AC"/>
    <w:rsid w:val="000C1030"/>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A69"/>
    <w:rsid w:val="000F79F4"/>
    <w:rsid w:val="000F7DAD"/>
    <w:rsid w:val="00100FC7"/>
    <w:rsid w:val="0010194E"/>
    <w:rsid w:val="00101B62"/>
    <w:rsid w:val="00101E87"/>
    <w:rsid w:val="0010785C"/>
    <w:rsid w:val="0011194D"/>
    <w:rsid w:val="00112281"/>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43F"/>
    <w:rsid w:val="00150B19"/>
    <w:rsid w:val="00151D69"/>
    <w:rsid w:val="001649B9"/>
    <w:rsid w:val="00174514"/>
    <w:rsid w:val="00174990"/>
    <w:rsid w:val="00175576"/>
    <w:rsid w:val="00175F3F"/>
    <w:rsid w:val="00176A6B"/>
    <w:rsid w:val="001779A9"/>
    <w:rsid w:val="00184874"/>
    <w:rsid w:val="001859E9"/>
    <w:rsid w:val="001867A3"/>
    <w:rsid w:val="00192D1F"/>
    <w:rsid w:val="00192E8F"/>
    <w:rsid w:val="00194BC0"/>
    <w:rsid w:val="0019560C"/>
    <w:rsid w:val="00196F86"/>
    <w:rsid w:val="001A07B6"/>
    <w:rsid w:val="001A1863"/>
    <w:rsid w:val="001A3B06"/>
    <w:rsid w:val="001A42D1"/>
    <w:rsid w:val="001A57E4"/>
    <w:rsid w:val="001A6654"/>
    <w:rsid w:val="001B0603"/>
    <w:rsid w:val="001B1060"/>
    <w:rsid w:val="001B109A"/>
    <w:rsid w:val="001B2683"/>
    <w:rsid w:val="001B37C3"/>
    <w:rsid w:val="001B3C5E"/>
    <w:rsid w:val="001B49C8"/>
    <w:rsid w:val="001B5EFB"/>
    <w:rsid w:val="001B62EA"/>
    <w:rsid w:val="001B6B17"/>
    <w:rsid w:val="001B6F67"/>
    <w:rsid w:val="001C0C09"/>
    <w:rsid w:val="001C2718"/>
    <w:rsid w:val="001C403B"/>
    <w:rsid w:val="001D058D"/>
    <w:rsid w:val="001D0F27"/>
    <w:rsid w:val="001D1C5C"/>
    <w:rsid w:val="001D28D0"/>
    <w:rsid w:val="001D29C3"/>
    <w:rsid w:val="001D2EDE"/>
    <w:rsid w:val="001D41CD"/>
    <w:rsid w:val="001D528D"/>
    <w:rsid w:val="001D5914"/>
    <w:rsid w:val="001D5AEF"/>
    <w:rsid w:val="001D5D2F"/>
    <w:rsid w:val="001D6BC2"/>
    <w:rsid w:val="001D7A8E"/>
    <w:rsid w:val="001D7C01"/>
    <w:rsid w:val="001E0BE1"/>
    <w:rsid w:val="001E1073"/>
    <w:rsid w:val="001E1180"/>
    <w:rsid w:val="001E21E7"/>
    <w:rsid w:val="001E3BDA"/>
    <w:rsid w:val="001E3C1A"/>
    <w:rsid w:val="001E4456"/>
    <w:rsid w:val="001E4E23"/>
    <w:rsid w:val="001E4FD6"/>
    <w:rsid w:val="001E581D"/>
    <w:rsid w:val="001E5CB7"/>
    <w:rsid w:val="001E71B3"/>
    <w:rsid w:val="001F06B2"/>
    <w:rsid w:val="001F0ADB"/>
    <w:rsid w:val="001F2BF8"/>
    <w:rsid w:val="001F5138"/>
    <w:rsid w:val="001F51C9"/>
    <w:rsid w:val="001F565A"/>
    <w:rsid w:val="002005D2"/>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15DC"/>
    <w:rsid w:val="002220C2"/>
    <w:rsid w:val="00225891"/>
    <w:rsid w:val="00225D97"/>
    <w:rsid w:val="002276A3"/>
    <w:rsid w:val="00227DDC"/>
    <w:rsid w:val="00230680"/>
    <w:rsid w:val="00232B67"/>
    <w:rsid w:val="00232B8E"/>
    <w:rsid w:val="00235DA5"/>
    <w:rsid w:val="00236820"/>
    <w:rsid w:val="002401F6"/>
    <w:rsid w:val="00240C3F"/>
    <w:rsid w:val="002417A8"/>
    <w:rsid w:val="00241BAE"/>
    <w:rsid w:val="002420DC"/>
    <w:rsid w:val="00243C06"/>
    <w:rsid w:val="002453BF"/>
    <w:rsid w:val="00245B44"/>
    <w:rsid w:val="002464B2"/>
    <w:rsid w:val="0024750F"/>
    <w:rsid w:val="00247852"/>
    <w:rsid w:val="002518A8"/>
    <w:rsid w:val="00255E94"/>
    <w:rsid w:val="00255EB5"/>
    <w:rsid w:val="00256320"/>
    <w:rsid w:val="00256F12"/>
    <w:rsid w:val="002578AC"/>
    <w:rsid w:val="0026106D"/>
    <w:rsid w:val="00261B59"/>
    <w:rsid w:val="00262F13"/>
    <w:rsid w:val="0026361E"/>
    <w:rsid w:val="00272AF5"/>
    <w:rsid w:val="0027410D"/>
    <w:rsid w:val="0027433B"/>
    <w:rsid w:val="00274534"/>
    <w:rsid w:val="00275EBE"/>
    <w:rsid w:val="00280A79"/>
    <w:rsid w:val="00281338"/>
    <w:rsid w:val="00281444"/>
    <w:rsid w:val="002815AB"/>
    <w:rsid w:val="00282274"/>
    <w:rsid w:val="00282A2B"/>
    <w:rsid w:val="00283686"/>
    <w:rsid w:val="00284562"/>
    <w:rsid w:val="00284AA4"/>
    <w:rsid w:val="002859EB"/>
    <w:rsid w:val="00290B7F"/>
    <w:rsid w:val="00291044"/>
    <w:rsid w:val="0029313A"/>
    <w:rsid w:val="00293B4E"/>
    <w:rsid w:val="00296183"/>
    <w:rsid w:val="002973E5"/>
    <w:rsid w:val="00297E82"/>
    <w:rsid w:val="002A1561"/>
    <w:rsid w:val="002A381C"/>
    <w:rsid w:val="002A461C"/>
    <w:rsid w:val="002A773F"/>
    <w:rsid w:val="002B05C8"/>
    <w:rsid w:val="002C02AF"/>
    <w:rsid w:val="002C0565"/>
    <w:rsid w:val="002D05E4"/>
    <w:rsid w:val="002D22E8"/>
    <w:rsid w:val="002D2320"/>
    <w:rsid w:val="002D37C9"/>
    <w:rsid w:val="002D4F15"/>
    <w:rsid w:val="002D50C3"/>
    <w:rsid w:val="002D792A"/>
    <w:rsid w:val="002D7DC5"/>
    <w:rsid w:val="002E0A7B"/>
    <w:rsid w:val="002E23C4"/>
    <w:rsid w:val="002E433C"/>
    <w:rsid w:val="002E4898"/>
    <w:rsid w:val="002E508A"/>
    <w:rsid w:val="002E50EA"/>
    <w:rsid w:val="002E5BCA"/>
    <w:rsid w:val="002E6AFD"/>
    <w:rsid w:val="002E6E8A"/>
    <w:rsid w:val="002E7719"/>
    <w:rsid w:val="002F07C5"/>
    <w:rsid w:val="002F16B9"/>
    <w:rsid w:val="002F1EC0"/>
    <w:rsid w:val="002F2B29"/>
    <w:rsid w:val="002F592D"/>
    <w:rsid w:val="002F5CB2"/>
    <w:rsid w:val="002F79F4"/>
    <w:rsid w:val="002F7F11"/>
    <w:rsid w:val="00300023"/>
    <w:rsid w:val="00300BBA"/>
    <w:rsid w:val="003014F1"/>
    <w:rsid w:val="00303294"/>
    <w:rsid w:val="0030348F"/>
    <w:rsid w:val="00304FF2"/>
    <w:rsid w:val="00305296"/>
    <w:rsid w:val="00306374"/>
    <w:rsid w:val="00311CC1"/>
    <w:rsid w:val="003127F9"/>
    <w:rsid w:val="0031343F"/>
    <w:rsid w:val="00314D80"/>
    <w:rsid w:val="00317921"/>
    <w:rsid w:val="00322025"/>
    <w:rsid w:val="003220F7"/>
    <w:rsid w:val="003231DB"/>
    <w:rsid w:val="0032479E"/>
    <w:rsid w:val="00325856"/>
    <w:rsid w:val="003268E6"/>
    <w:rsid w:val="00331075"/>
    <w:rsid w:val="0033118A"/>
    <w:rsid w:val="00331690"/>
    <w:rsid w:val="00340787"/>
    <w:rsid w:val="003435A3"/>
    <w:rsid w:val="00343802"/>
    <w:rsid w:val="00343C2A"/>
    <w:rsid w:val="00345399"/>
    <w:rsid w:val="00346527"/>
    <w:rsid w:val="00352A50"/>
    <w:rsid w:val="0035334B"/>
    <w:rsid w:val="00353E32"/>
    <w:rsid w:val="00355722"/>
    <w:rsid w:val="00355CA4"/>
    <w:rsid w:val="00362D4D"/>
    <w:rsid w:val="0037202D"/>
    <w:rsid w:val="00372C2F"/>
    <w:rsid w:val="003730E1"/>
    <w:rsid w:val="0037448D"/>
    <w:rsid w:val="003762FC"/>
    <w:rsid w:val="0037726A"/>
    <w:rsid w:val="00381EB7"/>
    <w:rsid w:val="0038317A"/>
    <w:rsid w:val="003835CC"/>
    <w:rsid w:val="00383AF2"/>
    <w:rsid w:val="00383F8F"/>
    <w:rsid w:val="00385C7C"/>
    <w:rsid w:val="0039028E"/>
    <w:rsid w:val="00393334"/>
    <w:rsid w:val="0039373B"/>
    <w:rsid w:val="003948A6"/>
    <w:rsid w:val="00396976"/>
    <w:rsid w:val="003A027C"/>
    <w:rsid w:val="003A0A0D"/>
    <w:rsid w:val="003A17E9"/>
    <w:rsid w:val="003A1C0B"/>
    <w:rsid w:val="003A27B5"/>
    <w:rsid w:val="003A312A"/>
    <w:rsid w:val="003A67D5"/>
    <w:rsid w:val="003A729F"/>
    <w:rsid w:val="003A796C"/>
    <w:rsid w:val="003A79ED"/>
    <w:rsid w:val="003A7A06"/>
    <w:rsid w:val="003B0F64"/>
    <w:rsid w:val="003B3EEE"/>
    <w:rsid w:val="003B7A38"/>
    <w:rsid w:val="003C1DEF"/>
    <w:rsid w:val="003C1EE4"/>
    <w:rsid w:val="003C297B"/>
    <w:rsid w:val="003C2C63"/>
    <w:rsid w:val="003C438F"/>
    <w:rsid w:val="003C4C11"/>
    <w:rsid w:val="003C547B"/>
    <w:rsid w:val="003C5B6F"/>
    <w:rsid w:val="003D09BD"/>
    <w:rsid w:val="003D0E2B"/>
    <w:rsid w:val="003D27ED"/>
    <w:rsid w:val="003D535D"/>
    <w:rsid w:val="003D596A"/>
    <w:rsid w:val="003D6A52"/>
    <w:rsid w:val="003D7552"/>
    <w:rsid w:val="003E2BF1"/>
    <w:rsid w:val="003E3FAC"/>
    <w:rsid w:val="003E4429"/>
    <w:rsid w:val="003E5A99"/>
    <w:rsid w:val="003E6762"/>
    <w:rsid w:val="003F0BE4"/>
    <w:rsid w:val="003F0F82"/>
    <w:rsid w:val="003F1491"/>
    <w:rsid w:val="003F1C77"/>
    <w:rsid w:val="003F4056"/>
    <w:rsid w:val="003F4A96"/>
    <w:rsid w:val="003F588B"/>
    <w:rsid w:val="003F5A3A"/>
    <w:rsid w:val="003F6944"/>
    <w:rsid w:val="003F79DC"/>
    <w:rsid w:val="004014FA"/>
    <w:rsid w:val="0040163B"/>
    <w:rsid w:val="00401A1E"/>
    <w:rsid w:val="00401BDF"/>
    <w:rsid w:val="0040298E"/>
    <w:rsid w:val="00402D25"/>
    <w:rsid w:val="00403DE6"/>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36C8"/>
    <w:rsid w:val="00433734"/>
    <w:rsid w:val="004347D4"/>
    <w:rsid w:val="00434F44"/>
    <w:rsid w:val="00435663"/>
    <w:rsid w:val="00436641"/>
    <w:rsid w:val="00437DD6"/>
    <w:rsid w:val="004405AE"/>
    <w:rsid w:val="00444C8B"/>
    <w:rsid w:val="00445982"/>
    <w:rsid w:val="004462DD"/>
    <w:rsid w:val="00451340"/>
    <w:rsid w:val="00451DFE"/>
    <w:rsid w:val="00452980"/>
    <w:rsid w:val="00453D4F"/>
    <w:rsid w:val="00455CB2"/>
    <w:rsid w:val="004561AF"/>
    <w:rsid w:val="00457A7D"/>
    <w:rsid w:val="0046043A"/>
    <w:rsid w:val="004605E1"/>
    <w:rsid w:val="00461662"/>
    <w:rsid w:val="004640AC"/>
    <w:rsid w:val="0046418E"/>
    <w:rsid w:val="00464C6A"/>
    <w:rsid w:val="004668E2"/>
    <w:rsid w:val="00467285"/>
    <w:rsid w:val="0047167F"/>
    <w:rsid w:val="00471693"/>
    <w:rsid w:val="00471EAF"/>
    <w:rsid w:val="00474668"/>
    <w:rsid w:val="004757BC"/>
    <w:rsid w:val="00476763"/>
    <w:rsid w:val="00476B90"/>
    <w:rsid w:val="004776A7"/>
    <w:rsid w:val="00481713"/>
    <w:rsid w:val="00481C51"/>
    <w:rsid w:val="00483CFF"/>
    <w:rsid w:val="00485A5F"/>
    <w:rsid w:val="00486B2A"/>
    <w:rsid w:val="00487F21"/>
    <w:rsid w:val="004916A4"/>
    <w:rsid w:val="00495C87"/>
    <w:rsid w:val="004977A7"/>
    <w:rsid w:val="004A030F"/>
    <w:rsid w:val="004A3AEE"/>
    <w:rsid w:val="004A43C7"/>
    <w:rsid w:val="004A6C80"/>
    <w:rsid w:val="004A7165"/>
    <w:rsid w:val="004A735B"/>
    <w:rsid w:val="004A749F"/>
    <w:rsid w:val="004A74EF"/>
    <w:rsid w:val="004B03CA"/>
    <w:rsid w:val="004B0A8D"/>
    <w:rsid w:val="004B0ADF"/>
    <w:rsid w:val="004B1C5E"/>
    <w:rsid w:val="004B22C1"/>
    <w:rsid w:val="004B24FB"/>
    <w:rsid w:val="004B2CC1"/>
    <w:rsid w:val="004B5584"/>
    <w:rsid w:val="004B5EEA"/>
    <w:rsid w:val="004B60F8"/>
    <w:rsid w:val="004B7758"/>
    <w:rsid w:val="004C0E8E"/>
    <w:rsid w:val="004C135F"/>
    <w:rsid w:val="004C18B4"/>
    <w:rsid w:val="004C3DB9"/>
    <w:rsid w:val="004C6215"/>
    <w:rsid w:val="004C6631"/>
    <w:rsid w:val="004C6AD9"/>
    <w:rsid w:val="004C7188"/>
    <w:rsid w:val="004C74F0"/>
    <w:rsid w:val="004D3F7D"/>
    <w:rsid w:val="004D6A89"/>
    <w:rsid w:val="004E0827"/>
    <w:rsid w:val="004E12DB"/>
    <w:rsid w:val="004E2AC7"/>
    <w:rsid w:val="004E4EF8"/>
    <w:rsid w:val="004E5C3D"/>
    <w:rsid w:val="004E5C84"/>
    <w:rsid w:val="004E5FDF"/>
    <w:rsid w:val="004F5735"/>
    <w:rsid w:val="004F6998"/>
    <w:rsid w:val="004F6CA8"/>
    <w:rsid w:val="0050017C"/>
    <w:rsid w:val="00500609"/>
    <w:rsid w:val="00501369"/>
    <w:rsid w:val="00501EFD"/>
    <w:rsid w:val="0050273F"/>
    <w:rsid w:val="00503C3F"/>
    <w:rsid w:val="00504937"/>
    <w:rsid w:val="00504FC5"/>
    <w:rsid w:val="00510054"/>
    <w:rsid w:val="0051008E"/>
    <w:rsid w:val="005104C8"/>
    <w:rsid w:val="00510A35"/>
    <w:rsid w:val="0051127D"/>
    <w:rsid w:val="00514F61"/>
    <w:rsid w:val="00515103"/>
    <w:rsid w:val="005160A3"/>
    <w:rsid w:val="005176DB"/>
    <w:rsid w:val="00521245"/>
    <w:rsid w:val="00521DD7"/>
    <w:rsid w:val="00523048"/>
    <w:rsid w:val="00523F4E"/>
    <w:rsid w:val="00525FA1"/>
    <w:rsid w:val="00527E67"/>
    <w:rsid w:val="00532333"/>
    <w:rsid w:val="00533654"/>
    <w:rsid w:val="00535CAA"/>
    <w:rsid w:val="00536193"/>
    <w:rsid w:val="00536EEF"/>
    <w:rsid w:val="00537536"/>
    <w:rsid w:val="0054164A"/>
    <w:rsid w:val="00541736"/>
    <w:rsid w:val="00541786"/>
    <w:rsid w:val="00541DDB"/>
    <w:rsid w:val="005454B3"/>
    <w:rsid w:val="00546DD9"/>
    <w:rsid w:val="00550B80"/>
    <w:rsid w:val="0055294F"/>
    <w:rsid w:val="00552ACA"/>
    <w:rsid w:val="00554BC7"/>
    <w:rsid w:val="00554E92"/>
    <w:rsid w:val="005552BF"/>
    <w:rsid w:val="00555656"/>
    <w:rsid w:val="00557EBE"/>
    <w:rsid w:val="0056005B"/>
    <w:rsid w:val="00561007"/>
    <w:rsid w:val="00561137"/>
    <w:rsid w:val="00561B0D"/>
    <w:rsid w:val="00561E14"/>
    <w:rsid w:val="005621F0"/>
    <w:rsid w:val="005640E2"/>
    <w:rsid w:val="005663CA"/>
    <w:rsid w:val="0056648E"/>
    <w:rsid w:val="00566FC0"/>
    <w:rsid w:val="00567CF8"/>
    <w:rsid w:val="0057095D"/>
    <w:rsid w:val="0057379A"/>
    <w:rsid w:val="00574C57"/>
    <w:rsid w:val="00576DFC"/>
    <w:rsid w:val="00576E85"/>
    <w:rsid w:val="00580A18"/>
    <w:rsid w:val="00582453"/>
    <w:rsid w:val="00584795"/>
    <w:rsid w:val="00585E1F"/>
    <w:rsid w:val="00586647"/>
    <w:rsid w:val="00586DD3"/>
    <w:rsid w:val="0058747A"/>
    <w:rsid w:val="0059046B"/>
    <w:rsid w:val="005924F3"/>
    <w:rsid w:val="00593371"/>
    <w:rsid w:val="005937AF"/>
    <w:rsid w:val="00594224"/>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4A52"/>
    <w:rsid w:val="005B7F7F"/>
    <w:rsid w:val="005C1D70"/>
    <w:rsid w:val="005C20D4"/>
    <w:rsid w:val="005C270D"/>
    <w:rsid w:val="005C2C8A"/>
    <w:rsid w:val="005C2EE4"/>
    <w:rsid w:val="005C5BDE"/>
    <w:rsid w:val="005C62A8"/>
    <w:rsid w:val="005C6E3A"/>
    <w:rsid w:val="005C75FC"/>
    <w:rsid w:val="005D1638"/>
    <w:rsid w:val="005D1A45"/>
    <w:rsid w:val="005D2815"/>
    <w:rsid w:val="005D4CBE"/>
    <w:rsid w:val="005D65A6"/>
    <w:rsid w:val="005E124F"/>
    <w:rsid w:val="005E4FA5"/>
    <w:rsid w:val="005E555C"/>
    <w:rsid w:val="005E70C5"/>
    <w:rsid w:val="005F1BF0"/>
    <w:rsid w:val="005F2A8F"/>
    <w:rsid w:val="005F3604"/>
    <w:rsid w:val="005F5466"/>
    <w:rsid w:val="005F6076"/>
    <w:rsid w:val="005F6431"/>
    <w:rsid w:val="005F7CCF"/>
    <w:rsid w:val="006013B0"/>
    <w:rsid w:val="00602E16"/>
    <w:rsid w:val="00604CEB"/>
    <w:rsid w:val="00606134"/>
    <w:rsid w:val="006074D8"/>
    <w:rsid w:val="006128A4"/>
    <w:rsid w:val="006144FA"/>
    <w:rsid w:val="0061454E"/>
    <w:rsid w:val="00616FAF"/>
    <w:rsid w:val="00620AF4"/>
    <w:rsid w:val="00622141"/>
    <w:rsid w:val="00622359"/>
    <w:rsid w:val="00623071"/>
    <w:rsid w:val="00630922"/>
    <w:rsid w:val="006337D1"/>
    <w:rsid w:val="006338E9"/>
    <w:rsid w:val="006360E6"/>
    <w:rsid w:val="006366A0"/>
    <w:rsid w:val="00636D2B"/>
    <w:rsid w:val="00637581"/>
    <w:rsid w:val="006401E3"/>
    <w:rsid w:val="00640B9F"/>
    <w:rsid w:val="0064183D"/>
    <w:rsid w:val="00641B11"/>
    <w:rsid w:val="00641B69"/>
    <w:rsid w:val="00641FCD"/>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37B4"/>
    <w:rsid w:val="006749B4"/>
    <w:rsid w:val="00674AF5"/>
    <w:rsid w:val="006752AA"/>
    <w:rsid w:val="00676E6E"/>
    <w:rsid w:val="006804F0"/>
    <w:rsid w:val="00681DA6"/>
    <w:rsid w:val="006820A3"/>
    <w:rsid w:val="00683301"/>
    <w:rsid w:val="0068595A"/>
    <w:rsid w:val="00690464"/>
    <w:rsid w:val="006915B4"/>
    <w:rsid w:val="00691AB3"/>
    <w:rsid w:val="00692783"/>
    <w:rsid w:val="006944EE"/>
    <w:rsid w:val="0069530B"/>
    <w:rsid w:val="0069631F"/>
    <w:rsid w:val="00697668"/>
    <w:rsid w:val="00697AC1"/>
    <w:rsid w:val="00697E2A"/>
    <w:rsid w:val="006A00C8"/>
    <w:rsid w:val="006A425E"/>
    <w:rsid w:val="006A43D1"/>
    <w:rsid w:val="006A5CEC"/>
    <w:rsid w:val="006A6909"/>
    <w:rsid w:val="006B0231"/>
    <w:rsid w:val="006B1745"/>
    <w:rsid w:val="006B3DC2"/>
    <w:rsid w:val="006B6B0B"/>
    <w:rsid w:val="006B78E2"/>
    <w:rsid w:val="006C1445"/>
    <w:rsid w:val="006C208B"/>
    <w:rsid w:val="006C2C33"/>
    <w:rsid w:val="006C463E"/>
    <w:rsid w:val="006C4C98"/>
    <w:rsid w:val="006C539B"/>
    <w:rsid w:val="006C55D5"/>
    <w:rsid w:val="006C579B"/>
    <w:rsid w:val="006C7478"/>
    <w:rsid w:val="006D1378"/>
    <w:rsid w:val="006D13B7"/>
    <w:rsid w:val="006D61A3"/>
    <w:rsid w:val="006E2D22"/>
    <w:rsid w:val="006E36B5"/>
    <w:rsid w:val="006E6949"/>
    <w:rsid w:val="006E764B"/>
    <w:rsid w:val="006F1067"/>
    <w:rsid w:val="006F2A5E"/>
    <w:rsid w:val="006F3415"/>
    <w:rsid w:val="006F357D"/>
    <w:rsid w:val="006F403D"/>
    <w:rsid w:val="006F40B1"/>
    <w:rsid w:val="006F48FD"/>
    <w:rsid w:val="00700187"/>
    <w:rsid w:val="00700517"/>
    <w:rsid w:val="00700C30"/>
    <w:rsid w:val="00700D75"/>
    <w:rsid w:val="00701764"/>
    <w:rsid w:val="00703EC9"/>
    <w:rsid w:val="00704B97"/>
    <w:rsid w:val="007063C7"/>
    <w:rsid w:val="007073E7"/>
    <w:rsid w:val="00710280"/>
    <w:rsid w:val="00710C98"/>
    <w:rsid w:val="00711668"/>
    <w:rsid w:val="00715270"/>
    <w:rsid w:val="00720171"/>
    <w:rsid w:val="0072079E"/>
    <w:rsid w:val="00722C6E"/>
    <w:rsid w:val="00722C75"/>
    <w:rsid w:val="00724C8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60A3"/>
    <w:rsid w:val="007610E9"/>
    <w:rsid w:val="00761634"/>
    <w:rsid w:val="00761B2E"/>
    <w:rsid w:val="0076247F"/>
    <w:rsid w:val="00762C7F"/>
    <w:rsid w:val="00763276"/>
    <w:rsid w:val="007640FB"/>
    <w:rsid w:val="00764874"/>
    <w:rsid w:val="00765643"/>
    <w:rsid w:val="00767B5B"/>
    <w:rsid w:val="00771C67"/>
    <w:rsid w:val="0077322A"/>
    <w:rsid w:val="007769AC"/>
    <w:rsid w:val="00776E82"/>
    <w:rsid w:val="00777A0C"/>
    <w:rsid w:val="00777E17"/>
    <w:rsid w:val="00780DBF"/>
    <w:rsid w:val="007848F1"/>
    <w:rsid w:val="0078542B"/>
    <w:rsid w:val="00786B29"/>
    <w:rsid w:val="00790095"/>
    <w:rsid w:val="00792FEE"/>
    <w:rsid w:val="00793F36"/>
    <w:rsid w:val="007944DE"/>
    <w:rsid w:val="00795A19"/>
    <w:rsid w:val="00795AA4"/>
    <w:rsid w:val="0079616F"/>
    <w:rsid w:val="007A1033"/>
    <w:rsid w:val="007A1072"/>
    <w:rsid w:val="007A1139"/>
    <w:rsid w:val="007A14BB"/>
    <w:rsid w:val="007A1E85"/>
    <w:rsid w:val="007B054B"/>
    <w:rsid w:val="007B2299"/>
    <w:rsid w:val="007B34D9"/>
    <w:rsid w:val="007B3FC8"/>
    <w:rsid w:val="007B5976"/>
    <w:rsid w:val="007C192B"/>
    <w:rsid w:val="007C1B56"/>
    <w:rsid w:val="007C3457"/>
    <w:rsid w:val="007C38EF"/>
    <w:rsid w:val="007C3C1D"/>
    <w:rsid w:val="007C4C9B"/>
    <w:rsid w:val="007C4D25"/>
    <w:rsid w:val="007C618C"/>
    <w:rsid w:val="007D1ACF"/>
    <w:rsid w:val="007D1EED"/>
    <w:rsid w:val="007D2107"/>
    <w:rsid w:val="007D272C"/>
    <w:rsid w:val="007D2FA0"/>
    <w:rsid w:val="007E0EC5"/>
    <w:rsid w:val="007E2571"/>
    <w:rsid w:val="007E4510"/>
    <w:rsid w:val="007E4864"/>
    <w:rsid w:val="007E4A30"/>
    <w:rsid w:val="007F38F2"/>
    <w:rsid w:val="007F3CA0"/>
    <w:rsid w:val="007F3D57"/>
    <w:rsid w:val="007F5627"/>
    <w:rsid w:val="0080074E"/>
    <w:rsid w:val="008026F9"/>
    <w:rsid w:val="00805AB8"/>
    <w:rsid w:val="00805CB4"/>
    <w:rsid w:val="008076EA"/>
    <w:rsid w:val="0081079C"/>
    <w:rsid w:val="008116EB"/>
    <w:rsid w:val="00811FA0"/>
    <w:rsid w:val="00813345"/>
    <w:rsid w:val="00813A08"/>
    <w:rsid w:val="00813A36"/>
    <w:rsid w:val="008153C1"/>
    <w:rsid w:val="008166CE"/>
    <w:rsid w:val="00816F06"/>
    <w:rsid w:val="0081759E"/>
    <w:rsid w:val="008175CE"/>
    <w:rsid w:val="0082064B"/>
    <w:rsid w:val="00821980"/>
    <w:rsid w:val="0082351A"/>
    <w:rsid w:val="008256D1"/>
    <w:rsid w:val="00826B63"/>
    <w:rsid w:val="00827195"/>
    <w:rsid w:val="00827BE6"/>
    <w:rsid w:val="008322D2"/>
    <w:rsid w:val="008340D4"/>
    <w:rsid w:val="008368F4"/>
    <w:rsid w:val="008377F6"/>
    <w:rsid w:val="008379ED"/>
    <w:rsid w:val="00844036"/>
    <w:rsid w:val="0084548F"/>
    <w:rsid w:val="00846C36"/>
    <w:rsid w:val="008474A3"/>
    <w:rsid w:val="008479AB"/>
    <w:rsid w:val="00847DBE"/>
    <w:rsid w:val="00852B9E"/>
    <w:rsid w:val="00853814"/>
    <w:rsid w:val="0085393F"/>
    <w:rsid w:val="00855D23"/>
    <w:rsid w:val="008562FA"/>
    <w:rsid w:val="00860550"/>
    <w:rsid w:val="00860C58"/>
    <w:rsid w:val="0086190C"/>
    <w:rsid w:val="0086211A"/>
    <w:rsid w:val="00863934"/>
    <w:rsid w:val="00863F00"/>
    <w:rsid w:val="00864A80"/>
    <w:rsid w:val="00866BD1"/>
    <w:rsid w:val="00870A4A"/>
    <w:rsid w:val="00871658"/>
    <w:rsid w:val="00872DE1"/>
    <w:rsid w:val="0087464F"/>
    <w:rsid w:val="00876895"/>
    <w:rsid w:val="00880FEA"/>
    <w:rsid w:val="00883AE2"/>
    <w:rsid w:val="0088428B"/>
    <w:rsid w:val="0089208C"/>
    <w:rsid w:val="00893ADD"/>
    <w:rsid w:val="008971E2"/>
    <w:rsid w:val="008A07F2"/>
    <w:rsid w:val="008A1C1F"/>
    <w:rsid w:val="008A1F12"/>
    <w:rsid w:val="008A37E4"/>
    <w:rsid w:val="008A393E"/>
    <w:rsid w:val="008A3A52"/>
    <w:rsid w:val="008A3DF0"/>
    <w:rsid w:val="008A411B"/>
    <w:rsid w:val="008A68EC"/>
    <w:rsid w:val="008A735B"/>
    <w:rsid w:val="008A7BD3"/>
    <w:rsid w:val="008B04EB"/>
    <w:rsid w:val="008B080F"/>
    <w:rsid w:val="008B7BFF"/>
    <w:rsid w:val="008C0CC1"/>
    <w:rsid w:val="008C20D8"/>
    <w:rsid w:val="008C2876"/>
    <w:rsid w:val="008C34B1"/>
    <w:rsid w:val="008C3583"/>
    <w:rsid w:val="008C554E"/>
    <w:rsid w:val="008D07E1"/>
    <w:rsid w:val="008D2097"/>
    <w:rsid w:val="008E287E"/>
    <w:rsid w:val="008E47F2"/>
    <w:rsid w:val="008E4A58"/>
    <w:rsid w:val="008E54FB"/>
    <w:rsid w:val="008E6051"/>
    <w:rsid w:val="008E760E"/>
    <w:rsid w:val="008F08CB"/>
    <w:rsid w:val="008F0DD1"/>
    <w:rsid w:val="008F296E"/>
    <w:rsid w:val="008F4169"/>
    <w:rsid w:val="008F62C2"/>
    <w:rsid w:val="008F6CC3"/>
    <w:rsid w:val="008F7825"/>
    <w:rsid w:val="00901193"/>
    <w:rsid w:val="0090223B"/>
    <w:rsid w:val="00903A85"/>
    <w:rsid w:val="00906EE2"/>
    <w:rsid w:val="00907541"/>
    <w:rsid w:val="00910D15"/>
    <w:rsid w:val="00911A75"/>
    <w:rsid w:val="00912DFA"/>
    <w:rsid w:val="00913388"/>
    <w:rsid w:val="009154D2"/>
    <w:rsid w:val="009161C8"/>
    <w:rsid w:val="009168B1"/>
    <w:rsid w:val="00920818"/>
    <w:rsid w:val="0092187B"/>
    <w:rsid w:val="00923460"/>
    <w:rsid w:val="00924B94"/>
    <w:rsid w:val="00926778"/>
    <w:rsid w:val="009300E4"/>
    <w:rsid w:val="009317EE"/>
    <w:rsid w:val="00934B0C"/>
    <w:rsid w:val="00935850"/>
    <w:rsid w:val="0093745C"/>
    <w:rsid w:val="00942FDB"/>
    <w:rsid w:val="00943357"/>
    <w:rsid w:val="00946F6C"/>
    <w:rsid w:val="00947DED"/>
    <w:rsid w:val="00953C2E"/>
    <w:rsid w:val="0095430A"/>
    <w:rsid w:val="00955508"/>
    <w:rsid w:val="00955B83"/>
    <w:rsid w:val="0095698B"/>
    <w:rsid w:val="009625CF"/>
    <w:rsid w:val="009643F3"/>
    <w:rsid w:val="00964764"/>
    <w:rsid w:val="00965591"/>
    <w:rsid w:val="0096636E"/>
    <w:rsid w:val="009671F3"/>
    <w:rsid w:val="00970279"/>
    <w:rsid w:val="009708E7"/>
    <w:rsid w:val="00970E66"/>
    <w:rsid w:val="00971920"/>
    <w:rsid w:val="00972451"/>
    <w:rsid w:val="00973CF0"/>
    <w:rsid w:val="0097511A"/>
    <w:rsid w:val="00976E74"/>
    <w:rsid w:val="0097711C"/>
    <w:rsid w:val="0097733B"/>
    <w:rsid w:val="0097792A"/>
    <w:rsid w:val="00984E45"/>
    <w:rsid w:val="00986CBE"/>
    <w:rsid w:val="00987034"/>
    <w:rsid w:val="009912CD"/>
    <w:rsid w:val="00992643"/>
    <w:rsid w:val="0099294C"/>
    <w:rsid w:val="00993224"/>
    <w:rsid w:val="00993CB7"/>
    <w:rsid w:val="0099420D"/>
    <w:rsid w:val="009946ED"/>
    <w:rsid w:val="009965F3"/>
    <w:rsid w:val="00996753"/>
    <w:rsid w:val="00996FBD"/>
    <w:rsid w:val="0099792E"/>
    <w:rsid w:val="009A07C4"/>
    <w:rsid w:val="009A1A67"/>
    <w:rsid w:val="009A2568"/>
    <w:rsid w:val="009A59C0"/>
    <w:rsid w:val="009A6D30"/>
    <w:rsid w:val="009A79D6"/>
    <w:rsid w:val="009B324B"/>
    <w:rsid w:val="009B4084"/>
    <w:rsid w:val="009B4BFC"/>
    <w:rsid w:val="009B5F3E"/>
    <w:rsid w:val="009B610E"/>
    <w:rsid w:val="009B6C0E"/>
    <w:rsid w:val="009B73D0"/>
    <w:rsid w:val="009C0C11"/>
    <w:rsid w:val="009C462D"/>
    <w:rsid w:val="009C4C1A"/>
    <w:rsid w:val="009C70D0"/>
    <w:rsid w:val="009D0D22"/>
    <w:rsid w:val="009D2044"/>
    <w:rsid w:val="009D2E76"/>
    <w:rsid w:val="009D38FF"/>
    <w:rsid w:val="009D61D9"/>
    <w:rsid w:val="009D67BC"/>
    <w:rsid w:val="009E097A"/>
    <w:rsid w:val="009E0C54"/>
    <w:rsid w:val="009E2463"/>
    <w:rsid w:val="009E2E5E"/>
    <w:rsid w:val="009E310A"/>
    <w:rsid w:val="009E4EE0"/>
    <w:rsid w:val="009E61BE"/>
    <w:rsid w:val="009E7C40"/>
    <w:rsid w:val="009F0864"/>
    <w:rsid w:val="009F1A0E"/>
    <w:rsid w:val="009F343D"/>
    <w:rsid w:val="009F44E7"/>
    <w:rsid w:val="009F4D29"/>
    <w:rsid w:val="009F5C93"/>
    <w:rsid w:val="009F76E1"/>
    <w:rsid w:val="00A00F0D"/>
    <w:rsid w:val="00A045AC"/>
    <w:rsid w:val="00A058DB"/>
    <w:rsid w:val="00A05B45"/>
    <w:rsid w:val="00A064D0"/>
    <w:rsid w:val="00A12833"/>
    <w:rsid w:val="00A16430"/>
    <w:rsid w:val="00A21621"/>
    <w:rsid w:val="00A226E8"/>
    <w:rsid w:val="00A24052"/>
    <w:rsid w:val="00A2477C"/>
    <w:rsid w:val="00A24BB9"/>
    <w:rsid w:val="00A250B2"/>
    <w:rsid w:val="00A26FC7"/>
    <w:rsid w:val="00A27AE9"/>
    <w:rsid w:val="00A3141F"/>
    <w:rsid w:val="00A32053"/>
    <w:rsid w:val="00A32FC4"/>
    <w:rsid w:val="00A331BB"/>
    <w:rsid w:val="00A34720"/>
    <w:rsid w:val="00A35FFE"/>
    <w:rsid w:val="00A377B7"/>
    <w:rsid w:val="00A378C7"/>
    <w:rsid w:val="00A431F3"/>
    <w:rsid w:val="00A47A20"/>
    <w:rsid w:val="00A47CCC"/>
    <w:rsid w:val="00A50F29"/>
    <w:rsid w:val="00A51E69"/>
    <w:rsid w:val="00A53D2B"/>
    <w:rsid w:val="00A55FB0"/>
    <w:rsid w:val="00A57EE1"/>
    <w:rsid w:val="00A60B70"/>
    <w:rsid w:val="00A621CF"/>
    <w:rsid w:val="00A62E58"/>
    <w:rsid w:val="00A652A6"/>
    <w:rsid w:val="00A65309"/>
    <w:rsid w:val="00A67E9D"/>
    <w:rsid w:val="00A70457"/>
    <w:rsid w:val="00A706A7"/>
    <w:rsid w:val="00A73A74"/>
    <w:rsid w:val="00A74278"/>
    <w:rsid w:val="00A74524"/>
    <w:rsid w:val="00A76874"/>
    <w:rsid w:val="00A83853"/>
    <w:rsid w:val="00A8769F"/>
    <w:rsid w:val="00A9134B"/>
    <w:rsid w:val="00A937FC"/>
    <w:rsid w:val="00A9647D"/>
    <w:rsid w:val="00A96B07"/>
    <w:rsid w:val="00A97B53"/>
    <w:rsid w:val="00AA160A"/>
    <w:rsid w:val="00AA1FC0"/>
    <w:rsid w:val="00AA7966"/>
    <w:rsid w:val="00AA7EEF"/>
    <w:rsid w:val="00AB115E"/>
    <w:rsid w:val="00AB5EBA"/>
    <w:rsid w:val="00AB6284"/>
    <w:rsid w:val="00AB6BC5"/>
    <w:rsid w:val="00AC047B"/>
    <w:rsid w:val="00AC04CC"/>
    <w:rsid w:val="00AC0516"/>
    <w:rsid w:val="00AC167C"/>
    <w:rsid w:val="00AC3520"/>
    <w:rsid w:val="00AC6525"/>
    <w:rsid w:val="00AC6A6D"/>
    <w:rsid w:val="00AD0AFA"/>
    <w:rsid w:val="00AD0D4D"/>
    <w:rsid w:val="00AD11F4"/>
    <w:rsid w:val="00AD283B"/>
    <w:rsid w:val="00AD2DFD"/>
    <w:rsid w:val="00AD3302"/>
    <w:rsid w:val="00AD38D4"/>
    <w:rsid w:val="00AD46E3"/>
    <w:rsid w:val="00AD53C2"/>
    <w:rsid w:val="00AE2A45"/>
    <w:rsid w:val="00AE2BF9"/>
    <w:rsid w:val="00AE42E2"/>
    <w:rsid w:val="00AE4DFA"/>
    <w:rsid w:val="00AE55FB"/>
    <w:rsid w:val="00AE565D"/>
    <w:rsid w:val="00AE6EE5"/>
    <w:rsid w:val="00AE7526"/>
    <w:rsid w:val="00AE758A"/>
    <w:rsid w:val="00AF005D"/>
    <w:rsid w:val="00AF1EA7"/>
    <w:rsid w:val="00AF2471"/>
    <w:rsid w:val="00AF4683"/>
    <w:rsid w:val="00B00175"/>
    <w:rsid w:val="00B00375"/>
    <w:rsid w:val="00B0334A"/>
    <w:rsid w:val="00B03F7E"/>
    <w:rsid w:val="00B0474F"/>
    <w:rsid w:val="00B04C15"/>
    <w:rsid w:val="00B07982"/>
    <w:rsid w:val="00B07B59"/>
    <w:rsid w:val="00B14624"/>
    <w:rsid w:val="00B150CC"/>
    <w:rsid w:val="00B15959"/>
    <w:rsid w:val="00B179AD"/>
    <w:rsid w:val="00B17F50"/>
    <w:rsid w:val="00B210EA"/>
    <w:rsid w:val="00B2176B"/>
    <w:rsid w:val="00B2343D"/>
    <w:rsid w:val="00B23E49"/>
    <w:rsid w:val="00B27019"/>
    <w:rsid w:val="00B27873"/>
    <w:rsid w:val="00B30004"/>
    <w:rsid w:val="00B33317"/>
    <w:rsid w:val="00B3333B"/>
    <w:rsid w:val="00B3460C"/>
    <w:rsid w:val="00B357B6"/>
    <w:rsid w:val="00B36319"/>
    <w:rsid w:val="00B369CD"/>
    <w:rsid w:val="00B439B7"/>
    <w:rsid w:val="00B44813"/>
    <w:rsid w:val="00B4544C"/>
    <w:rsid w:val="00B474AC"/>
    <w:rsid w:val="00B5314E"/>
    <w:rsid w:val="00B5372B"/>
    <w:rsid w:val="00B5385F"/>
    <w:rsid w:val="00B54567"/>
    <w:rsid w:val="00B54FAE"/>
    <w:rsid w:val="00B578FD"/>
    <w:rsid w:val="00B6130D"/>
    <w:rsid w:val="00B63131"/>
    <w:rsid w:val="00B63EE5"/>
    <w:rsid w:val="00B644C7"/>
    <w:rsid w:val="00B649F4"/>
    <w:rsid w:val="00B6531B"/>
    <w:rsid w:val="00B6558C"/>
    <w:rsid w:val="00B6706A"/>
    <w:rsid w:val="00B67D7C"/>
    <w:rsid w:val="00B67DCF"/>
    <w:rsid w:val="00B71633"/>
    <w:rsid w:val="00B72FCC"/>
    <w:rsid w:val="00B74D68"/>
    <w:rsid w:val="00B769AE"/>
    <w:rsid w:val="00B773B5"/>
    <w:rsid w:val="00B776AD"/>
    <w:rsid w:val="00B80029"/>
    <w:rsid w:val="00B80FDE"/>
    <w:rsid w:val="00B82A17"/>
    <w:rsid w:val="00B838F6"/>
    <w:rsid w:val="00B83A91"/>
    <w:rsid w:val="00B84B89"/>
    <w:rsid w:val="00B903C2"/>
    <w:rsid w:val="00B94F5D"/>
    <w:rsid w:val="00B95E75"/>
    <w:rsid w:val="00B96D80"/>
    <w:rsid w:val="00B97574"/>
    <w:rsid w:val="00BA5286"/>
    <w:rsid w:val="00BA53ED"/>
    <w:rsid w:val="00BA6A42"/>
    <w:rsid w:val="00BA7DAE"/>
    <w:rsid w:val="00BB036B"/>
    <w:rsid w:val="00BB4173"/>
    <w:rsid w:val="00BB50C7"/>
    <w:rsid w:val="00BB6462"/>
    <w:rsid w:val="00BB6C3C"/>
    <w:rsid w:val="00BB6E9A"/>
    <w:rsid w:val="00BB7679"/>
    <w:rsid w:val="00BB7988"/>
    <w:rsid w:val="00BC2A71"/>
    <w:rsid w:val="00BC48E9"/>
    <w:rsid w:val="00BD1F72"/>
    <w:rsid w:val="00BD416D"/>
    <w:rsid w:val="00BD42AF"/>
    <w:rsid w:val="00BD51DA"/>
    <w:rsid w:val="00BD69DB"/>
    <w:rsid w:val="00BD7022"/>
    <w:rsid w:val="00BE0002"/>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1ED4"/>
    <w:rsid w:val="00C225CC"/>
    <w:rsid w:val="00C22EEC"/>
    <w:rsid w:val="00C27AC7"/>
    <w:rsid w:val="00C27B8D"/>
    <w:rsid w:val="00C30119"/>
    <w:rsid w:val="00C30752"/>
    <w:rsid w:val="00C30D5C"/>
    <w:rsid w:val="00C324AD"/>
    <w:rsid w:val="00C3489D"/>
    <w:rsid w:val="00C359A4"/>
    <w:rsid w:val="00C35BE3"/>
    <w:rsid w:val="00C36F28"/>
    <w:rsid w:val="00C376E4"/>
    <w:rsid w:val="00C424A1"/>
    <w:rsid w:val="00C436F7"/>
    <w:rsid w:val="00C4372C"/>
    <w:rsid w:val="00C44320"/>
    <w:rsid w:val="00C45D21"/>
    <w:rsid w:val="00C46115"/>
    <w:rsid w:val="00C4651E"/>
    <w:rsid w:val="00C47141"/>
    <w:rsid w:val="00C509A4"/>
    <w:rsid w:val="00C50FA0"/>
    <w:rsid w:val="00C53CA8"/>
    <w:rsid w:val="00C55370"/>
    <w:rsid w:val="00C56554"/>
    <w:rsid w:val="00C60C46"/>
    <w:rsid w:val="00C6183A"/>
    <w:rsid w:val="00C6246C"/>
    <w:rsid w:val="00C629F0"/>
    <w:rsid w:val="00C6427B"/>
    <w:rsid w:val="00C649C2"/>
    <w:rsid w:val="00C65547"/>
    <w:rsid w:val="00C70434"/>
    <w:rsid w:val="00C72698"/>
    <w:rsid w:val="00C74069"/>
    <w:rsid w:val="00C7487B"/>
    <w:rsid w:val="00C767CF"/>
    <w:rsid w:val="00C76DDE"/>
    <w:rsid w:val="00C8103E"/>
    <w:rsid w:val="00C8191A"/>
    <w:rsid w:val="00C82227"/>
    <w:rsid w:val="00C8276E"/>
    <w:rsid w:val="00C85BF7"/>
    <w:rsid w:val="00C90203"/>
    <w:rsid w:val="00C91064"/>
    <w:rsid w:val="00C91248"/>
    <w:rsid w:val="00C919D2"/>
    <w:rsid w:val="00C946FA"/>
    <w:rsid w:val="00C94AA5"/>
    <w:rsid w:val="00CA0BC4"/>
    <w:rsid w:val="00CA339B"/>
    <w:rsid w:val="00CA39AE"/>
    <w:rsid w:val="00CA3D49"/>
    <w:rsid w:val="00CA40B5"/>
    <w:rsid w:val="00CA45CE"/>
    <w:rsid w:val="00CA52C6"/>
    <w:rsid w:val="00CA5403"/>
    <w:rsid w:val="00CA5868"/>
    <w:rsid w:val="00CA5AA1"/>
    <w:rsid w:val="00CB3B9C"/>
    <w:rsid w:val="00CB3BE4"/>
    <w:rsid w:val="00CB5273"/>
    <w:rsid w:val="00CB53FD"/>
    <w:rsid w:val="00CB771C"/>
    <w:rsid w:val="00CB7EF4"/>
    <w:rsid w:val="00CC0B0F"/>
    <w:rsid w:val="00CC6616"/>
    <w:rsid w:val="00CC6B0E"/>
    <w:rsid w:val="00CC7074"/>
    <w:rsid w:val="00CC7148"/>
    <w:rsid w:val="00CD1DA2"/>
    <w:rsid w:val="00CD28DB"/>
    <w:rsid w:val="00CD5095"/>
    <w:rsid w:val="00CD7712"/>
    <w:rsid w:val="00CD7C87"/>
    <w:rsid w:val="00CE0896"/>
    <w:rsid w:val="00CE0DBE"/>
    <w:rsid w:val="00CE0E6B"/>
    <w:rsid w:val="00CE1B12"/>
    <w:rsid w:val="00CE7481"/>
    <w:rsid w:val="00CE7977"/>
    <w:rsid w:val="00CF00BC"/>
    <w:rsid w:val="00CF148B"/>
    <w:rsid w:val="00CF235D"/>
    <w:rsid w:val="00CF2C8B"/>
    <w:rsid w:val="00CF4445"/>
    <w:rsid w:val="00CF4FAE"/>
    <w:rsid w:val="00CF6612"/>
    <w:rsid w:val="00CF70C7"/>
    <w:rsid w:val="00D00DCB"/>
    <w:rsid w:val="00D03E6A"/>
    <w:rsid w:val="00D05634"/>
    <w:rsid w:val="00D05E28"/>
    <w:rsid w:val="00D065E1"/>
    <w:rsid w:val="00D076A2"/>
    <w:rsid w:val="00D104B7"/>
    <w:rsid w:val="00D1115A"/>
    <w:rsid w:val="00D13D31"/>
    <w:rsid w:val="00D1401E"/>
    <w:rsid w:val="00D144C0"/>
    <w:rsid w:val="00D16587"/>
    <w:rsid w:val="00D21337"/>
    <w:rsid w:val="00D223D1"/>
    <w:rsid w:val="00D22A11"/>
    <w:rsid w:val="00D22D35"/>
    <w:rsid w:val="00D23B63"/>
    <w:rsid w:val="00D25644"/>
    <w:rsid w:val="00D25B15"/>
    <w:rsid w:val="00D25D66"/>
    <w:rsid w:val="00D26DB9"/>
    <w:rsid w:val="00D31089"/>
    <w:rsid w:val="00D3259B"/>
    <w:rsid w:val="00D342F3"/>
    <w:rsid w:val="00D345DA"/>
    <w:rsid w:val="00D40E3B"/>
    <w:rsid w:val="00D4201B"/>
    <w:rsid w:val="00D425BA"/>
    <w:rsid w:val="00D42EC7"/>
    <w:rsid w:val="00D43380"/>
    <w:rsid w:val="00D4354A"/>
    <w:rsid w:val="00D45420"/>
    <w:rsid w:val="00D4561D"/>
    <w:rsid w:val="00D46273"/>
    <w:rsid w:val="00D468BB"/>
    <w:rsid w:val="00D51A0B"/>
    <w:rsid w:val="00D528C4"/>
    <w:rsid w:val="00D5454C"/>
    <w:rsid w:val="00D57285"/>
    <w:rsid w:val="00D5745D"/>
    <w:rsid w:val="00D57568"/>
    <w:rsid w:val="00D63140"/>
    <w:rsid w:val="00D63F63"/>
    <w:rsid w:val="00D64199"/>
    <w:rsid w:val="00D6585E"/>
    <w:rsid w:val="00D73A1E"/>
    <w:rsid w:val="00D82643"/>
    <w:rsid w:val="00D826B0"/>
    <w:rsid w:val="00D8342F"/>
    <w:rsid w:val="00D84F5A"/>
    <w:rsid w:val="00D907B8"/>
    <w:rsid w:val="00D91DCE"/>
    <w:rsid w:val="00D9586A"/>
    <w:rsid w:val="00D959FE"/>
    <w:rsid w:val="00D96E34"/>
    <w:rsid w:val="00DA2789"/>
    <w:rsid w:val="00DA3892"/>
    <w:rsid w:val="00DA473D"/>
    <w:rsid w:val="00DB291A"/>
    <w:rsid w:val="00DC1DF1"/>
    <w:rsid w:val="00DC1EA1"/>
    <w:rsid w:val="00DC2AD3"/>
    <w:rsid w:val="00DC38A3"/>
    <w:rsid w:val="00DD0F2B"/>
    <w:rsid w:val="00DD20F1"/>
    <w:rsid w:val="00DD2F4D"/>
    <w:rsid w:val="00DD3259"/>
    <w:rsid w:val="00DD60D2"/>
    <w:rsid w:val="00DE0BBF"/>
    <w:rsid w:val="00DE0E46"/>
    <w:rsid w:val="00DE1604"/>
    <w:rsid w:val="00DE21D1"/>
    <w:rsid w:val="00DE239C"/>
    <w:rsid w:val="00DE2BA7"/>
    <w:rsid w:val="00DE3B37"/>
    <w:rsid w:val="00DE46AE"/>
    <w:rsid w:val="00DF0431"/>
    <w:rsid w:val="00DF4854"/>
    <w:rsid w:val="00DF5E15"/>
    <w:rsid w:val="00DF706F"/>
    <w:rsid w:val="00DF747E"/>
    <w:rsid w:val="00E021B8"/>
    <w:rsid w:val="00E028F2"/>
    <w:rsid w:val="00E03629"/>
    <w:rsid w:val="00E05405"/>
    <w:rsid w:val="00E069DA"/>
    <w:rsid w:val="00E1146A"/>
    <w:rsid w:val="00E13A75"/>
    <w:rsid w:val="00E13EF0"/>
    <w:rsid w:val="00E16B8F"/>
    <w:rsid w:val="00E2168A"/>
    <w:rsid w:val="00E23D0B"/>
    <w:rsid w:val="00E24014"/>
    <w:rsid w:val="00E274F6"/>
    <w:rsid w:val="00E27DC3"/>
    <w:rsid w:val="00E27F1B"/>
    <w:rsid w:val="00E301B8"/>
    <w:rsid w:val="00E31673"/>
    <w:rsid w:val="00E32147"/>
    <w:rsid w:val="00E325ED"/>
    <w:rsid w:val="00E344AB"/>
    <w:rsid w:val="00E34B6A"/>
    <w:rsid w:val="00E37122"/>
    <w:rsid w:val="00E412E1"/>
    <w:rsid w:val="00E417F0"/>
    <w:rsid w:val="00E42F55"/>
    <w:rsid w:val="00E43596"/>
    <w:rsid w:val="00E44503"/>
    <w:rsid w:val="00E44900"/>
    <w:rsid w:val="00E45715"/>
    <w:rsid w:val="00E47089"/>
    <w:rsid w:val="00E558CE"/>
    <w:rsid w:val="00E55E64"/>
    <w:rsid w:val="00E55ECE"/>
    <w:rsid w:val="00E63437"/>
    <w:rsid w:val="00E638F6"/>
    <w:rsid w:val="00E63B64"/>
    <w:rsid w:val="00E647A4"/>
    <w:rsid w:val="00E66080"/>
    <w:rsid w:val="00E71B82"/>
    <w:rsid w:val="00E71EFF"/>
    <w:rsid w:val="00E72138"/>
    <w:rsid w:val="00E750B5"/>
    <w:rsid w:val="00E760E2"/>
    <w:rsid w:val="00E776BB"/>
    <w:rsid w:val="00E827FD"/>
    <w:rsid w:val="00E82BC7"/>
    <w:rsid w:val="00E83801"/>
    <w:rsid w:val="00E878D6"/>
    <w:rsid w:val="00E93783"/>
    <w:rsid w:val="00E94954"/>
    <w:rsid w:val="00E95E1E"/>
    <w:rsid w:val="00EA046B"/>
    <w:rsid w:val="00EA0C36"/>
    <w:rsid w:val="00EA1249"/>
    <w:rsid w:val="00EA18D1"/>
    <w:rsid w:val="00EA3F2F"/>
    <w:rsid w:val="00EA4649"/>
    <w:rsid w:val="00EA62D2"/>
    <w:rsid w:val="00EA659F"/>
    <w:rsid w:val="00EA6620"/>
    <w:rsid w:val="00EA6B57"/>
    <w:rsid w:val="00EA781E"/>
    <w:rsid w:val="00EB2F6B"/>
    <w:rsid w:val="00EB3B37"/>
    <w:rsid w:val="00EB5DBC"/>
    <w:rsid w:val="00EB6774"/>
    <w:rsid w:val="00EB777C"/>
    <w:rsid w:val="00EC2AC8"/>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650"/>
    <w:rsid w:val="00EE7A59"/>
    <w:rsid w:val="00EF085F"/>
    <w:rsid w:val="00EF11E8"/>
    <w:rsid w:val="00EF181D"/>
    <w:rsid w:val="00EF25B2"/>
    <w:rsid w:val="00EF3013"/>
    <w:rsid w:val="00EF35AA"/>
    <w:rsid w:val="00EF3841"/>
    <w:rsid w:val="00F05DD5"/>
    <w:rsid w:val="00F063C9"/>
    <w:rsid w:val="00F11508"/>
    <w:rsid w:val="00F12CB8"/>
    <w:rsid w:val="00F138A6"/>
    <w:rsid w:val="00F176A3"/>
    <w:rsid w:val="00F24999"/>
    <w:rsid w:val="00F254F0"/>
    <w:rsid w:val="00F2716B"/>
    <w:rsid w:val="00F274D6"/>
    <w:rsid w:val="00F27D3C"/>
    <w:rsid w:val="00F30A61"/>
    <w:rsid w:val="00F30A84"/>
    <w:rsid w:val="00F3264F"/>
    <w:rsid w:val="00F328D7"/>
    <w:rsid w:val="00F3407E"/>
    <w:rsid w:val="00F35770"/>
    <w:rsid w:val="00F36027"/>
    <w:rsid w:val="00F37C71"/>
    <w:rsid w:val="00F400EB"/>
    <w:rsid w:val="00F42628"/>
    <w:rsid w:val="00F431FB"/>
    <w:rsid w:val="00F4450B"/>
    <w:rsid w:val="00F445A9"/>
    <w:rsid w:val="00F46C1A"/>
    <w:rsid w:val="00F51667"/>
    <w:rsid w:val="00F5500E"/>
    <w:rsid w:val="00F558E5"/>
    <w:rsid w:val="00F579DA"/>
    <w:rsid w:val="00F579E0"/>
    <w:rsid w:val="00F57DC6"/>
    <w:rsid w:val="00F62470"/>
    <w:rsid w:val="00F634B8"/>
    <w:rsid w:val="00F63FDB"/>
    <w:rsid w:val="00F641F8"/>
    <w:rsid w:val="00F65D9E"/>
    <w:rsid w:val="00F67AD8"/>
    <w:rsid w:val="00F70A08"/>
    <w:rsid w:val="00F70A3A"/>
    <w:rsid w:val="00F71A29"/>
    <w:rsid w:val="00F7218D"/>
    <w:rsid w:val="00F7227E"/>
    <w:rsid w:val="00F754F0"/>
    <w:rsid w:val="00F76183"/>
    <w:rsid w:val="00F77310"/>
    <w:rsid w:val="00F7794F"/>
    <w:rsid w:val="00F80C68"/>
    <w:rsid w:val="00F81141"/>
    <w:rsid w:val="00F81A7C"/>
    <w:rsid w:val="00F839C5"/>
    <w:rsid w:val="00F84263"/>
    <w:rsid w:val="00F85DBD"/>
    <w:rsid w:val="00F86DA0"/>
    <w:rsid w:val="00F876C4"/>
    <w:rsid w:val="00F87DBE"/>
    <w:rsid w:val="00F9102F"/>
    <w:rsid w:val="00F9174A"/>
    <w:rsid w:val="00F91A74"/>
    <w:rsid w:val="00F938E9"/>
    <w:rsid w:val="00F945CB"/>
    <w:rsid w:val="00F94849"/>
    <w:rsid w:val="00F95EB1"/>
    <w:rsid w:val="00F96411"/>
    <w:rsid w:val="00FA1A29"/>
    <w:rsid w:val="00FA3A13"/>
    <w:rsid w:val="00FA40D0"/>
    <w:rsid w:val="00FA6D7B"/>
    <w:rsid w:val="00FA7582"/>
    <w:rsid w:val="00FB077F"/>
    <w:rsid w:val="00FB1799"/>
    <w:rsid w:val="00FB2425"/>
    <w:rsid w:val="00FB2D16"/>
    <w:rsid w:val="00FB6958"/>
    <w:rsid w:val="00FB6A1C"/>
    <w:rsid w:val="00FC1CD5"/>
    <w:rsid w:val="00FC208C"/>
    <w:rsid w:val="00FC2D34"/>
    <w:rsid w:val="00FC2D7E"/>
    <w:rsid w:val="00FC4B43"/>
    <w:rsid w:val="00FD070D"/>
    <w:rsid w:val="00FD0EF3"/>
    <w:rsid w:val="00FD0FBC"/>
    <w:rsid w:val="00FD1B7D"/>
    <w:rsid w:val="00FD29AD"/>
    <w:rsid w:val="00FD2D61"/>
    <w:rsid w:val="00FD3A94"/>
    <w:rsid w:val="00FD4403"/>
    <w:rsid w:val="00FD5A08"/>
    <w:rsid w:val="00FD7B03"/>
    <w:rsid w:val="00FD7EE3"/>
    <w:rsid w:val="00FE06B0"/>
    <w:rsid w:val="00FE1257"/>
    <w:rsid w:val="00FE2680"/>
    <w:rsid w:val="00FE3157"/>
    <w:rsid w:val="00FE3174"/>
    <w:rsid w:val="00FE3FBC"/>
    <w:rsid w:val="00FE52A3"/>
    <w:rsid w:val="00FE5CB8"/>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460">
      <w:bodyDiv w:val="1"/>
      <w:marLeft w:val="0"/>
      <w:marRight w:val="0"/>
      <w:marTop w:val="0"/>
      <w:marBottom w:val="0"/>
      <w:divBdr>
        <w:top w:val="none" w:sz="0" w:space="0" w:color="auto"/>
        <w:left w:val="none" w:sz="0" w:space="0" w:color="auto"/>
        <w:bottom w:val="none" w:sz="0" w:space="0" w:color="auto"/>
        <w:right w:val="none" w:sz="0" w:space="0" w:color="auto"/>
      </w:divBdr>
    </w:div>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wealthmanage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wealthmanag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reuters.com/markets/europe/gold-falls-dollar-inches-higher-fed-minutes-fail-surprise-2022-05-26/" TargetMode="External"/><Relationship Id="rId2" Type="http://schemas.openxmlformats.org/officeDocument/2006/relationships/hyperlink" Target="https://www.almfirst.com/may-2022-market-commentary/" TargetMode="External"/><Relationship Id="rId1" Type="http://schemas.openxmlformats.org/officeDocument/2006/relationships/hyperlink" Target="https://www.nasdaq.com/articles/may-2022-review-and-outl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May 31</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231-44B3-BF12-AC0CF34476A8}"/>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Sheet1!$B$2:$B$3</c:f>
              <c:numCache>
                <c:formatCode>0.0</c:formatCode>
                <c:ptCount val="2"/>
                <c:pt idx="0">
                  <c:v>0.2</c:v>
                </c:pt>
                <c:pt idx="1">
                  <c:v>-12.8</c:v>
                </c:pt>
              </c:numCache>
            </c:numRef>
          </c:val>
          <c:extLst>
            <c:ext xmlns:c16="http://schemas.microsoft.com/office/drawing/2014/chart" uri="{C3380CC4-5D6E-409C-BE32-E72D297353CC}">
              <c16:uniqueId val="{00000002-8231-44B3-BF12-AC0CF34476A8}"/>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31-44B3-BF12-AC0CF34476A8}"/>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Sheet1!$C$2:$C$3</c:f>
              <c:numCache>
                <c:formatCode>0.0</c:formatCode>
                <c:ptCount val="2"/>
                <c:pt idx="0" formatCode="General">
                  <c:v>0.9</c:v>
                </c:pt>
                <c:pt idx="1">
                  <c:v>-11</c:v>
                </c:pt>
              </c:numCache>
            </c:numRef>
          </c:val>
          <c:extLst>
            <c:ext xmlns:c16="http://schemas.microsoft.com/office/drawing/2014/chart" uri="{C3380CC4-5D6E-409C-BE32-E72D297353CC}">
              <c16:uniqueId val="{00000005-8231-44B3-BF12-AC0CF34476A8}"/>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231-44B3-BF12-AC0CF34476A8}"/>
                </c:ext>
              </c:extLst>
            </c:dLbl>
            <c:dLbl>
              <c:idx val="1"/>
              <c:layout>
                <c:manualLayout>
                  <c:x val="1.2254901960784314E-2"/>
                  <c:y val="9.2286734054437807E-3"/>
                </c:manualLayout>
              </c:layout>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Sheet1!$D$2:$D$3</c:f>
              <c:numCache>
                <c:formatCode>0.0</c:formatCode>
                <c:ptCount val="2"/>
                <c:pt idx="0" formatCode="#,##0.0">
                  <c:v>0.5</c:v>
                </c:pt>
                <c:pt idx="1">
                  <c:v>-11.7</c:v>
                </c:pt>
              </c:numCache>
            </c:numRef>
          </c:val>
          <c:extLst>
            <c:ext xmlns:c16="http://schemas.microsoft.com/office/drawing/2014/chart" uri="{C3380CC4-5D6E-409C-BE32-E72D297353CC}">
              <c16:uniqueId val="{00000008-8231-44B3-BF12-AC0CF34476A8}"/>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231-44B3-BF12-AC0CF34476A8}"/>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Sheet1!$E$2:$E$3</c:f>
              <c:numCache>
                <c:formatCode>0.0</c:formatCode>
                <c:ptCount val="2"/>
                <c:pt idx="0">
                  <c:v>0.6</c:v>
                </c:pt>
                <c:pt idx="1">
                  <c:v>-8.9</c:v>
                </c:pt>
              </c:numCache>
            </c:numRef>
          </c:val>
          <c:extLst>
            <c:ext xmlns:c16="http://schemas.microsoft.com/office/drawing/2014/chart" uri="{C3380CC4-5D6E-409C-BE32-E72D297353CC}">
              <c16:uniqueId val="{0000000B-8231-44B3-BF12-AC0CF34476A8}"/>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231-44B3-BF12-AC0CF34476A8}"/>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Sheet1!$F$2:$F$3</c:f>
              <c:numCache>
                <c:formatCode>0.0</c:formatCode>
                <c:ptCount val="2"/>
                <c:pt idx="0">
                  <c:v>0</c:v>
                </c:pt>
                <c:pt idx="1">
                  <c:v>-12.6</c:v>
                </c:pt>
              </c:numCache>
            </c:numRef>
          </c:val>
          <c:extLst>
            <c:ext xmlns:c16="http://schemas.microsoft.com/office/drawing/2014/chart" uri="{C3380CC4-5D6E-409C-BE32-E72D297353CC}">
              <c16:uniqueId val="{0000000E-8231-44B3-BF12-AC0CF34476A8}"/>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231-44B3-BF12-AC0CF34476A8}"/>
                </c:ext>
              </c:extLst>
            </c:dLbl>
            <c:dLbl>
              <c:idx val="1"/>
              <c:layout>
                <c:manualLayout>
                  <c:x val="4.9019607843137254E-3"/>
                  <c:y val="0"/>
                </c:manualLayout>
              </c:layout>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Sheet1!$G$2:$G$3</c:f>
              <c:numCache>
                <c:formatCode>0.0</c:formatCode>
                <c:ptCount val="2"/>
                <c:pt idx="0">
                  <c:v>0</c:v>
                </c:pt>
                <c:pt idx="1">
                  <c:v>-13.2</c:v>
                </c:pt>
              </c:numCache>
            </c:numRef>
          </c:val>
          <c:extLst>
            <c:ext xmlns:c16="http://schemas.microsoft.com/office/drawing/2014/chart" uri="{C3380CC4-5D6E-409C-BE32-E72D297353CC}">
              <c16:uniqueId val="{00000011-8231-44B3-BF12-AC0CF34476A8}"/>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May 31,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72-44F7-9E5E-9909EE094D4A}"/>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Sheet1!$B$2:$B$3</c:f>
              <c:numCache>
                <c:formatCode>0.0</c:formatCode>
                <c:ptCount val="2"/>
                <c:pt idx="0">
                  <c:v>0.24</c:v>
                </c:pt>
                <c:pt idx="1">
                  <c:v>-12</c:v>
                </c:pt>
              </c:numCache>
            </c:numRef>
          </c:val>
          <c:extLst>
            <c:ext xmlns:c16="http://schemas.microsoft.com/office/drawing/2014/chart" uri="{C3380CC4-5D6E-409C-BE32-E72D297353CC}">
              <c16:uniqueId val="{00000002-7172-44F7-9E5E-9909EE094D4A}"/>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72-44F7-9E5E-9909EE094D4A}"/>
                </c:ext>
              </c:extLst>
            </c:dLbl>
            <c:dLbl>
              <c:idx val="1"/>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Sheet1!$C$2:$C$3</c:f>
              <c:numCache>
                <c:formatCode>0.0</c:formatCode>
                <c:ptCount val="2"/>
                <c:pt idx="0">
                  <c:v>0.2</c:v>
                </c:pt>
                <c:pt idx="1">
                  <c:v>-12.6</c:v>
                </c:pt>
              </c:numCache>
            </c:numRef>
          </c:val>
          <c:extLst>
            <c:ext xmlns:c16="http://schemas.microsoft.com/office/drawing/2014/chart" uri="{C3380CC4-5D6E-409C-BE32-E72D297353CC}">
              <c16:uniqueId val="{00000005-7172-44F7-9E5E-9909EE094D4A}"/>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172-44F7-9E5E-9909EE094D4A}"/>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Sheet1!$D$2:$D$3</c:f>
              <c:numCache>
                <c:formatCode>0.0</c:formatCode>
                <c:ptCount val="2"/>
                <c:pt idx="0">
                  <c:v>0.3</c:v>
                </c:pt>
                <c:pt idx="1">
                  <c:v>-11.1</c:v>
                </c:pt>
              </c:numCache>
            </c:numRef>
          </c:val>
          <c:extLst>
            <c:ext xmlns:c16="http://schemas.microsoft.com/office/drawing/2014/chart" uri="{C3380CC4-5D6E-409C-BE32-E72D297353CC}">
              <c16:uniqueId val="{00000008-7172-44F7-9E5E-9909EE094D4A}"/>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172-44F7-9E5E-9909EE094D4A}"/>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Sheet1!$E$2:$E$3</c:f>
              <c:numCache>
                <c:formatCode>0.0</c:formatCode>
                <c:ptCount val="2"/>
                <c:pt idx="0">
                  <c:v>-4.7</c:v>
                </c:pt>
                <c:pt idx="1">
                  <c:v>-13</c:v>
                </c:pt>
              </c:numCache>
            </c:numRef>
          </c:val>
          <c:extLst>
            <c:ext xmlns:c16="http://schemas.microsoft.com/office/drawing/2014/chart" uri="{C3380CC4-5D6E-409C-BE32-E72D297353CC}">
              <c16:uniqueId val="{0000000B-7172-44F7-9E5E-9909EE094D4A}"/>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7172-44F7-9E5E-9909EE094D4A}"/>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Sheet1!$F$2:$F$3</c:f>
              <c:numCache>
                <c:formatCode>0.0</c:formatCode>
                <c:ptCount val="2"/>
                <c:pt idx="0">
                  <c:v>1.5</c:v>
                </c:pt>
                <c:pt idx="1">
                  <c:v>32.700000000000003</c:v>
                </c:pt>
              </c:numCache>
            </c:numRef>
          </c:val>
          <c:extLst>
            <c:ext xmlns:c16="http://schemas.microsoft.com/office/drawing/2014/chart" uri="{C3380CC4-5D6E-409C-BE32-E72D297353CC}">
              <c16:uniqueId val="{0000000E-7172-44F7-9E5E-9909EE094D4A}"/>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172-44F7-9E5E-9909EE094D4A}"/>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May-22</c:v>
                </c:pt>
                <c:pt idx="1">
                  <c:v>Year to Date</c:v>
                </c:pt>
              </c:strCache>
            </c:strRef>
          </c:cat>
          <c:val>
            <c:numRef>
              <c:f>Sheet1!$G$2:$G$3</c:f>
              <c:numCache>
                <c:formatCode>0.0</c:formatCode>
                <c:ptCount val="2"/>
                <c:pt idx="0">
                  <c:v>-3.6</c:v>
                </c:pt>
                <c:pt idx="1">
                  <c:v>0.6</c:v>
                </c:pt>
              </c:numCache>
            </c:numRef>
          </c:val>
          <c:extLst>
            <c:ext xmlns:c16="http://schemas.microsoft.com/office/drawing/2014/chart" uri="{C3380CC4-5D6E-409C-BE32-E72D297353CC}">
              <c16:uniqueId val="{00000011-7172-44F7-9E5E-9909EE094D4A}"/>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1" ma:contentTypeDescription="Create a new document." ma:contentTypeScope="" ma:versionID="192d9a45ff029d484e5ed0a8a098b1e7">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e81792524a29150d1eacdc5c540b452c"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88A8C-E74F-46BB-B5D6-911A51FF3B07}">
  <ds:schemaRefs>
    <ds:schemaRef ds:uri="http://schemas.openxmlformats.org/officeDocument/2006/bibliography"/>
  </ds:schemaRefs>
</ds:datastoreItem>
</file>

<file path=customXml/itemProps2.xml><?xml version="1.0" encoding="utf-8"?>
<ds:datastoreItem xmlns:ds="http://schemas.openxmlformats.org/officeDocument/2006/customXml" ds:itemID="{DA4BE9AC-0E0D-47B3-B9F9-DF73420F3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4.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3</cp:revision>
  <cp:lastPrinted>2019-11-05T19:19:00Z</cp:lastPrinted>
  <dcterms:created xsi:type="dcterms:W3CDTF">2022-06-07T19:48:00Z</dcterms:created>
  <dcterms:modified xsi:type="dcterms:W3CDTF">2022-06-07T19:48:00Z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ies>
</file>