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26EE1523" w14:textId="77777777" w:rsidR="004A3AEE" w:rsidRPr="00FB2425" w:rsidRDefault="004A3AEE" w:rsidP="004A3AEE">
      <w:pPr>
        <w:spacing w:after="0"/>
        <w:ind w:left="1440" w:right="-360"/>
        <w:rPr>
          <w:rFonts w:ascii="Arial" w:hAnsi="Arial" w:cs="Arial"/>
          <w:b/>
          <w:color w:val="037EBB"/>
          <w:szCs w:val="20"/>
        </w:rPr>
      </w:pPr>
      <w:r>
        <w:rPr>
          <w:noProof/>
        </w:rPr>
        <w:drawing>
          <wp:anchor distT="0" distB="0" distL="114300" distR="114300" simplePos="0" relativeHeight="251683840" behindDoc="0" locked="0" layoutInCell="1" allowOverlap="1" wp14:anchorId="4158C2F5" wp14:editId="1B128695">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82816" behindDoc="0" locked="0" layoutInCell="1" allowOverlap="1" wp14:anchorId="6A761DC7" wp14:editId="50614E4F">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6ADB117" w14:textId="77777777" w:rsidR="004A3AEE" w:rsidRPr="002815AB" w:rsidRDefault="004A3AEE" w:rsidP="004A3AEE">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06F7CE0" w14:textId="77777777" w:rsidR="004A3AEE" w:rsidRPr="00525FA1" w:rsidRDefault="004A3AEE" w:rsidP="004A3AEE">
      <w:pPr>
        <w:spacing w:after="0"/>
        <w:ind w:left="1440" w:right="-360"/>
        <w:rPr>
          <w:rFonts w:ascii="Arial" w:hAnsi="Arial" w:cs="Arial"/>
          <w:b/>
          <w:color w:val="3B3838" w:themeColor="background2" w:themeShade="40"/>
          <w:sz w:val="20"/>
          <w:szCs w:val="20"/>
        </w:rPr>
      </w:pPr>
    </w:p>
    <w:p w14:paraId="23E36477" w14:textId="3FC240CD" w:rsidR="004A3AEE" w:rsidRDefault="006337D1" w:rsidP="00EC2AC8">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US </w:t>
      </w:r>
      <w:r w:rsidR="00BA53ED">
        <w:rPr>
          <w:rFonts w:ascii="Arial" w:hAnsi="Arial" w:cs="Arial"/>
          <w:color w:val="3B3838" w:themeColor="background2" w:themeShade="40"/>
          <w:sz w:val="20"/>
          <w:szCs w:val="20"/>
        </w:rPr>
        <w:t>equit</w:t>
      </w:r>
      <w:r w:rsidR="009C5871">
        <w:rPr>
          <w:rFonts w:ascii="Arial" w:hAnsi="Arial" w:cs="Arial"/>
          <w:color w:val="3B3838" w:themeColor="background2" w:themeShade="40"/>
          <w:sz w:val="20"/>
          <w:szCs w:val="20"/>
        </w:rPr>
        <w:t>i</w:t>
      </w:r>
      <w:r w:rsidR="00BA53ED">
        <w:rPr>
          <w:rFonts w:ascii="Arial" w:hAnsi="Arial" w:cs="Arial"/>
          <w:color w:val="3B3838" w:themeColor="background2" w:themeShade="40"/>
          <w:sz w:val="20"/>
          <w:szCs w:val="20"/>
        </w:rPr>
        <w:t>es</w:t>
      </w:r>
      <w:r w:rsidR="00D64199">
        <w:rPr>
          <w:rFonts w:ascii="Arial" w:hAnsi="Arial" w:cs="Arial"/>
          <w:color w:val="3B3838" w:themeColor="background2" w:themeShade="40"/>
          <w:sz w:val="20"/>
          <w:szCs w:val="20"/>
        </w:rPr>
        <w:t xml:space="preserve"> </w:t>
      </w:r>
      <w:r w:rsidR="00D05E28">
        <w:rPr>
          <w:rFonts w:ascii="Arial" w:hAnsi="Arial" w:cs="Arial"/>
          <w:color w:val="3B3838" w:themeColor="background2" w:themeShade="40"/>
          <w:sz w:val="20"/>
          <w:szCs w:val="20"/>
        </w:rPr>
        <w:t>bounced back</w:t>
      </w:r>
      <w:r w:rsidR="0057095D">
        <w:rPr>
          <w:rFonts w:ascii="Arial" w:hAnsi="Arial" w:cs="Arial"/>
          <w:color w:val="3B3838" w:themeColor="background2" w:themeShade="40"/>
          <w:sz w:val="20"/>
          <w:szCs w:val="20"/>
        </w:rPr>
        <w:t xml:space="preserve"> in March </w:t>
      </w:r>
      <w:r w:rsidR="0095698B">
        <w:rPr>
          <w:rFonts w:ascii="Arial" w:hAnsi="Arial" w:cs="Arial"/>
          <w:color w:val="3B3838" w:themeColor="background2" w:themeShade="40"/>
          <w:sz w:val="20"/>
          <w:szCs w:val="20"/>
        </w:rPr>
        <w:t xml:space="preserve">after </w:t>
      </w:r>
      <w:r w:rsidR="00AE55FB">
        <w:rPr>
          <w:rFonts w:ascii="Arial" w:hAnsi="Arial" w:cs="Arial"/>
          <w:color w:val="3B3838" w:themeColor="background2" w:themeShade="40"/>
          <w:sz w:val="20"/>
          <w:szCs w:val="20"/>
        </w:rPr>
        <w:t>declin</w:t>
      </w:r>
      <w:r w:rsidR="00383AF2">
        <w:rPr>
          <w:rFonts w:ascii="Arial" w:hAnsi="Arial" w:cs="Arial"/>
          <w:color w:val="3B3838" w:themeColor="background2" w:themeShade="40"/>
          <w:sz w:val="20"/>
          <w:szCs w:val="20"/>
        </w:rPr>
        <w:t>ing</w:t>
      </w:r>
      <w:r w:rsidR="0095698B">
        <w:rPr>
          <w:rFonts w:ascii="Arial" w:hAnsi="Arial" w:cs="Arial"/>
          <w:color w:val="3B3838" w:themeColor="background2" w:themeShade="40"/>
          <w:sz w:val="20"/>
          <w:szCs w:val="20"/>
        </w:rPr>
        <w:t xml:space="preserve"> </w:t>
      </w:r>
      <w:r w:rsidR="009F76E1">
        <w:rPr>
          <w:rFonts w:ascii="Arial" w:hAnsi="Arial" w:cs="Arial"/>
          <w:color w:val="3B3838" w:themeColor="background2" w:themeShade="40"/>
          <w:sz w:val="20"/>
          <w:szCs w:val="20"/>
        </w:rPr>
        <w:t>throughout</w:t>
      </w:r>
      <w:r w:rsidR="0095698B">
        <w:rPr>
          <w:rFonts w:ascii="Arial" w:hAnsi="Arial" w:cs="Arial"/>
          <w:color w:val="3B3838" w:themeColor="background2" w:themeShade="40"/>
          <w:sz w:val="20"/>
          <w:szCs w:val="20"/>
        </w:rPr>
        <w:t xml:space="preserve"> the first two months of 2022</w:t>
      </w:r>
      <w:r w:rsidR="00AE55FB">
        <w:rPr>
          <w:rFonts w:ascii="Arial" w:hAnsi="Arial" w:cs="Arial"/>
          <w:color w:val="3B3838" w:themeColor="background2" w:themeShade="40"/>
          <w:sz w:val="20"/>
          <w:szCs w:val="20"/>
        </w:rPr>
        <w:t xml:space="preserve">.  The US </w:t>
      </w:r>
      <w:r w:rsidR="00383AF2">
        <w:rPr>
          <w:rFonts w:ascii="Arial" w:hAnsi="Arial" w:cs="Arial"/>
          <w:color w:val="3B3838" w:themeColor="background2" w:themeShade="40"/>
          <w:sz w:val="20"/>
          <w:szCs w:val="20"/>
        </w:rPr>
        <w:t>markets rose</w:t>
      </w:r>
      <w:r w:rsidR="00AE55FB">
        <w:rPr>
          <w:rFonts w:ascii="Arial" w:hAnsi="Arial" w:cs="Arial"/>
          <w:color w:val="3B3838" w:themeColor="background2" w:themeShade="40"/>
          <w:sz w:val="20"/>
          <w:szCs w:val="20"/>
        </w:rPr>
        <w:t xml:space="preserve"> </w:t>
      </w:r>
      <w:r w:rsidR="0093745C">
        <w:rPr>
          <w:rFonts w:ascii="Arial" w:hAnsi="Arial" w:cs="Arial"/>
          <w:color w:val="3B3838" w:themeColor="background2" w:themeShade="40"/>
          <w:sz w:val="20"/>
          <w:szCs w:val="20"/>
        </w:rPr>
        <w:t>3.7</w:t>
      </w:r>
      <w:r w:rsidR="00AE55FB">
        <w:rPr>
          <w:rFonts w:ascii="Arial" w:hAnsi="Arial" w:cs="Arial"/>
          <w:color w:val="3B3838" w:themeColor="background2" w:themeShade="40"/>
          <w:sz w:val="20"/>
          <w:szCs w:val="20"/>
        </w:rPr>
        <w:t xml:space="preserve">% </w:t>
      </w:r>
      <w:r w:rsidR="00C44320">
        <w:rPr>
          <w:rFonts w:ascii="Arial" w:hAnsi="Arial" w:cs="Arial"/>
          <w:color w:val="3B3838" w:themeColor="background2" w:themeShade="40"/>
          <w:sz w:val="20"/>
          <w:szCs w:val="20"/>
        </w:rPr>
        <w:t>in March</w:t>
      </w:r>
      <w:r w:rsidR="00AE55FB">
        <w:rPr>
          <w:rFonts w:ascii="Arial" w:hAnsi="Arial" w:cs="Arial"/>
          <w:color w:val="3B3838" w:themeColor="background2" w:themeShade="40"/>
          <w:sz w:val="20"/>
          <w:szCs w:val="20"/>
        </w:rPr>
        <w:t xml:space="preserve">, </w:t>
      </w:r>
      <w:r w:rsidR="004A3AEE">
        <w:rPr>
          <w:rFonts w:ascii="Arial" w:hAnsi="Arial" w:cs="Arial"/>
          <w:color w:val="3B3838" w:themeColor="background2" w:themeShade="40"/>
          <w:sz w:val="20"/>
          <w:szCs w:val="20"/>
        </w:rPr>
        <w:t>outperform</w:t>
      </w:r>
      <w:r w:rsidR="00D05E28">
        <w:rPr>
          <w:rFonts w:ascii="Arial" w:hAnsi="Arial" w:cs="Arial"/>
          <w:color w:val="3B3838" w:themeColor="background2" w:themeShade="40"/>
          <w:sz w:val="20"/>
          <w:szCs w:val="20"/>
        </w:rPr>
        <w:t>ing both</w:t>
      </w:r>
      <w:r w:rsidR="004A3AEE">
        <w:rPr>
          <w:rFonts w:ascii="Arial" w:hAnsi="Arial" w:cs="Arial"/>
          <w:color w:val="3B3838" w:themeColor="background2" w:themeShade="40"/>
          <w:sz w:val="20"/>
          <w:szCs w:val="20"/>
        </w:rPr>
        <w:t xml:space="preserve"> </w:t>
      </w:r>
      <w:r w:rsidR="00795AA4">
        <w:rPr>
          <w:rFonts w:ascii="Arial" w:hAnsi="Arial" w:cs="Arial"/>
          <w:color w:val="3B3838" w:themeColor="background2" w:themeShade="40"/>
          <w:sz w:val="20"/>
          <w:szCs w:val="20"/>
        </w:rPr>
        <w:t>international</w:t>
      </w:r>
      <w:r w:rsidR="004A3AEE">
        <w:rPr>
          <w:rFonts w:ascii="Arial" w:hAnsi="Arial" w:cs="Arial"/>
          <w:color w:val="3B3838" w:themeColor="background2" w:themeShade="40"/>
          <w:sz w:val="20"/>
          <w:szCs w:val="20"/>
        </w:rPr>
        <w:t xml:space="preserve"> </w:t>
      </w:r>
      <w:r w:rsidR="00BA53ED">
        <w:rPr>
          <w:rFonts w:ascii="Arial" w:hAnsi="Arial" w:cs="Arial"/>
          <w:color w:val="3B3838" w:themeColor="background2" w:themeShade="40"/>
          <w:sz w:val="20"/>
          <w:szCs w:val="20"/>
        </w:rPr>
        <w:t>developed</w:t>
      </w:r>
      <w:r w:rsidR="0093745C">
        <w:rPr>
          <w:rFonts w:ascii="Arial" w:hAnsi="Arial" w:cs="Arial"/>
          <w:color w:val="3B3838" w:themeColor="background2" w:themeShade="40"/>
          <w:sz w:val="20"/>
          <w:szCs w:val="20"/>
        </w:rPr>
        <w:t xml:space="preserve"> (0.8%)</w:t>
      </w:r>
      <w:r w:rsidR="00BA53ED">
        <w:rPr>
          <w:rFonts w:ascii="Arial" w:hAnsi="Arial" w:cs="Arial"/>
          <w:color w:val="3B3838" w:themeColor="background2" w:themeShade="40"/>
          <w:sz w:val="20"/>
          <w:szCs w:val="20"/>
        </w:rPr>
        <w:t xml:space="preserve"> </w:t>
      </w:r>
      <w:r w:rsidR="004A3AEE">
        <w:rPr>
          <w:rFonts w:ascii="Arial" w:hAnsi="Arial" w:cs="Arial"/>
          <w:color w:val="3B3838" w:themeColor="background2" w:themeShade="40"/>
          <w:sz w:val="20"/>
          <w:szCs w:val="20"/>
        </w:rPr>
        <w:t xml:space="preserve">and </w:t>
      </w:r>
      <w:r w:rsidR="004A3AEE" w:rsidRPr="00A57EE1">
        <w:rPr>
          <w:rFonts w:ascii="Arial" w:hAnsi="Arial" w:cs="Arial"/>
          <w:color w:val="3B3838" w:themeColor="background2" w:themeShade="40"/>
          <w:sz w:val="20"/>
          <w:szCs w:val="20"/>
        </w:rPr>
        <w:t>emerging markets</w:t>
      </w:r>
      <w:r w:rsidR="0093745C" w:rsidRPr="00A57EE1">
        <w:rPr>
          <w:rFonts w:ascii="Arial" w:hAnsi="Arial" w:cs="Arial"/>
          <w:color w:val="3B3838" w:themeColor="background2" w:themeShade="40"/>
          <w:sz w:val="20"/>
          <w:szCs w:val="20"/>
        </w:rPr>
        <w:t xml:space="preserve"> (-2.2%)</w:t>
      </w:r>
      <w:r w:rsidR="0057095D" w:rsidRPr="00A57EE1">
        <w:rPr>
          <w:rFonts w:ascii="Arial" w:hAnsi="Arial" w:cs="Arial"/>
          <w:color w:val="3B3838" w:themeColor="background2" w:themeShade="40"/>
          <w:sz w:val="20"/>
          <w:szCs w:val="20"/>
        </w:rPr>
        <w:t>.</w:t>
      </w:r>
      <w:r w:rsidR="00D05E28" w:rsidRPr="00A57EE1">
        <w:rPr>
          <w:rFonts w:ascii="Arial" w:hAnsi="Arial" w:cs="Arial"/>
          <w:color w:val="3B3838" w:themeColor="background2" w:themeShade="40"/>
          <w:sz w:val="20"/>
          <w:szCs w:val="20"/>
        </w:rPr>
        <w:t xml:space="preserve"> Th</w:t>
      </w:r>
      <w:r w:rsidR="00AE55FB" w:rsidRPr="00A57EE1">
        <w:rPr>
          <w:rFonts w:ascii="Arial" w:hAnsi="Arial" w:cs="Arial"/>
          <w:color w:val="3B3838" w:themeColor="background2" w:themeShade="40"/>
          <w:sz w:val="20"/>
          <w:szCs w:val="20"/>
        </w:rPr>
        <w:t>e</w:t>
      </w:r>
      <w:r w:rsidR="00D05E28" w:rsidRPr="00A57EE1">
        <w:rPr>
          <w:rFonts w:ascii="Arial" w:hAnsi="Arial" w:cs="Arial"/>
          <w:color w:val="3B3838" w:themeColor="background2" w:themeShade="40"/>
          <w:sz w:val="20"/>
          <w:szCs w:val="20"/>
        </w:rPr>
        <w:t xml:space="preserve"> </w:t>
      </w:r>
      <w:r w:rsidR="000C1030" w:rsidRPr="00A57EE1">
        <w:rPr>
          <w:rFonts w:ascii="Arial" w:hAnsi="Arial" w:cs="Arial"/>
          <w:color w:val="3B3838" w:themeColor="background2" w:themeShade="40"/>
          <w:sz w:val="20"/>
          <w:szCs w:val="20"/>
        </w:rPr>
        <w:t>resiliency</w:t>
      </w:r>
      <w:r w:rsidR="00383AF2" w:rsidRPr="00A57EE1">
        <w:rPr>
          <w:rFonts w:ascii="Arial" w:hAnsi="Arial" w:cs="Arial"/>
          <w:color w:val="3B3838" w:themeColor="background2" w:themeShade="40"/>
          <w:sz w:val="20"/>
          <w:szCs w:val="20"/>
        </w:rPr>
        <w:t xml:space="preserve"> </w:t>
      </w:r>
      <w:r w:rsidR="009F76E1" w:rsidRPr="00A57EE1">
        <w:rPr>
          <w:rFonts w:ascii="Arial" w:hAnsi="Arial" w:cs="Arial"/>
          <w:color w:val="3B3838" w:themeColor="background2" w:themeShade="40"/>
          <w:sz w:val="20"/>
          <w:szCs w:val="20"/>
        </w:rPr>
        <w:t>of</w:t>
      </w:r>
      <w:r w:rsidR="00383AF2" w:rsidRPr="00A57EE1">
        <w:rPr>
          <w:rFonts w:ascii="Arial" w:hAnsi="Arial" w:cs="Arial"/>
          <w:color w:val="3B3838" w:themeColor="background2" w:themeShade="40"/>
          <w:sz w:val="20"/>
          <w:szCs w:val="20"/>
        </w:rPr>
        <w:t xml:space="preserve"> the US</w:t>
      </w:r>
      <w:r w:rsidR="00D05E28" w:rsidRPr="00A57EE1">
        <w:rPr>
          <w:rFonts w:ascii="Arial" w:hAnsi="Arial" w:cs="Arial"/>
          <w:color w:val="3B3838" w:themeColor="background2" w:themeShade="40"/>
          <w:sz w:val="20"/>
          <w:szCs w:val="20"/>
        </w:rPr>
        <w:t xml:space="preserve"> can be </w:t>
      </w:r>
      <w:r w:rsidR="00AE55FB" w:rsidRPr="00A57EE1">
        <w:rPr>
          <w:rFonts w:ascii="Arial" w:hAnsi="Arial" w:cs="Arial"/>
          <w:color w:val="3B3838" w:themeColor="background2" w:themeShade="40"/>
          <w:sz w:val="20"/>
          <w:szCs w:val="20"/>
        </w:rPr>
        <w:t>attributed</w:t>
      </w:r>
      <w:r w:rsidR="00D05E28" w:rsidRPr="00A57EE1">
        <w:rPr>
          <w:rFonts w:ascii="Arial" w:hAnsi="Arial" w:cs="Arial"/>
          <w:color w:val="3B3838" w:themeColor="background2" w:themeShade="40"/>
          <w:sz w:val="20"/>
          <w:szCs w:val="20"/>
        </w:rPr>
        <w:t xml:space="preserve"> to </w:t>
      </w:r>
      <w:r w:rsidR="00383AF2" w:rsidRPr="00A57EE1">
        <w:rPr>
          <w:rFonts w:ascii="Arial" w:hAnsi="Arial" w:cs="Arial"/>
          <w:color w:val="3B3838" w:themeColor="background2" w:themeShade="40"/>
          <w:sz w:val="20"/>
          <w:szCs w:val="20"/>
        </w:rPr>
        <w:t>investor optimism</w:t>
      </w:r>
      <w:r w:rsidR="00AC0516" w:rsidRPr="00A57EE1">
        <w:rPr>
          <w:rFonts w:ascii="Arial" w:hAnsi="Arial" w:cs="Arial"/>
          <w:color w:val="3B3838" w:themeColor="background2" w:themeShade="40"/>
          <w:sz w:val="20"/>
          <w:szCs w:val="20"/>
        </w:rPr>
        <w:t xml:space="preserve"> and </w:t>
      </w:r>
      <w:r w:rsidR="00501369" w:rsidRPr="00A57EE1">
        <w:rPr>
          <w:rFonts w:ascii="Arial" w:hAnsi="Arial" w:cs="Arial"/>
          <w:color w:val="3B3838" w:themeColor="background2" w:themeShade="40"/>
          <w:sz w:val="20"/>
          <w:szCs w:val="20"/>
        </w:rPr>
        <w:t>record</w:t>
      </w:r>
      <w:r w:rsidR="00383AF2" w:rsidRPr="00A57EE1">
        <w:rPr>
          <w:rFonts w:ascii="Arial" w:hAnsi="Arial" w:cs="Arial"/>
          <w:color w:val="3B3838" w:themeColor="background2" w:themeShade="40"/>
          <w:sz w:val="20"/>
          <w:szCs w:val="20"/>
        </w:rPr>
        <w:t xml:space="preserve"> corporate profits</w:t>
      </w:r>
      <w:r w:rsidR="00A57EE1" w:rsidRPr="00A57EE1">
        <w:rPr>
          <w:rStyle w:val="EndnoteReference"/>
          <w:rFonts w:ascii="Arial" w:hAnsi="Arial" w:cs="Arial"/>
          <w:color w:val="3B3838" w:themeColor="background2" w:themeShade="40"/>
          <w:sz w:val="20"/>
          <w:szCs w:val="20"/>
        </w:rPr>
        <w:endnoteReference w:id="1"/>
      </w:r>
      <w:r w:rsidR="00383AF2">
        <w:rPr>
          <w:rFonts w:ascii="Arial" w:hAnsi="Arial" w:cs="Arial"/>
          <w:color w:val="3B3838" w:themeColor="background2" w:themeShade="40"/>
          <w:sz w:val="20"/>
          <w:szCs w:val="20"/>
        </w:rPr>
        <w:t xml:space="preserve">. </w:t>
      </w:r>
      <w:r w:rsidR="00C44320">
        <w:rPr>
          <w:rFonts w:ascii="Arial" w:hAnsi="Arial" w:cs="Arial"/>
          <w:color w:val="3B3838" w:themeColor="background2" w:themeShade="40"/>
          <w:sz w:val="20"/>
          <w:szCs w:val="20"/>
        </w:rPr>
        <w:t>G</w:t>
      </w:r>
      <w:r w:rsidR="00E42F55">
        <w:rPr>
          <w:rFonts w:ascii="Arial" w:hAnsi="Arial" w:cs="Arial"/>
          <w:color w:val="3B3838" w:themeColor="background2" w:themeShade="40"/>
          <w:sz w:val="20"/>
          <w:szCs w:val="20"/>
        </w:rPr>
        <w:t xml:space="preserve">eopolitical </w:t>
      </w:r>
      <w:r w:rsidR="00383AF2">
        <w:rPr>
          <w:rFonts w:ascii="Arial" w:hAnsi="Arial" w:cs="Arial"/>
          <w:color w:val="3B3838" w:themeColor="background2" w:themeShade="40"/>
          <w:sz w:val="20"/>
          <w:szCs w:val="20"/>
        </w:rPr>
        <w:t>tension</w:t>
      </w:r>
      <w:r w:rsidR="00C44320">
        <w:rPr>
          <w:rFonts w:ascii="Arial" w:hAnsi="Arial" w:cs="Arial"/>
          <w:color w:val="3B3838" w:themeColor="background2" w:themeShade="40"/>
          <w:sz w:val="20"/>
          <w:szCs w:val="20"/>
        </w:rPr>
        <w:t xml:space="preserve">s </w:t>
      </w:r>
      <w:r w:rsidR="007769AC">
        <w:rPr>
          <w:rFonts w:ascii="Arial" w:hAnsi="Arial" w:cs="Arial"/>
          <w:color w:val="3B3838" w:themeColor="background2" w:themeShade="40"/>
          <w:sz w:val="20"/>
          <w:szCs w:val="20"/>
        </w:rPr>
        <w:t xml:space="preserve">and a zero COVID policy </w:t>
      </w:r>
      <w:r w:rsidR="00EC2AC8">
        <w:rPr>
          <w:rFonts w:ascii="Arial" w:hAnsi="Arial" w:cs="Arial"/>
          <w:color w:val="3B3838" w:themeColor="background2" w:themeShade="40"/>
          <w:sz w:val="20"/>
          <w:szCs w:val="20"/>
        </w:rPr>
        <w:t xml:space="preserve">in China </w:t>
      </w:r>
      <w:r w:rsidR="0093745C">
        <w:rPr>
          <w:rFonts w:ascii="Arial" w:hAnsi="Arial" w:cs="Arial"/>
          <w:color w:val="3B3838" w:themeColor="background2" w:themeShade="40"/>
          <w:sz w:val="20"/>
          <w:szCs w:val="20"/>
        </w:rPr>
        <w:t xml:space="preserve">continued to </w:t>
      </w:r>
      <w:r w:rsidR="00E42F55">
        <w:rPr>
          <w:rFonts w:ascii="Arial" w:hAnsi="Arial" w:cs="Arial"/>
          <w:color w:val="3B3838" w:themeColor="background2" w:themeShade="40"/>
          <w:sz w:val="20"/>
          <w:szCs w:val="20"/>
        </w:rPr>
        <w:t>weigh</w:t>
      </w:r>
      <w:r w:rsidR="0093745C">
        <w:rPr>
          <w:rFonts w:ascii="Arial" w:hAnsi="Arial" w:cs="Arial"/>
          <w:color w:val="3B3838" w:themeColor="background2" w:themeShade="40"/>
          <w:sz w:val="20"/>
          <w:szCs w:val="20"/>
        </w:rPr>
        <w:t xml:space="preserve"> on</w:t>
      </w:r>
      <w:r w:rsidR="00383AF2">
        <w:rPr>
          <w:rFonts w:ascii="Arial" w:hAnsi="Arial" w:cs="Arial"/>
          <w:color w:val="3B3838" w:themeColor="background2" w:themeShade="40"/>
          <w:sz w:val="20"/>
          <w:szCs w:val="20"/>
        </w:rPr>
        <w:t xml:space="preserve"> </w:t>
      </w:r>
      <w:r w:rsidR="00E42F55">
        <w:rPr>
          <w:rFonts w:ascii="Arial" w:hAnsi="Arial" w:cs="Arial"/>
          <w:color w:val="3B3838" w:themeColor="background2" w:themeShade="40"/>
          <w:sz w:val="20"/>
          <w:szCs w:val="20"/>
        </w:rPr>
        <w:t>emerging</w:t>
      </w:r>
      <w:r w:rsidR="00383AF2">
        <w:rPr>
          <w:rFonts w:ascii="Arial" w:hAnsi="Arial" w:cs="Arial"/>
          <w:color w:val="3B3838" w:themeColor="background2" w:themeShade="40"/>
          <w:sz w:val="20"/>
          <w:szCs w:val="20"/>
        </w:rPr>
        <w:t xml:space="preserve"> and international developed market</w:t>
      </w:r>
      <w:r w:rsidR="00C44320">
        <w:rPr>
          <w:rFonts w:ascii="Arial" w:hAnsi="Arial" w:cs="Arial"/>
          <w:color w:val="3B3838" w:themeColor="background2" w:themeShade="40"/>
          <w:sz w:val="20"/>
          <w:szCs w:val="20"/>
        </w:rPr>
        <w:t xml:space="preserve">s, which are down </w:t>
      </w:r>
      <w:r w:rsidR="0093745C">
        <w:rPr>
          <w:rFonts w:ascii="Arial" w:hAnsi="Arial" w:cs="Arial"/>
          <w:color w:val="3B3838" w:themeColor="background2" w:themeShade="40"/>
          <w:sz w:val="20"/>
          <w:szCs w:val="20"/>
        </w:rPr>
        <w:t>-5.8%</w:t>
      </w:r>
      <w:r w:rsidR="00C44320">
        <w:rPr>
          <w:rFonts w:ascii="Arial" w:hAnsi="Arial" w:cs="Arial"/>
          <w:color w:val="3B3838" w:themeColor="background2" w:themeShade="40"/>
          <w:sz w:val="20"/>
          <w:szCs w:val="20"/>
        </w:rPr>
        <w:t xml:space="preserve"> and </w:t>
      </w:r>
      <w:r w:rsidR="0093745C">
        <w:rPr>
          <w:rFonts w:ascii="Arial" w:hAnsi="Arial" w:cs="Arial"/>
          <w:color w:val="3B3838" w:themeColor="background2" w:themeShade="40"/>
          <w:sz w:val="20"/>
          <w:szCs w:val="20"/>
        </w:rPr>
        <w:t>-6.9%</w:t>
      </w:r>
      <w:r w:rsidR="00C44320">
        <w:rPr>
          <w:rFonts w:ascii="Arial" w:hAnsi="Arial" w:cs="Arial"/>
          <w:color w:val="3B3838" w:themeColor="background2" w:themeShade="40"/>
          <w:sz w:val="20"/>
          <w:szCs w:val="20"/>
        </w:rPr>
        <w:t xml:space="preserve"> </w:t>
      </w:r>
      <w:r w:rsidR="00FC2D34">
        <w:rPr>
          <w:rFonts w:ascii="Arial" w:hAnsi="Arial" w:cs="Arial"/>
          <w:color w:val="3B3838" w:themeColor="background2" w:themeShade="40"/>
          <w:sz w:val="20"/>
          <w:szCs w:val="20"/>
        </w:rPr>
        <w:t>year</w:t>
      </w:r>
      <w:r w:rsidR="009F2000">
        <w:rPr>
          <w:rFonts w:ascii="Arial" w:hAnsi="Arial" w:cs="Arial"/>
          <w:color w:val="3B3838" w:themeColor="background2" w:themeShade="40"/>
          <w:sz w:val="20"/>
          <w:szCs w:val="20"/>
        </w:rPr>
        <w:t>-</w:t>
      </w:r>
      <w:r w:rsidR="00FC2D34">
        <w:rPr>
          <w:rFonts w:ascii="Arial" w:hAnsi="Arial" w:cs="Arial"/>
          <w:color w:val="3B3838" w:themeColor="background2" w:themeShade="40"/>
          <w:sz w:val="20"/>
          <w:szCs w:val="20"/>
        </w:rPr>
        <w:t>to</w:t>
      </w:r>
      <w:r w:rsidR="009F2000">
        <w:rPr>
          <w:rFonts w:ascii="Arial" w:hAnsi="Arial" w:cs="Arial"/>
          <w:color w:val="3B3838" w:themeColor="background2" w:themeShade="40"/>
          <w:sz w:val="20"/>
          <w:szCs w:val="20"/>
        </w:rPr>
        <w:t>-</w:t>
      </w:r>
      <w:r w:rsidR="00FC2D34">
        <w:rPr>
          <w:rFonts w:ascii="Arial" w:hAnsi="Arial" w:cs="Arial"/>
          <w:color w:val="3B3838" w:themeColor="background2" w:themeShade="40"/>
          <w:sz w:val="20"/>
          <w:szCs w:val="20"/>
        </w:rPr>
        <w:t>date,</w:t>
      </w:r>
      <w:r w:rsidR="00C44320">
        <w:rPr>
          <w:rFonts w:ascii="Arial" w:hAnsi="Arial" w:cs="Arial"/>
          <w:color w:val="3B3838" w:themeColor="background2" w:themeShade="40"/>
          <w:sz w:val="20"/>
          <w:szCs w:val="20"/>
        </w:rPr>
        <w:t xml:space="preserve"> respectively</w:t>
      </w:r>
      <w:r w:rsidR="0093745C">
        <w:rPr>
          <w:rFonts w:ascii="Arial" w:hAnsi="Arial" w:cs="Arial"/>
          <w:color w:val="3B3838" w:themeColor="background2" w:themeShade="40"/>
          <w:sz w:val="20"/>
          <w:szCs w:val="20"/>
        </w:rPr>
        <w:t>.</w:t>
      </w:r>
      <w:r w:rsidR="009C70D0">
        <w:rPr>
          <w:rFonts w:ascii="Arial" w:hAnsi="Arial" w:cs="Arial"/>
          <w:color w:val="3B3838" w:themeColor="background2" w:themeShade="40"/>
          <w:sz w:val="20"/>
          <w:szCs w:val="20"/>
        </w:rPr>
        <w:t xml:space="preserve"> </w:t>
      </w:r>
      <w:r w:rsidR="00EC2AC8">
        <w:rPr>
          <w:rFonts w:ascii="Arial" w:hAnsi="Arial" w:cs="Arial"/>
          <w:color w:val="3B3838" w:themeColor="background2" w:themeShade="40"/>
          <w:sz w:val="20"/>
          <w:szCs w:val="20"/>
        </w:rPr>
        <w:t xml:space="preserve">While broader emerging markets were down, commodity exporting regions like </w:t>
      </w:r>
      <w:r w:rsidR="009C70D0">
        <w:rPr>
          <w:rFonts w:ascii="Arial" w:hAnsi="Arial" w:cs="Arial"/>
          <w:color w:val="3B3838" w:themeColor="background2" w:themeShade="40"/>
          <w:sz w:val="20"/>
          <w:szCs w:val="20"/>
        </w:rPr>
        <w:t>Brazil</w:t>
      </w:r>
      <w:r w:rsidR="00222A02">
        <w:rPr>
          <w:rFonts w:ascii="Arial" w:hAnsi="Arial" w:cs="Arial"/>
          <w:color w:val="3B3838" w:themeColor="background2" w:themeShade="40"/>
          <w:sz w:val="20"/>
          <w:szCs w:val="20"/>
        </w:rPr>
        <w:t>,</w:t>
      </w:r>
      <w:r w:rsidR="009C70D0">
        <w:rPr>
          <w:rFonts w:ascii="Arial" w:hAnsi="Arial" w:cs="Arial"/>
          <w:color w:val="3B3838" w:themeColor="background2" w:themeShade="40"/>
          <w:sz w:val="20"/>
          <w:szCs w:val="20"/>
        </w:rPr>
        <w:t xml:space="preserve"> w</w:t>
      </w:r>
      <w:r w:rsidR="00EC2AC8">
        <w:rPr>
          <w:rFonts w:ascii="Arial" w:hAnsi="Arial" w:cs="Arial"/>
          <w:color w:val="3B3838" w:themeColor="background2" w:themeShade="40"/>
          <w:sz w:val="20"/>
          <w:szCs w:val="20"/>
        </w:rPr>
        <w:t>ere</w:t>
      </w:r>
      <w:r w:rsidR="009C70D0">
        <w:rPr>
          <w:rFonts w:ascii="Arial" w:hAnsi="Arial" w:cs="Arial"/>
          <w:color w:val="3B3838" w:themeColor="background2" w:themeShade="40"/>
          <w:sz w:val="20"/>
          <w:szCs w:val="20"/>
        </w:rPr>
        <w:t xml:space="preserve"> a bright </w:t>
      </w:r>
      <w:r w:rsidR="00EC2AC8">
        <w:rPr>
          <w:rFonts w:ascii="Arial" w:hAnsi="Arial" w:cs="Arial"/>
          <w:color w:val="3B3838" w:themeColor="background2" w:themeShade="40"/>
          <w:sz w:val="20"/>
          <w:szCs w:val="20"/>
        </w:rPr>
        <w:t>spot, up</w:t>
      </w:r>
      <w:r w:rsidR="009C70D0">
        <w:rPr>
          <w:rFonts w:ascii="Arial" w:hAnsi="Arial" w:cs="Arial"/>
          <w:color w:val="3B3838" w:themeColor="background2" w:themeShade="40"/>
          <w:sz w:val="20"/>
          <w:szCs w:val="20"/>
        </w:rPr>
        <w:t xml:space="preserve"> 14.9% for the month.  </w:t>
      </w:r>
    </w:p>
    <w:p w14:paraId="13EFF16C" w14:textId="77777777" w:rsidR="00EC2AC8" w:rsidRPr="00E55DE2" w:rsidRDefault="00EC2AC8" w:rsidP="00EC2AC8">
      <w:pPr>
        <w:spacing w:after="0"/>
        <w:ind w:left="1440" w:right="-360"/>
        <w:rPr>
          <w:rFonts w:ascii="Arial" w:hAnsi="Arial" w:cs="Arial"/>
          <w:color w:val="3B3838" w:themeColor="background2" w:themeShade="40"/>
          <w:sz w:val="20"/>
          <w:szCs w:val="20"/>
        </w:rPr>
      </w:pPr>
    </w:p>
    <w:p w14:paraId="27D85CE9" w14:textId="44A66D77" w:rsidR="004A3AEE" w:rsidRPr="00E55DE2" w:rsidRDefault="004A3AEE"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the S&amp;P 500 sectors</w:t>
      </w:r>
      <w:r w:rsidR="00EC2AC8">
        <w:rPr>
          <w:rFonts w:ascii="Arial" w:hAnsi="Arial" w:cs="Arial"/>
          <w:color w:val="3B3838" w:themeColor="background2" w:themeShade="40"/>
          <w:sz w:val="20"/>
          <w:szCs w:val="20"/>
        </w:rPr>
        <w:t xml:space="preserve">, </w:t>
      </w:r>
      <w:r w:rsidR="00C44320">
        <w:rPr>
          <w:rFonts w:ascii="Arial" w:hAnsi="Arial" w:cs="Arial"/>
          <w:color w:val="3B3838" w:themeColor="background2" w:themeShade="40"/>
          <w:sz w:val="20"/>
          <w:szCs w:val="20"/>
        </w:rPr>
        <w:t>energy continued to rally</w:t>
      </w:r>
      <w:r w:rsidR="009F2000">
        <w:rPr>
          <w:rFonts w:ascii="Arial" w:hAnsi="Arial" w:cs="Arial"/>
          <w:color w:val="3B3838" w:themeColor="background2" w:themeShade="40"/>
          <w:sz w:val="20"/>
          <w:szCs w:val="20"/>
        </w:rPr>
        <w:t>,</w:t>
      </w:r>
      <w:r w:rsidR="00C44320">
        <w:rPr>
          <w:rFonts w:ascii="Arial" w:hAnsi="Arial" w:cs="Arial"/>
          <w:color w:val="3B3838" w:themeColor="background2" w:themeShade="40"/>
          <w:sz w:val="20"/>
          <w:szCs w:val="20"/>
        </w:rPr>
        <w:t xml:space="preserve"> boosted by oil prices reaching </w:t>
      </w:r>
      <w:r w:rsidR="00700187">
        <w:rPr>
          <w:rFonts w:ascii="Arial" w:hAnsi="Arial" w:cs="Arial"/>
          <w:color w:val="3B3838" w:themeColor="background2" w:themeShade="40"/>
          <w:sz w:val="20"/>
          <w:szCs w:val="20"/>
        </w:rPr>
        <w:t xml:space="preserve">a </w:t>
      </w:r>
      <w:r w:rsidR="00C44320">
        <w:rPr>
          <w:rFonts w:ascii="Arial" w:hAnsi="Arial" w:cs="Arial"/>
          <w:color w:val="3B3838" w:themeColor="background2" w:themeShade="40"/>
          <w:sz w:val="20"/>
          <w:szCs w:val="20"/>
        </w:rPr>
        <w:t>new 1</w:t>
      </w:r>
      <w:r w:rsidR="00700187">
        <w:rPr>
          <w:rFonts w:ascii="Arial" w:hAnsi="Arial" w:cs="Arial"/>
          <w:color w:val="3B3838" w:themeColor="background2" w:themeShade="40"/>
          <w:sz w:val="20"/>
          <w:szCs w:val="20"/>
        </w:rPr>
        <w:t>3</w:t>
      </w:r>
      <w:r w:rsidR="009F2000">
        <w:rPr>
          <w:rFonts w:ascii="Arial" w:hAnsi="Arial" w:cs="Arial"/>
          <w:color w:val="3B3838" w:themeColor="background2" w:themeShade="40"/>
          <w:sz w:val="20"/>
          <w:szCs w:val="20"/>
        </w:rPr>
        <w:t>-</w:t>
      </w:r>
      <w:r w:rsidR="00C44320">
        <w:rPr>
          <w:rFonts w:ascii="Arial" w:hAnsi="Arial" w:cs="Arial"/>
          <w:color w:val="3B3838" w:themeColor="background2" w:themeShade="40"/>
          <w:sz w:val="20"/>
          <w:szCs w:val="20"/>
        </w:rPr>
        <w:t>year</w:t>
      </w:r>
      <w:r w:rsidR="008153C1">
        <w:rPr>
          <w:rFonts w:ascii="Arial" w:hAnsi="Arial" w:cs="Arial"/>
          <w:color w:val="3B3838" w:themeColor="background2" w:themeShade="40"/>
          <w:sz w:val="20"/>
          <w:szCs w:val="20"/>
        </w:rPr>
        <w:t xml:space="preserve"> high</w:t>
      </w:r>
      <w:r w:rsidR="00A57EE1">
        <w:rPr>
          <w:rStyle w:val="EndnoteReference"/>
          <w:rFonts w:ascii="Arial" w:hAnsi="Arial" w:cs="Arial"/>
          <w:color w:val="3B3838" w:themeColor="background2" w:themeShade="40"/>
          <w:sz w:val="20"/>
          <w:szCs w:val="20"/>
        </w:rPr>
        <w:endnoteReference w:id="2"/>
      </w:r>
      <w:r w:rsidR="008153C1">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up</w:t>
      </w:r>
      <w:r w:rsidR="007A1139">
        <w:rPr>
          <w:rFonts w:ascii="Arial" w:hAnsi="Arial" w:cs="Arial"/>
          <w:color w:val="3B3838" w:themeColor="background2" w:themeShade="40"/>
          <w:sz w:val="20"/>
          <w:szCs w:val="20"/>
        </w:rPr>
        <w:t xml:space="preserve"> </w:t>
      </w:r>
      <w:r w:rsidR="0093745C">
        <w:rPr>
          <w:rFonts w:ascii="Arial" w:hAnsi="Arial" w:cs="Arial"/>
          <w:color w:val="3B3838" w:themeColor="background2" w:themeShade="40"/>
          <w:sz w:val="20"/>
          <w:szCs w:val="20"/>
        </w:rPr>
        <w:t>9.0</w:t>
      </w:r>
      <w:r>
        <w:rPr>
          <w:rFonts w:ascii="Arial" w:hAnsi="Arial" w:cs="Arial"/>
          <w:color w:val="3B3838" w:themeColor="background2" w:themeShade="40"/>
          <w:sz w:val="20"/>
          <w:szCs w:val="20"/>
        </w:rPr>
        <w:t>%</w:t>
      </w:r>
      <w:r w:rsidR="00C44320">
        <w:rPr>
          <w:rFonts w:ascii="Arial" w:hAnsi="Arial" w:cs="Arial"/>
          <w:color w:val="3B3838" w:themeColor="background2" w:themeShade="40"/>
          <w:sz w:val="20"/>
          <w:szCs w:val="20"/>
        </w:rPr>
        <w:t xml:space="preserve"> for the month</w:t>
      </w:r>
      <w:r w:rsidRPr="00E55DE2">
        <w:rPr>
          <w:rFonts w:ascii="Arial" w:hAnsi="Arial" w:cs="Arial"/>
          <w:color w:val="3B3838" w:themeColor="background2" w:themeShade="40"/>
          <w:sz w:val="20"/>
          <w:szCs w:val="20"/>
        </w:rPr>
        <w:t xml:space="preserve"> and </w:t>
      </w:r>
      <w:r w:rsidR="0093745C">
        <w:rPr>
          <w:rFonts w:ascii="Arial" w:hAnsi="Arial" w:cs="Arial"/>
          <w:color w:val="3B3838" w:themeColor="background2" w:themeShade="40"/>
          <w:sz w:val="20"/>
          <w:szCs w:val="20"/>
        </w:rPr>
        <w:t>39.0</w:t>
      </w:r>
      <w:r w:rsidRPr="00E55DE2">
        <w:rPr>
          <w:rFonts w:ascii="Arial" w:hAnsi="Arial" w:cs="Arial"/>
          <w:color w:val="3B3838" w:themeColor="background2" w:themeShade="40"/>
          <w:sz w:val="20"/>
          <w:szCs w:val="20"/>
        </w:rPr>
        <w:t>% for the year</w:t>
      </w:r>
      <w:r w:rsidR="00C44320">
        <w:rPr>
          <w:rFonts w:ascii="Arial" w:hAnsi="Arial" w:cs="Arial"/>
          <w:color w:val="3B3838" w:themeColor="background2" w:themeShade="40"/>
          <w:sz w:val="20"/>
          <w:szCs w:val="20"/>
        </w:rPr>
        <w:t>.</w:t>
      </w:r>
      <w:r w:rsidR="00CF235D">
        <w:rPr>
          <w:rFonts w:ascii="Arial" w:hAnsi="Arial" w:cs="Arial"/>
          <w:color w:val="3B3838" w:themeColor="background2" w:themeShade="40"/>
          <w:sz w:val="20"/>
          <w:szCs w:val="20"/>
        </w:rPr>
        <w:t xml:space="preserve"> Utilities</w:t>
      </w:r>
      <w:r w:rsidR="0093745C">
        <w:rPr>
          <w:rFonts w:ascii="Arial" w:hAnsi="Arial" w:cs="Arial"/>
          <w:color w:val="3B3838" w:themeColor="background2" w:themeShade="40"/>
          <w:sz w:val="20"/>
          <w:szCs w:val="20"/>
        </w:rPr>
        <w:t xml:space="preserve"> (10.4%)</w:t>
      </w:r>
      <w:r w:rsidR="00CF235D">
        <w:rPr>
          <w:rFonts w:ascii="Arial" w:hAnsi="Arial" w:cs="Arial"/>
          <w:color w:val="3B3838" w:themeColor="background2" w:themeShade="40"/>
          <w:sz w:val="20"/>
          <w:szCs w:val="20"/>
        </w:rPr>
        <w:t xml:space="preserve"> and </w:t>
      </w:r>
      <w:r w:rsidR="0093745C">
        <w:rPr>
          <w:rFonts w:ascii="Arial" w:hAnsi="Arial" w:cs="Arial"/>
          <w:color w:val="3B3838" w:themeColor="background2" w:themeShade="40"/>
          <w:sz w:val="20"/>
          <w:szCs w:val="20"/>
        </w:rPr>
        <w:t xml:space="preserve">real estate (7.8%) </w:t>
      </w:r>
      <w:r w:rsidR="00C946FA">
        <w:rPr>
          <w:rFonts w:ascii="Arial" w:hAnsi="Arial" w:cs="Arial"/>
          <w:color w:val="3B3838" w:themeColor="background2" w:themeShade="40"/>
          <w:sz w:val="20"/>
          <w:szCs w:val="20"/>
        </w:rPr>
        <w:t>rose after struggling in the first two months of 2022</w:t>
      </w:r>
      <w:r w:rsidR="0093745C">
        <w:rPr>
          <w:rFonts w:ascii="Arial" w:hAnsi="Arial" w:cs="Arial"/>
          <w:color w:val="3B3838" w:themeColor="background2" w:themeShade="40"/>
          <w:sz w:val="20"/>
          <w:szCs w:val="20"/>
        </w:rPr>
        <w:t xml:space="preserve">. Financials was the only sector down for the month (-0.2%). </w:t>
      </w:r>
      <w:proofErr w:type="gramStart"/>
      <w:r w:rsidRPr="00E55DE2">
        <w:rPr>
          <w:rFonts w:ascii="Arial" w:hAnsi="Arial" w:cs="Arial"/>
          <w:color w:val="3B3838" w:themeColor="background2" w:themeShade="40"/>
          <w:sz w:val="20"/>
          <w:szCs w:val="20"/>
        </w:rPr>
        <w:t>Reviewing equity styles</w:t>
      </w:r>
      <w:r w:rsidRPr="003D50A1">
        <w:rPr>
          <w:rFonts w:ascii="Arial" w:hAnsi="Arial" w:cs="Arial"/>
          <w:color w:val="3B3838" w:themeColor="background2" w:themeShade="40"/>
          <w:sz w:val="20"/>
          <w:szCs w:val="20"/>
        </w:rPr>
        <w:t xml:space="preserve">, </w:t>
      </w:r>
      <w:r w:rsidR="00FE52A3">
        <w:rPr>
          <w:rFonts w:ascii="Arial" w:hAnsi="Arial" w:cs="Arial"/>
          <w:color w:val="3B3838" w:themeColor="background2" w:themeShade="40"/>
          <w:sz w:val="20"/>
          <w:szCs w:val="20"/>
        </w:rPr>
        <w:t>there</w:t>
      </w:r>
      <w:proofErr w:type="gramEnd"/>
      <w:r w:rsidR="00FE52A3">
        <w:rPr>
          <w:rFonts w:ascii="Arial" w:hAnsi="Arial" w:cs="Arial"/>
          <w:color w:val="3B3838" w:themeColor="background2" w:themeShade="40"/>
          <w:sz w:val="20"/>
          <w:szCs w:val="20"/>
        </w:rPr>
        <w:t xml:space="preserve"> was a switch in leadership </w:t>
      </w:r>
      <w:r w:rsidR="006337D1">
        <w:rPr>
          <w:rFonts w:ascii="Arial" w:hAnsi="Arial" w:cs="Arial"/>
          <w:color w:val="3B3838" w:themeColor="background2" w:themeShade="40"/>
          <w:sz w:val="20"/>
          <w:szCs w:val="20"/>
        </w:rPr>
        <w:t>f</w:t>
      </w:r>
      <w:r w:rsidR="00CF235D">
        <w:rPr>
          <w:rFonts w:ascii="Arial" w:hAnsi="Arial" w:cs="Arial"/>
          <w:color w:val="3B3838" w:themeColor="background2" w:themeShade="40"/>
          <w:sz w:val="20"/>
          <w:szCs w:val="20"/>
        </w:rPr>
        <w:t>rom</w:t>
      </w:r>
      <w:r w:rsidR="006337D1">
        <w:rPr>
          <w:rFonts w:ascii="Arial" w:hAnsi="Arial" w:cs="Arial"/>
          <w:color w:val="3B3838" w:themeColor="background2" w:themeShade="40"/>
          <w:sz w:val="20"/>
          <w:szCs w:val="20"/>
        </w:rPr>
        <w:t xml:space="preserve"> last month</w:t>
      </w:r>
      <w:r w:rsidR="000A2108">
        <w:rPr>
          <w:rFonts w:ascii="Arial" w:hAnsi="Arial" w:cs="Arial"/>
          <w:color w:val="3B3838" w:themeColor="background2" w:themeShade="40"/>
          <w:sz w:val="20"/>
          <w:szCs w:val="20"/>
        </w:rPr>
        <w:t xml:space="preserve"> with</w:t>
      </w:r>
      <w:r w:rsidR="006337D1">
        <w:rPr>
          <w:rFonts w:ascii="Arial" w:hAnsi="Arial" w:cs="Arial"/>
          <w:color w:val="3B3838" w:themeColor="background2" w:themeShade="40"/>
          <w:sz w:val="20"/>
          <w:szCs w:val="20"/>
        </w:rPr>
        <w:t xml:space="preserve"> </w:t>
      </w:r>
      <w:r w:rsidR="00FE52A3">
        <w:rPr>
          <w:rFonts w:ascii="Arial" w:hAnsi="Arial" w:cs="Arial"/>
          <w:color w:val="3B3838" w:themeColor="background2" w:themeShade="40"/>
          <w:sz w:val="20"/>
          <w:szCs w:val="20"/>
        </w:rPr>
        <w:t>large cap</w:t>
      </w:r>
      <w:r>
        <w:rPr>
          <w:rFonts w:ascii="Arial" w:hAnsi="Arial" w:cs="Arial"/>
          <w:color w:val="3B3838" w:themeColor="background2" w:themeShade="40"/>
          <w:sz w:val="20"/>
          <w:szCs w:val="20"/>
        </w:rPr>
        <w:t xml:space="preserve"> stocks</w:t>
      </w:r>
      <w:r w:rsidR="000A2108">
        <w:rPr>
          <w:rFonts w:ascii="Arial" w:hAnsi="Arial" w:cs="Arial"/>
          <w:color w:val="3B3838" w:themeColor="background2" w:themeShade="40"/>
          <w:sz w:val="20"/>
          <w:szCs w:val="20"/>
        </w:rPr>
        <w:t xml:space="preserve"> outperforming small and </w:t>
      </w:r>
      <w:r w:rsidR="00EC2AC8">
        <w:rPr>
          <w:rFonts w:ascii="Arial" w:hAnsi="Arial" w:cs="Arial"/>
          <w:color w:val="3B3838" w:themeColor="background2" w:themeShade="40"/>
          <w:sz w:val="20"/>
          <w:szCs w:val="20"/>
        </w:rPr>
        <w:t>growth outperform</w:t>
      </w:r>
      <w:r w:rsidR="000A2108">
        <w:rPr>
          <w:rFonts w:ascii="Arial" w:hAnsi="Arial" w:cs="Arial"/>
          <w:color w:val="3B3838" w:themeColor="background2" w:themeShade="40"/>
          <w:sz w:val="20"/>
          <w:szCs w:val="20"/>
        </w:rPr>
        <w:t>ing</w:t>
      </w:r>
      <w:r w:rsidR="00EC2AC8">
        <w:rPr>
          <w:rFonts w:ascii="Arial" w:hAnsi="Arial" w:cs="Arial"/>
          <w:color w:val="3B3838" w:themeColor="background2" w:themeShade="40"/>
          <w:sz w:val="20"/>
          <w:szCs w:val="20"/>
        </w:rPr>
        <w:t xml:space="preserve"> valu</w:t>
      </w:r>
      <w:r w:rsidR="000A2108">
        <w:rPr>
          <w:rFonts w:ascii="Arial" w:hAnsi="Arial" w:cs="Arial"/>
          <w:color w:val="3B3838" w:themeColor="background2" w:themeShade="40"/>
          <w:sz w:val="20"/>
          <w:szCs w:val="20"/>
        </w:rPr>
        <w:t>e</w:t>
      </w:r>
      <w:r w:rsidR="0093745C">
        <w:rPr>
          <w:rFonts w:ascii="Arial" w:hAnsi="Arial" w:cs="Arial"/>
          <w:color w:val="3B3838" w:themeColor="background2" w:themeShade="40"/>
          <w:sz w:val="20"/>
          <w:szCs w:val="20"/>
        </w:rPr>
        <w:t xml:space="preserve">. </w:t>
      </w:r>
    </w:p>
    <w:p w14:paraId="234CBCB8" w14:textId="77777777" w:rsidR="00AE55FB" w:rsidRDefault="00AE55FB" w:rsidP="004A3AEE">
      <w:pPr>
        <w:spacing w:after="0"/>
        <w:ind w:left="1440" w:right="-360"/>
        <w:rPr>
          <w:rFonts w:ascii="Arial" w:hAnsi="Arial" w:cs="Arial"/>
          <w:color w:val="3B3838" w:themeColor="background2" w:themeShade="40"/>
          <w:sz w:val="20"/>
          <w:szCs w:val="20"/>
        </w:rPr>
      </w:pPr>
    </w:p>
    <w:p w14:paraId="51894E9B" w14:textId="28E7EB60" w:rsidR="00C946FA" w:rsidRDefault="001E4FD6"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Bond</w:t>
      </w:r>
      <w:r w:rsidR="00F9102F">
        <w:rPr>
          <w:rFonts w:ascii="Arial" w:hAnsi="Arial" w:cs="Arial"/>
          <w:color w:val="3B3838" w:themeColor="background2" w:themeShade="40"/>
          <w:sz w:val="20"/>
          <w:szCs w:val="20"/>
        </w:rPr>
        <w:t xml:space="preserve"> markets</w:t>
      </w:r>
      <w:r w:rsidR="00383AF2">
        <w:rPr>
          <w:rFonts w:ascii="Arial" w:hAnsi="Arial" w:cs="Arial"/>
          <w:color w:val="3B3838" w:themeColor="background2" w:themeShade="40"/>
          <w:sz w:val="20"/>
          <w:szCs w:val="20"/>
        </w:rPr>
        <w:t xml:space="preserve"> fell for the thir</w:t>
      </w:r>
      <w:r w:rsidR="00AC0516">
        <w:rPr>
          <w:rFonts w:ascii="Arial" w:hAnsi="Arial" w:cs="Arial"/>
          <w:color w:val="3B3838" w:themeColor="background2" w:themeShade="40"/>
          <w:sz w:val="20"/>
          <w:szCs w:val="20"/>
        </w:rPr>
        <w:t>d</w:t>
      </w:r>
      <w:r w:rsidR="00383AF2">
        <w:rPr>
          <w:rFonts w:ascii="Arial" w:hAnsi="Arial" w:cs="Arial"/>
          <w:color w:val="3B3838" w:themeColor="background2" w:themeShade="40"/>
          <w:sz w:val="20"/>
          <w:szCs w:val="20"/>
        </w:rPr>
        <w:t xml:space="preserve"> consecutive month</w:t>
      </w:r>
      <w:r w:rsidR="00C44320">
        <w:rPr>
          <w:rFonts w:ascii="Arial" w:hAnsi="Arial" w:cs="Arial"/>
          <w:color w:val="3B3838" w:themeColor="background2" w:themeShade="40"/>
          <w:sz w:val="20"/>
          <w:szCs w:val="20"/>
        </w:rPr>
        <w:t xml:space="preserve">, </w:t>
      </w:r>
      <w:r w:rsidR="00AC0516">
        <w:rPr>
          <w:rFonts w:ascii="Arial" w:hAnsi="Arial" w:cs="Arial"/>
          <w:color w:val="3B3838" w:themeColor="background2" w:themeShade="40"/>
          <w:sz w:val="20"/>
          <w:szCs w:val="20"/>
        </w:rPr>
        <w:t>unable to s</w:t>
      </w:r>
      <w:r w:rsidR="00C55370">
        <w:rPr>
          <w:rFonts w:ascii="Arial" w:hAnsi="Arial" w:cs="Arial"/>
          <w:color w:val="3B3838" w:themeColor="background2" w:themeShade="40"/>
          <w:sz w:val="20"/>
          <w:szCs w:val="20"/>
        </w:rPr>
        <w:t>hak</w:t>
      </w:r>
      <w:r w:rsidR="00AC0516">
        <w:rPr>
          <w:rFonts w:ascii="Arial" w:hAnsi="Arial" w:cs="Arial"/>
          <w:color w:val="3B3838" w:themeColor="background2" w:themeShade="40"/>
          <w:sz w:val="20"/>
          <w:szCs w:val="20"/>
        </w:rPr>
        <w:t>e</w:t>
      </w:r>
      <w:r w:rsidR="00383AF2">
        <w:rPr>
          <w:rFonts w:ascii="Arial" w:hAnsi="Arial" w:cs="Arial"/>
          <w:color w:val="3B3838" w:themeColor="background2" w:themeShade="40"/>
          <w:sz w:val="20"/>
          <w:szCs w:val="20"/>
        </w:rPr>
        <w:t xml:space="preserve"> </w:t>
      </w:r>
      <w:r w:rsidR="00AC0516">
        <w:rPr>
          <w:rFonts w:ascii="Arial" w:hAnsi="Arial" w:cs="Arial"/>
          <w:color w:val="3B3838" w:themeColor="background2" w:themeShade="40"/>
          <w:sz w:val="20"/>
          <w:szCs w:val="20"/>
        </w:rPr>
        <w:t>inflation</w:t>
      </w:r>
      <w:r w:rsidR="00C44320">
        <w:rPr>
          <w:rFonts w:ascii="Arial" w:hAnsi="Arial" w:cs="Arial"/>
          <w:color w:val="3B3838" w:themeColor="background2" w:themeShade="40"/>
          <w:sz w:val="20"/>
          <w:szCs w:val="20"/>
        </w:rPr>
        <w:t xml:space="preserve"> and </w:t>
      </w:r>
      <w:r w:rsidR="00AC0516">
        <w:rPr>
          <w:rFonts w:ascii="Arial" w:hAnsi="Arial" w:cs="Arial"/>
          <w:color w:val="3B3838" w:themeColor="background2" w:themeShade="40"/>
          <w:sz w:val="20"/>
          <w:szCs w:val="20"/>
        </w:rPr>
        <w:t xml:space="preserve">rising </w:t>
      </w:r>
      <w:r w:rsidR="000C1030">
        <w:rPr>
          <w:rFonts w:ascii="Arial" w:hAnsi="Arial" w:cs="Arial"/>
          <w:color w:val="3B3838" w:themeColor="background2" w:themeShade="40"/>
          <w:sz w:val="20"/>
          <w:szCs w:val="20"/>
        </w:rPr>
        <w:t>interest</w:t>
      </w:r>
      <w:r w:rsidR="00AC0516">
        <w:rPr>
          <w:rFonts w:ascii="Arial" w:hAnsi="Arial" w:cs="Arial"/>
          <w:color w:val="3B3838" w:themeColor="background2" w:themeShade="40"/>
          <w:sz w:val="20"/>
          <w:szCs w:val="20"/>
        </w:rPr>
        <w:t xml:space="preserve"> rate</w:t>
      </w:r>
      <w:r w:rsidR="00CF235D">
        <w:rPr>
          <w:rFonts w:ascii="Arial" w:hAnsi="Arial" w:cs="Arial"/>
          <w:color w:val="3B3838" w:themeColor="background2" w:themeShade="40"/>
          <w:sz w:val="20"/>
          <w:szCs w:val="20"/>
        </w:rPr>
        <w:t xml:space="preserve"> headwinds</w:t>
      </w:r>
      <w:r w:rsidR="00C44320">
        <w:rPr>
          <w:rFonts w:ascii="Arial" w:hAnsi="Arial" w:cs="Arial"/>
          <w:color w:val="3B3838" w:themeColor="background2" w:themeShade="40"/>
          <w:sz w:val="20"/>
          <w:szCs w:val="20"/>
        </w:rPr>
        <w:t xml:space="preserve">. </w:t>
      </w:r>
      <w:r w:rsidR="00F9102F">
        <w:rPr>
          <w:rFonts w:ascii="Arial" w:hAnsi="Arial" w:cs="Arial"/>
          <w:color w:val="3B3838" w:themeColor="background2" w:themeShade="40"/>
          <w:sz w:val="20"/>
          <w:szCs w:val="20"/>
        </w:rPr>
        <w:t xml:space="preserve">Emerging market bonds, down -2.3% in the month, outperformed </w:t>
      </w:r>
      <w:r w:rsidR="00CF235D">
        <w:rPr>
          <w:rFonts w:ascii="Arial" w:hAnsi="Arial" w:cs="Arial"/>
          <w:color w:val="3B3838" w:themeColor="background2" w:themeShade="40"/>
          <w:sz w:val="20"/>
          <w:szCs w:val="20"/>
        </w:rPr>
        <w:t>US</w:t>
      </w:r>
      <w:r w:rsidR="009C5871">
        <w:rPr>
          <w:rFonts w:ascii="Arial" w:hAnsi="Arial" w:cs="Arial"/>
          <w:color w:val="3B3838" w:themeColor="background2" w:themeShade="40"/>
          <w:sz w:val="20"/>
          <w:szCs w:val="20"/>
        </w:rPr>
        <w:t xml:space="preserve"> </w:t>
      </w:r>
      <w:r w:rsidR="00F9102F">
        <w:rPr>
          <w:rFonts w:ascii="Arial" w:hAnsi="Arial" w:cs="Arial"/>
          <w:color w:val="3B3838" w:themeColor="background2" w:themeShade="40"/>
          <w:sz w:val="20"/>
          <w:szCs w:val="20"/>
        </w:rPr>
        <w:t>(-2.8%)</w:t>
      </w:r>
      <w:r w:rsidR="00CF235D">
        <w:rPr>
          <w:rFonts w:ascii="Arial" w:hAnsi="Arial" w:cs="Arial"/>
          <w:color w:val="3B3838" w:themeColor="background2" w:themeShade="40"/>
          <w:sz w:val="20"/>
          <w:szCs w:val="20"/>
        </w:rPr>
        <w:t xml:space="preserve"> </w:t>
      </w:r>
      <w:r w:rsidR="00F9102F">
        <w:rPr>
          <w:rFonts w:ascii="Arial" w:hAnsi="Arial" w:cs="Arial"/>
          <w:color w:val="3B3838" w:themeColor="background2" w:themeShade="40"/>
          <w:sz w:val="20"/>
          <w:szCs w:val="20"/>
        </w:rPr>
        <w:t>and international developed (-3.2%) fixed income in March</w:t>
      </w:r>
      <w:r w:rsidR="00CF235D">
        <w:rPr>
          <w:rFonts w:ascii="Arial" w:hAnsi="Arial" w:cs="Arial"/>
          <w:color w:val="3B3838" w:themeColor="background2" w:themeShade="40"/>
          <w:sz w:val="20"/>
          <w:szCs w:val="20"/>
        </w:rPr>
        <w:t>.</w:t>
      </w:r>
      <w:r w:rsidR="00455CB2">
        <w:rPr>
          <w:rFonts w:ascii="Arial" w:hAnsi="Arial" w:cs="Arial"/>
          <w:color w:val="3B3838" w:themeColor="background2" w:themeShade="40"/>
          <w:sz w:val="20"/>
          <w:szCs w:val="20"/>
        </w:rPr>
        <w:t xml:space="preserve"> </w:t>
      </w:r>
      <w:r w:rsidR="007769AC">
        <w:rPr>
          <w:rFonts w:ascii="Arial" w:hAnsi="Arial" w:cs="Arial"/>
          <w:color w:val="3B3838" w:themeColor="background2" w:themeShade="40"/>
          <w:sz w:val="20"/>
          <w:szCs w:val="20"/>
        </w:rPr>
        <w:t xml:space="preserve">The Federal Reserve embarked on its first interest rate hike since 2018 with additional hikes anticipated for 2022. The </w:t>
      </w:r>
      <w:r w:rsidR="00455CB2">
        <w:rPr>
          <w:rFonts w:ascii="Arial" w:hAnsi="Arial" w:cs="Arial"/>
          <w:color w:val="3B3838" w:themeColor="background2" w:themeShade="40"/>
          <w:sz w:val="20"/>
          <w:szCs w:val="20"/>
        </w:rPr>
        <w:t>s</w:t>
      </w:r>
      <w:r w:rsidR="00D05E28" w:rsidRPr="000C1030">
        <w:rPr>
          <w:rFonts w:ascii="Arial" w:hAnsi="Arial" w:cs="Arial"/>
          <w:color w:val="3B3838" w:themeColor="background2" w:themeShade="40"/>
          <w:sz w:val="20"/>
          <w:szCs w:val="20"/>
        </w:rPr>
        <w:t xml:space="preserve">hort-term </w:t>
      </w:r>
      <w:r w:rsidR="00455CB2">
        <w:rPr>
          <w:rFonts w:ascii="Arial" w:hAnsi="Arial" w:cs="Arial"/>
          <w:color w:val="3B3838" w:themeColor="background2" w:themeShade="40"/>
          <w:sz w:val="20"/>
          <w:szCs w:val="20"/>
        </w:rPr>
        <w:t>bond yields</w:t>
      </w:r>
      <w:r w:rsidR="000C1030" w:rsidRPr="000C1030">
        <w:rPr>
          <w:rFonts w:ascii="Arial" w:hAnsi="Arial" w:cs="Arial"/>
          <w:color w:val="3B3838" w:themeColor="background2" w:themeShade="40"/>
          <w:sz w:val="20"/>
          <w:szCs w:val="20"/>
        </w:rPr>
        <w:t xml:space="preserve"> (2-year</w:t>
      </w:r>
      <w:r w:rsidR="00C946FA">
        <w:rPr>
          <w:rFonts w:ascii="Arial" w:hAnsi="Arial" w:cs="Arial"/>
          <w:color w:val="3B3838" w:themeColor="background2" w:themeShade="40"/>
          <w:sz w:val="20"/>
          <w:szCs w:val="20"/>
        </w:rPr>
        <w:t xml:space="preserve"> Treasury</w:t>
      </w:r>
      <w:r w:rsidR="000C1030" w:rsidRPr="000C1030">
        <w:rPr>
          <w:rFonts w:ascii="Arial" w:hAnsi="Arial" w:cs="Arial"/>
          <w:color w:val="3B3838" w:themeColor="background2" w:themeShade="40"/>
          <w:sz w:val="20"/>
          <w:szCs w:val="20"/>
        </w:rPr>
        <w:t>)</w:t>
      </w:r>
      <w:r w:rsidR="00D05E28" w:rsidRPr="000C1030">
        <w:rPr>
          <w:rFonts w:ascii="Arial" w:hAnsi="Arial" w:cs="Arial"/>
          <w:color w:val="3B3838" w:themeColor="background2" w:themeShade="40"/>
          <w:sz w:val="20"/>
          <w:szCs w:val="20"/>
        </w:rPr>
        <w:t xml:space="preserve"> </w:t>
      </w:r>
      <w:r w:rsidR="00AC0516" w:rsidRPr="000C1030">
        <w:rPr>
          <w:rFonts w:ascii="Arial" w:hAnsi="Arial" w:cs="Arial"/>
          <w:color w:val="3B3838" w:themeColor="background2" w:themeShade="40"/>
          <w:sz w:val="20"/>
          <w:szCs w:val="20"/>
        </w:rPr>
        <w:t>briefly rose</w:t>
      </w:r>
      <w:r w:rsidR="00383AF2" w:rsidRPr="000C1030">
        <w:rPr>
          <w:rFonts w:ascii="Arial" w:hAnsi="Arial" w:cs="Arial"/>
          <w:color w:val="3B3838" w:themeColor="background2" w:themeShade="40"/>
          <w:sz w:val="20"/>
          <w:szCs w:val="20"/>
        </w:rPr>
        <w:t xml:space="preserve"> above </w:t>
      </w:r>
      <w:r w:rsidR="00D05E28" w:rsidRPr="000C1030">
        <w:rPr>
          <w:rFonts w:ascii="Arial" w:hAnsi="Arial" w:cs="Arial"/>
          <w:color w:val="3B3838" w:themeColor="background2" w:themeShade="40"/>
          <w:sz w:val="20"/>
          <w:szCs w:val="20"/>
        </w:rPr>
        <w:t>long</w:t>
      </w:r>
      <w:r w:rsidR="00AC0516" w:rsidRPr="000C1030">
        <w:rPr>
          <w:rFonts w:ascii="Arial" w:hAnsi="Arial" w:cs="Arial"/>
          <w:color w:val="3B3838" w:themeColor="background2" w:themeShade="40"/>
          <w:sz w:val="20"/>
          <w:szCs w:val="20"/>
        </w:rPr>
        <w:t>er</w:t>
      </w:r>
      <w:r w:rsidR="00D05E28" w:rsidRPr="000C1030">
        <w:rPr>
          <w:rFonts w:ascii="Arial" w:hAnsi="Arial" w:cs="Arial"/>
          <w:color w:val="3B3838" w:themeColor="background2" w:themeShade="40"/>
          <w:sz w:val="20"/>
          <w:szCs w:val="20"/>
        </w:rPr>
        <w:t>-term</w:t>
      </w:r>
      <w:r w:rsidR="00455CB2">
        <w:rPr>
          <w:rFonts w:ascii="Arial" w:hAnsi="Arial" w:cs="Arial"/>
          <w:color w:val="3B3838" w:themeColor="background2" w:themeShade="40"/>
          <w:sz w:val="20"/>
          <w:szCs w:val="20"/>
        </w:rPr>
        <w:t xml:space="preserve"> yields</w:t>
      </w:r>
      <w:r w:rsidR="000C1030" w:rsidRPr="000C1030">
        <w:rPr>
          <w:rFonts w:ascii="Arial" w:hAnsi="Arial" w:cs="Arial"/>
          <w:color w:val="3B3838" w:themeColor="background2" w:themeShade="40"/>
          <w:sz w:val="20"/>
          <w:szCs w:val="20"/>
        </w:rPr>
        <w:t xml:space="preserve"> (30</w:t>
      </w:r>
      <w:r w:rsidR="00455CB2">
        <w:rPr>
          <w:rFonts w:ascii="Arial" w:hAnsi="Arial" w:cs="Arial"/>
          <w:color w:val="3B3838" w:themeColor="background2" w:themeShade="40"/>
          <w:sz w:val="20"/>
          <w:szCs w:val="20"/>
        </w:rPr>
        <w:t>-</w:t>
      </w:r>
      <w:r w:rsidR="000C1030" w:rsidRPr="000C1030">
        <w:rPr>
          <w:rFonts w:ascii="Arial" w:hAnsi="Arial" w:cs="Arial"/>
          <w:color w:val="3B3838" w:themeColor="background2" w:themeShade="40"/>
          <w:sz w:val="20"/>
          <w:szCs w:val="20"/>
        </w:rPr>
        <w:t>year</w:t>
      </w:r>
      <w:r w:rsidR="00C946FA">
        <w:rPr>
          <w:rFonts w:ascii="Arial" w:hAnsi="Arial" w:cs="Arial"/>
          <w:color w:val="3B3838" w:themeColor="background2" w:themeShade="40"/>
          <w:sz w:val="20"/>
          <w:szCs w:val="20"/>
        </w:rPr>
        <w:t xml:space="preserve"> Treasury</w:t>
      </w:r>
      <w:r w:rsidR="000C1030" w:rsidRPr="000C1030">
        <w:rPr>
          <w:rFonts w:ascii="Arial" w:hAnsi="Arial" w:cs="Arial"/>
          <w:color w:val="3B3838" w:themeColor="background2" w:themeShade="40"/>
          <w:sz w:val="20"/>
          <w:szCs w:val="20"/>
        </w:rPr>
        <w:t>)</w:t>
      </w:r>
      <w:r w:rsidR="00A57EE1">
        <w:rPr>
          <w:rStyle w:val="EndnoteReference"/>
          <w:rFonts w:ascii="Arial" w:hAnsi="Arial" w:cs="Arial"/>
          <w:color w:val="3B3838" w:themeColor="background2" w:themeShade="40"/>
          <w:sz w:val="20"/>
          <w:szCs w:val="20"/>
        </w:rPr>
        <w:endnoteReference w:id="3"/>
      </w:r>
      <w:r w:rsidR="00710280" w:rsidRPr="000C1030">
        <w:rPr>
          <w:rFonts w:ascii="Arial" w:hAnsi="Arial" w:cs="Arial"/>
          <w:color w:val="3B3838" w:themeColor="background2" w:themeShade="40"/>
          <w:sz w:val="20"/>
          <w:szCs w:val="20"/>
        </w:rPr>
        <w:t xml:space="preserve">, a </w:t>
      </w:r>
      <w:r w:rsidR="000C1030" w:rsidRPr="000C1030">
        <w:rPr>
          <w:rFonts w:ascii="Arial" w:hAnsi="Arial" w:cs="Arial"/>
          <w:color w:val="3B3838" w:themeColor="background2" w:themeShade="40"/>
          <w:sz w:val="20"/>
          <w:szCs w:val="20"/>
        </w:rPr>
        <w:t>signal</w:t>
      </w:r>
      <w:r w:rsidR="000C1030">
        <w:rPr>
          <w:rFonts w:ascii="Arial" w:hAnsi="Arial" w:cs="Arial"/>
          <w:color w:val="3B3838" w:themeColor="background2" w:themeShade="40"/>
          <w:sz w:val="20"/>
          <w:szCs w:val="20"/>
        </w:rPr>
        <w:t xml:space="preserve"> that</w:t>
      </w:r>
      <w:r w:rsidR="000C1030" w:rsidRPr="000C1030">
        <w:rPr>
          <w:rFonts w:ascii="Arial" w:hAnsi="Arial" w:cs="Arial"/>
          <w:color w:val="3B3838" w:themeColor="background2" w:themeShade="40"/>
          <w:sz w:val="20"/>
          <w:szCs w:val="20"/>
        </w:rPr>
        <w:t xml:space="preserve"> bond investor</w:t>
      </w:r>
      <w:r w:rsidR="000C1030">
        <w:rPr>
          <w:rFonts w:ascii="Arial" w:hAnsi="Arial" w:cs="Arial"/>
          <w:color w:val="3B3838" w:themeColor="background2" w:themeShade="40"/>
          <w:sz w:val="20"/>
          <w:szCs w:val="20"/>
        </w:rPr>
        <w:t>s</w:t>
      </w:r>
      <w:r w:rsidR="00AC0516" w:rsidRPr="000C1030">
        <w:rPr>
          <w:rFonts w:ascii="Arial" w:hAnsi="Arial" w:cs="Arial"/>
          <w:color w:val="3B3838" w:themeColor="background2" w:themeShade="40"/>
          <w:sz w:val="20"/>
          <w:szCs w:val="20"/>
        </w:rPr>
        <w:t xml:space="preserve"> </w:t>
      </w:r>
      <w:r w:rsidR="00710280" w:rsidRPr="000C1030">
        <w:rPr>
          <w:rFonts w:ascii="Arial" w:hAnsi="Arial" w:cs="Arial"/>
          <w:color w:val="3B3838" w:themeColor="background2" w:themeShade="40"/>
          <w:sz w:val="20"/>
          <w:szCs w:val="20"/>
        </w:rPr>
        <w:t xml:space="preserve">generally </w:t>
      </w:r>
      <w:r w:rsidR="000C1030">
        <w:rPr>
          <w:rFonts w:ascii="Arial" w:hAnsi="Arial" w:cs="Arial"/>
          <w:color w:val="3B3838" w:themeColor="background2" w:themeShade="40"/>
          <w:sz w:val="20"/>
          <w:szCs w:val="20"/>
        </w:rPr>
        <w:t>view</w:t>
      </w:r>
      <w:r w:rsidR="00710280" w:rsidRPr="000C1030">
        <w:rPr>
          <w:rFonts w:ascii="Arial" w:hAnsi="Arial" w:cs="Arial"/>
          <w:color w:val="3B3838" w:themeColor="background2" w:themeShade="40"/>
          <w:sz w:val="20"/>
          <w:szCs w:val="20"/>
        </w:rPr>
        <w:t xml:space="preserve"> a</w:t>
      </w:r>
      <w:r w:rsidR="00AC0516" w:rsidRPr="000C1030">
        <w:rPr>
          <w:rFonts w:ascii="Arial" w:hAnsi="Arial" w:cs="Arial"/>
          <w:color w:val="3B3838" w:themeColor="background2" w:themeShade="40"/>
          <w:sz w:val="20"/>
          <w:szCs w:val="20"/>
        </w:rPr>
        <w:t>s bearish</w:t>
      </w:r>
      <w:r w:rsidR="00A57EE1">
        <w:rPr>
          <w:rStyle w:val="EndnoteReference"/>
          <w:rFonts w:ascii="Arial" w:hAnsi="Arial" w:cs="Arial"/>
          <w:color w:val="3B3838" w:themeColor="background2" w:themeShade="40"/>
          <w:sz w:val="20"/>
          <w:szCs w:val="20"/>
        </w:rPr>
        <w:endnoteReference w:id="4"/>
      </w:r>
      <w:r w:rsidR="004A3AEE" w:rsidRPr="00E55DE2">
        <w:rPr>
          <w:rFonts w:ascii="Arial" w:hAnsi="Arial" w:cs="Arial"/>
          <w:color w:val="3B3838" w:themeColor="background2" w:themeShade="40"/>
          <w:sz w:val="20"/>
          <w:szCs w:val="20"/>
        </w:rPr>
        <w:t>.</w:t>
      </w:r>
      <w:r w:rsidR="00724C85">
        <w:rPr>
          <w:rFonts w:ascii="Arial" w:hAnsi="Arial" w:cs="Arial"/>
          <w:color w:val="3B3838" w:themeColor="background2" w:themeShade="40"/>
          <w:sz w:val="20"/>
          <w:szCs w:val="20"/>
        </w:rPr>
        <w:t xml:space="preserve"> </w:t>
      </w:r>
      <w:r w:rsidR="00F9102F">
        <w:rPr>
          <w:rFonts w:ascii="Arial" w:hAnsi="Arial" w:cs="Arial"/>
          <w:color w:val="3B3838" w:themeColor="background2" w:themeShade="40"/>
          <w:sz w:val="20"/>
          <w:szCs w:val="20"/>
        </w:rPr>
        <w:t>All</w:t>
      </w:r>
      <w:r w:rsidR="004A3AEE" w:rsidRPr="00E55DE2">
        <w:rPr>
          <w:rFonts w:ascii="Arial" w:hAnsi="Arial" w:cs="Arial"/>
          <w:color w:val="3B3838" w:themeColor="background2" w:themeShade="40"/>
          <w:sz w:val="20"/>
          <w:szCs w:val="20"/>
        </w:rPr>
        <w:t xml:space="preserve"> major bond sectors </w:t>
      </w:r>
      <w:r w:rsidR="00F9102F">
        <w:rPr>
          <w:rFonts w:ascii="Arial" w:hAnsi="Arial" w:cs="Arial"/>
          <w:color w:val="3B3838" w:themeColor="background2" w:themeShade="40"/>
          <w:sz w:val="20"/>
          <w:szCs w:val="20"/>
        </w:rPr>
        <w:t>declined in March</w:t>
      </w:r>
      <w:r w:rsidR="004A3AEE" w:rsidRPr="00E55DE2">
        <w:rPr>
          <w:rFonts w:ascii="Arial" w:hAnsi="Arial" w:cs="Arial"/>
          <w:color w:val="3B3838" w:themeColor="background2" w:themeShade="40"/>
          <w:sz w:val="20"/>
          <w:szCs w:val="20"/>
        </w:rPr>
        <w:t>, led by long treasuries (-</w:t>
      </w:r>
      <w:r w:rsidR="00F9102F">
        <w:rPr>
          <w:rFonts w:ascii="Arial" w:hAnsi="Arial" w:cs="Arial"/>
          <w:color w:val="3B3838" w:themeColor="background2" w:themeShade="40"/>
          <w:sz w:val="20"/>
          <w:szCs w:val="20"/>
        </w:rPr>
        <w:t>5.3</w:t>
      </w:r>
      <w:r w:rsidR="004A3AEE">
        <w:rPr>
          <w:rFonts w:ascii="Arial" w:hAnsi="Arial" w:cs="Arial"/>
          <w:color w:val="3B3838" w:themeColor="background2" w:themeShade="40"/>
          <w:sz w:val="20"/>
          <w:szCs w:val="20"/>
        </w:rPr>
        <w:t>%)</w:t>
      </w:r>
      <w:r w:rsidR="00F9102F">
        <w:rPr>
          <w:rFonts w:ascii="Arial" w:hAnsi="Arial" w:cs="Arial"/>
          <w:color w:val="3B3838" w:themeColor="background2" w:themeShade="40"/>
          <w:sz w:val="20"/>
          <w:szCs w:val="20"/>
        </w:rPr>
        <w:t xml:space="preserve"> and Municipals (-3.2%)</w:t>
      </w:r>
      <w:r w:rsidR="00700187">
        <w:rPr>
          <w:rFonts w:ascii="Arial" w:hAnsi="Arial" w:cs="Arial"/>
          <w:color w:val="3B3838" w:themeColor="background2" w:themeShade="40"/>
          <w:sz w:val="20"/>
          <w:szCs w:val="20"/>
        </w:rPr>
        <w:t>.</w:t>
      </w:r>
      <w:r w:rsidR="00F30A84">
        <w:rPr>
          <w:rFonts w:ascii="Arial" w:hAnsi="Arial" w:cs="Arial"/>
          <w:color w:val="3B3838" w:themeColor="background2" w:themeShade="40"/>
          <w:sz w:val="20"/>
          <w:szCs w:val="20"/>
        </w:rPr>
        <w:t xml:space="preserve">  </w:t>
      </w:r>
    </w:p>
    <w:p w14:paraId="1D08DDB8" w14:textId="77777777" w:rsidR="00F30A84" w:rsidRDefault="00F30A84" w:rsidP="00A57EE1">
      <w:pPr>
        <w:spacing w:after="0"/>
        <w:ind w:left="1440" w:right="-360"/>
        <w:rPr>
          <w:rFonts w:ascii="Arial" w:hAnsi="Arial" w:cs="Arial"/>
          <w:color w:val="3B3838" w:themeColor="background2" w:themeShade="40"/>
          <w:sz w:val="20"/>
          <w:szCs w:val="20"/>
        </w:rPr>
      </w:pPr>
    </w:p>
    <w:p w14:paraId="50E226DB" w14:textId="252990B7" w:rsidR="00455CB2" w:rsidRDefault="00724C85" w:rsidP="00A57EE1">
      <w:pPr>
        <w:spacing w:after="0"/>
        <w:ind w:left="1440" w:right="-360"/>
        <w:rPr>
          <w:rFonts w:ascii="Arial" w:hAnsi="Arial" w:cs="Arial"/>
          <w:color w:val="3B3838" w:themeColor="background2" w:themeShade="40"/>
          <w:sz w:val="20"/>
          <w:szCs w:val="20"/>
        </w:rPr>
      </w:pPr>
      <w:r w:rsidRPr="00842921">
        <w:rPr>
          <w:rFonts w:ascii="Arial" w:hAnsi="Arial" w:cs="Arial"/>
          <w:color w:val="3B3838" w:themeColor="background2" w:themeShade="40"/>
          <w:sz w:val="20"/>
          <w:szCs w:val="20"/>
        </w:rPr>
        <w:lastRenderedPageBreak/>
        <w:t xml:space="preserve">Broad </w:t>
      </w:r>
      <w:r w:rsidR="00CA5B15">
        <w:rPr>
          <w:rFonts w:ascii="Arial" w:hAnsi="Arial" w:cs="Arial"/>
          <w:color w:val="3B3838" w:themeColor="background2" w:themeShade="40"/>
          <w:sz w:val="20"/>
          <w:szCs w:val="20"/>
        </w:rPr>
        <w:t>c</w:t>
      </w:r>
      <w:r w:rsidR="004A3AEE" w:rsidRPr="00842921">
        <w:rPr>
          <w:rFonts w:ascii="Arial" w:hAnsi="Arial" w:cs="Arial"/>
          <w:color w:val="3B3838" w:themeColor="background2" w:themeShade="40"/>
          <w:sz w:val="20"/>
          <w:szCs w:val="20"/>
        </w:rPr>
        <w:t>ommodities</w:t>
      </w:r>
      <w:r w:rsidR="004A3AEE" w:rsidRPr="00E55DE2">
        <w:rPr>
          <w:rFonts w:ascii="Arial" w:hAnsi="Arial" w:cs="Arial"/>
          <w:color w:val="3B3838" w:themeColor="background2" w:themeShade="40"/>
          <w:sz w:val="20"/>
          <w:szCs w:val="20"/>
        </w:rPr>
        <w:t xml:space="preserve"> continued to rally</w:t>
      </w:r>
      <w:r>
        <w:rPr>
          <w:rFonts w:ascii="Arial" w:hAnsi="Arial" w:cs="Arial"/>
          <w:color w:val="3B3838" w:themeColor="background2" w:themeShade="40"/>
          <w:sz w:val="20"/>
          <w:szCs w:val="20"/>
        </w:rPr>
        <w:t xml:space="preserve">, up </w:t>
      </w:r>
      <w:r w:rsidR="00F9102F">
        <w:rPr>
          <w:rFonts w:ascii="Arial" w:hAnsi="Arial" w:cs="Arial"/>
          <w:color w:val="3B3838" w:themeColor="background2" w:themeShade="40"/>
          <w:sz w:val="20"/>
          <w:szCs w:val="20"/>
        </w:rPr>
        <w:t>8.6% in March</w:t>
      </w:r>
      <w:r w:rsidR="009300E4">
        <w:rPr>
          <w:rFonts w:ascii="Arial" w:hAnsi="Arial" w:cs="Arial"/>
          <w:color w:val="3B3838" w:themeColor="background2" w:themeShade="40"/>
          <w:sz w:val="20"/>
          <w:szCs w:val="20"/>
        </w:rPr>
        <w:t xml:space="preserve"> and 25.5% for the year</w:t>
      </w:r>
      <w:r w:rsidR="004A3AEE" w:rsidRPr="00D116BD">
        <w:rPr>
          <w:rFonts w:ascii="Arial" w:hAnsi="Arial" w:cs="Arial"/>
          <w:color w:val="3B3838" w:themeColor="background2" w:themeShade="40"/>
          <w:sz w:val="20"/>
          <w:szCs w:val="20"/>
        </w:rPr>
        <w:t xml:space="preserve">. Within </w:t>
      </w:r>
      <w:r w:rsidR="00594224" w:rsidRPr="00D116BD">
        <w:rPr>
          <w:rFonts w:ascii="Arial" w:hAnsi="Arial" w:cs="Arial"/>
          <w:color w:val="3B3838" w:themeColor="background2" w:themeShade="40"/>
          <w:sz w:val="20"/>
          <w:szCs w:val="20"/>
        </w:rPr>
        <w:t>comm</w:t>
      </w:r>
      <w:r w:rsidR="00594224">
        <w:rPr>
          <w:rFonts w:ascii="Arial" w:hAnsi="Arial" w:cs="Arial"/>
          <w:color w:val="3B3838" w:themeColor="background2" w:themeShade="40"/>
          <w:sz w:val="20"/>
          <w:szCs w:val="20"/>
        </w:rPr>
        <w:t>o</w:t>
      </w:r>
      <w:r w:rsidR="00594224" w:rsidRPr="00D116BD">
        <w:rPr>
          <w:rFonts w:ascii="Arial" w:hAnsi="Arial" w:cs="Arial"/>
          <w:color w:val="3B3838" w:themeColor="background2" w:themeShade="40"/>
          <w:sz w:val="20"/>
          <w:szCs w:val="20"/>
        </w:rPr>
        <w:t>d</w:t>
      </w:r>
      <w:r w:rsidR="00594224">
        <w:rPr>
          <w:rFonts w:ascii="Arial" w:hAnsi="Arial" w:cs="Arial"/>
          <w:color w:val="3B3838" w:themeColor="background2" w:themeShade="40"/>
          <w:sz w:val="20"/>
          <w:szCs w:val="20"/>
        </w:rPr>
        <w:t>ities</w:t>
      </w:r>
      <w:r w:rsidR="00594224" w:rsidRPr="00D116BD">
        <w:rPr>
          <w:rFonts w:ascii="Arial" w:hAnsi="Arial" w:cs="Arial"/>
          <w:color w:val="3B3838" w:themeColor="background2" w:themeShade="40"/>
          <w:sz w:val="20"/>
          <w:szCs w:val="20"/>
        </w:rPr>
        <w:t>,</w:t>
      </w:r>
      <w:r w:rsidR="004A3AEE">
        <w:rPr>
          <w:rFonts w:ascii="Arial" w:hAnsi="Arial" w:cs="Arial"/>
          <w:color w:val="3B3838" w:themeColor="background2" w:themeShade="40"/>
          <w:sz w:val="20"/>
          <w:szCs w:val="20"/>
        </w:rPr>
        <w:t xml:space="preserve"> </w:t>
      </w:r>
      <w:r w:rsidR="00501369">
        <w:rPr>
          <w:rFonts w:ascii="Arial" w:hAnsi="Arial" w:cs="Arial"/>
          <w:color w:val="3B3838" w:themeColor="background2" w:themeShade="40"/>
          <w:sz w:val="20"/>
          <w:szCs w:val="20"/>
        </w:rPr>
        <w:t xml:space="preserve">energy has continued </w:t>
      </w:r>
      <w:r w:rsidR="00F9102F">
        <w:rPr>
          <w:rFonts w:ascii="Arial" w:hAnsi="Arial" w:cs="Arial"/>
          <w:color w:val="3B3838" w:themeColor="background2" w:themeShade="40"/>
          <w:sz w:val="20"/>
          <w:szCs w:val="20"/>
        </w:rPr>
        <w:t>its hot streak</w:t>
      </w:r>
      <w:r>
        <w:rPr>
          <w:rFonts w:ascii="Arial" w:hAnsi="Arial" w:cs="Arial"/>
          <w:color w:val="3B3838" w:themeColor="background2" w:themeShade="40"/>
          <w:sz w:val="20"/>
          <w:szCs w:val="20"/>
        </w:rPr>
        <w:t>, up 16.1% for the month and 47.9% for the year</w:t>
      </w:r>
      <w:r w:rsidR="009F2000">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t>
      </w:r>
      <w:r w:rsidR="003D49A8">
        <w:rPr>
          <w:rFonts w:ascii="Arial" w:hAnsi="Arial" w:cs="Arial"/>
          <w:color w:val="3B3838" w:themeColor="background2" w:themeShade="40"/>
          <w:sz w:val="20"/>
          <w:szCs w:val="20"/>
        </w:rPr>
        <w:t>prompted</w:t>
      </w:r>
      <w:r>
        <w:rPr>
          <w:rFonts w:ascii="Arial" w:hAnsi="Arial" w:cs="Arial"/>
          <w:color w:val="3B3838" w:themeColor="background2" w:themeShade="40"/>
          <w:sz w:val="20"/>
          <w:szCs w:val="20"/>
        </w:rPr>
        <w:t xml:space="preserve"> by ongoing conflicts in Ukraine.</w:t>
      </w:r>
      <w:r w:rsidR="00F9102F">
        <w:rPr>
          <w:rFonts w:ascii="Arial" w:hAnsi="Arial" w:cs="Arial"/>
          <w:color w:val="3B3838" w:themeColor="background2" w:themeShade="40"/>
          <w:sz w:val="20"/>
          <w:szCs w:val="20"/>
        </w:rPr>
        <w:t xml:space="preserve"> </w:t>
      </w:r>
      <w:r w:rsidR="00455CB2">
        <w:rPr>
          <w:rFonts w:ascii="Arial" w:hAnsi="Arial" w:cs="Arial"/>
          <w:color w:val="3B3838" w:themeColor="background2" w:themeShade="40"/>
          <w:sz w:val="20"/>
          <w:szCs w:val="20"/>
        </w:rPr>
        <w:t xml:space="preserve">After a steep decline in January and February, </w:t>
      </w:r>
      <w:r w:rsidR="00500609">
        <w:rPr>
          <w:rFonts w:ascii="Arial" w:hAnsi="Arial" w:cs="Arial"/>
          <w:color w:val="3B3838" w:themeColor="background2" w:themeShade="40"/>
          <w:sz w:val="20"/>
          <w:szCs w:val="20"/>
        </w:rPr>
        <w:t xml:space="preserve">US </w:t>
      </w:r>
      <w:r w:rsidR="004A3AEE" w:rsidRPr="00D646A5">
        <w:rPr>
          <w:rFonts w:ascii="Arial" w:hAnsi="Arial" w:cs="Arial"/>
          <w:color w:val="3B3838" w:themeColor="background2" w:themeShade="40"/>
          <w:sz w:val="20"/>
          <w:szCs w:val="20"/>
        </w:rPr>
        <w:t xml:space="preserve">REITS </w:t>
      </w:r>
      <w:r w:rsidR="00500609">
        <w:rPr>
          <w:rFonts w:ascii="Arial" w:hAnsi="Arial" w:cs="Arial"/>
          <w:color w:val="3B3838" w:themeColor="background2" w:themeShade="40"/>
          <w:sz w:val="20"/>
          <w:szCs w:val="20"/>
        </w:rPr>
        <w:t>turned a corner a</w:t>
      </w:r>
      <w:r w:rsidR="000A6046">
        <w:rPr>
          <w:rFonts w:ascii="Arial" w:hAnsi="Arial" w:cs="Arial"/>
          <w:color w:val="3B3838" w:themeColor="background2" w:themeShade="40"/>
          <w:sz w:val="20"/>
          <w:szCs w:val="20"/>
        </w:rPr>
        <w:t>nd</w:t>
      </w:r>
      <w:r w:rsidR="00500609">
        <w:rPr>
          <w:rFonts w:ascii="Arial" w:hAnsi="Arial" w:cs="Arial"/>
          <w:color w:val="3B3838" w:themeColor="background2" w:themeShade="40"/>
          <w:sz w:val="20"/>
          <w:szCs w:val="20"/>
        </w:rPr>
        <w:t xml:space="preserve"> rose 7.0% in March. Gold and the US dolla</w:t>
      </w:r>
      <w:r>
        <w:rPr>
          <w:rFonts w:ascii="Arial" w:hAnsi="Arial" w:cs="Arial"/>
          <w:color w:val="3B3838" w:themeColor="background2" w:themeShade="40"/>
          <w:sz w:val="20"/>
          <w:szCs w:val="20"/>
        </w:rPr>
        <w:t>r, traditional safe-haven investments gained</w:t>
      </w:r>
      <w:r w:rsidR="00500609">
        <w:rPr>
          <w:rFonts w:ascii="Arial" w:hAnsi="Arial" w:cs="Arial"/>
          <w:color w:val="3B3838" w:themeColor="background2" w:themeShade="40"/>
          <w:sz w:val="20"/>
          <w:szCs w:val="20"/>
        </w:rPr>
        <w:t xml:space="preserve"> 2.7% and 1.6% </w:t>
      </w:r>
      <w:r>
        <w:rPr>
          <w:rFonts w:ascii="Arial" w:hAnsi="Arial" w:cs="Arial"/>
          <w:color w:val="3B3838" w:themeColor="background2" w:themeShade="40"/>
          <w:sz w:val="20"/>
          <w:szCs w:val="20"/>
        </w:rPr>
        <w:t xml:space="preserve">respectively </w:t>
      </w:r>
      <w:r w:rsidR="00500609">
        <w:rPr>
          <w:rFonts w:ascii="Arial" w:hAnsi="Arial" w:cs="Arial"/>
          <w:color w:val="3B3838" w:themeColor="background2" w:themeShade="40"/>
          <w:sz w:val="20"/>
          <w:szCs w:val="20"/>
        </w:rPr>
        <w:t>during the month</w:t>
      </w:r>
      <w:r>
        <w:rPr>
          <w:rFonts w:ascii="Arial" w:hAnsi="Arial" w:cs="Arial"/>
          <w:color w:val="3B3838" w:themeColor="background2" w:themeShade="40"/>
          <w:sz w:val="20"/>
          <w:szCs w:val="20"/>
        </w:rPr>
        <w:t>.</w:t>
      </w:r>
    </w:p>
    <w:p w14:paraId="3C492FB7" w14:textId="2E92BA94" w:rsidR="00710280" w:rsidRDefault="00455CB2" w:rsidP="00C946F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00500609">
        <w:rPr>
          <w:rFonts w:ascii="Arial" w:hAnsi="Arial" w:cs="Arial"/>
          <w:color w:val="3B3838" w:themeColor="background2" w:themeShade="40"/>
          <w:sz w:val="20"/>
          <w:szCs w:val="20"/>
        </w:rPr>
        <w:t xml:space="preserve"> </w:t>
      </w:r>
      <w:r w:rsidR="004A3AEE" w:rsidRPr="00E55DE2">
        <w:rPr>
          <w:rFonts w:ascii="Arial" w:hAnsi="Arial" w:cs="Arial"/>
          <w:color w:val="3B3838" w:themeColor="background2" w:themeShade="40"/>
          <w:sz w:val="20"/>
          <w:szCs w:val="20"/>
        </w:rPr>
        <w:t xml:space="preserve"> </w:t>
      </w:r>
    </w:p>
    <w:p w14:paraId="6CC0A689" w14:textId="70845D44" w:rsidR="004A3AEE" w:rsidRPr="006F399C" w:rsidRDefault="004A3AEE" w:rsidP="004A3AEE">
      <w:pPr>
        <w:spacing w:after="0"/>
        <w:ind w:left="1440" w:right="-360"/>
        <w:rPr>
          <w:rFonts w:ascii="Arial" w:hAnsi="Arial" w:cs="Arial"/>
          <w:color w:val="3B3838" w:themeColor="background2" w:themeShade="40"/>
          <w:sz w:val="20"/>
          <w:szCs w:val="20"/>
        </w:rPr>
      </w:pPr>
      <w:r w:rsidRPr="000753AC">
        <w:rPr>
          <w:rFonts w:ascii="Arial" w:hAnsi="Arial" w:cs="Arial"/>
          <w:color w:val="3B3838" w:themeColor="background2" w:themeShade="40"/>
          <w:sz w:val="20"/>
          <w:szCs w:val="20"/>
        </w:rPr>
        <w:t>Relative to a globally balanced (60/40) equity/bond index, allocations to commodities</w:t>
      </w:r>
      <w:r>
        <w:rPr>
          <w:rFonts w:ascii="Arial" w:hAnsi="Arial" w:cs="Arial"/>
          <w:color w:val="3B3838" w:themeColor="background2" w:themeShade="40"/>
          <w:sz w:val="20"/>
          <w:szCs w:val="20"/>
        </w:rPr>
        <w:t>, gold</w:t>
      </w:r>
      <w:r w:rsidR="000A6046">
        <w:rPr>
          <w:rFonts w:ascii="Arial" w:hAnsi="Arial" w:cs="Arial"/>
          <w:color w:val="3B3838" w:themeColor="background2" w:themeShade="40"/>
          <w:sz w:val="20"/>
          <w:szCs w:val="20"/>
        </w:rPr>
        <w:t>,</w:t>
      </w:r>
      <w:r w:rsidRPr="000753AC">
        <w:rPr>
          <w:rFonts w:ascii="Arial" w:hAnsi="Arial" w:cs="Arial"/>
          <w:color w:val="3B3838" w:themeColor="background2" w:themeShade="40"/>
          <w:sz w:val="20"/>
          <w:szCs w:val="20"/>
        </w:rPr>
        <w:t xml:space="preserve"> </w:t>
      </w:r>
      <w:r w:rsidR="00F30A84" w:rsidRPr="000753AC">
        <w:rPr>
          <w:rFonts w:ascii="Arial" w:hAnsi="Arial" w:cs="Arial"/>
          <w:color w:val="3B3838" w:themeColor="background2" w:themeShade="40"/>
          <w:sz w:val="20"/>
          <w:szCs w:val="20"/>
        </w:rPr>
        <w:t xml:space="preserve">global </w:t>
      </w:r>
      <w:proofErr w:type="gramStart"/>
      <w:r w:rsidR="00F30A84">
        <w:rPr>
          <w:rFonts w:ascii="Arial" w:hAnsi="Arial" w:cs="Arial"/>
          <w:color w:val="3B3838" w:themeColor="background2" w:themeShade="40"/>
          <w:sz w:val="20"/>
          <w:szCs w:val="20"/>
        </w:rPr>
        <w:t>equities</w:t>
      </w:r>
      <w:proofErr w:type="gramEnd"/>
      <w:r w:rsidR="00F30A84">
        <w:rPr>
          <w:rFonts w:ascii="Arial" w:hAnsi="Arial" w:cs="Arial"/>
          <w:color w:val="3B3838" w:themeColor="background2" w:themeShade="40"/>
          <w:sz w:val="20"/>
          <w:szCs w:val="20"/>
        </w:rPr>
        <w:t xml:space="preserve"> and </w:t>
      </w:r>
      <w:r w:rsidR="00F30A84" w:rsidRPr="000753AC">
        <w:rPr>
          <w:rFonts w:ascii="Arial" w:hAnsi="Arial" w:cs="Arial"/>
          <w:color w:val="3B3838" w:themeColor="background2" w:themeShade="40"/>
          <w:sz w:val="20"/>
          <w:szCs w:val="20"/>
        </w:rPr>
        <w:t xml:space="preserve">US REITs </w:t>
      </w:r>
      <w:r w:rsidRPr="000753AC">
        <w:rPr>
          <w:rFonts w:ascii="Arial" w:hAnsi="Arial" w:cs="Arial"/>
          <w:color w:val="3B3838" w:themeColor="background2" w:themeShade="40"/>
          <w:sz w:val="20"/>
          <w:szCs w:val="20"/>
        </w:rPr>
        <w:t>helped</w:t>
      </w:r>
      <w:r w:rsidR="009F2000">
        <w:rPr>
          <w:rFonts w:ascii="Arial" w:hAnsi="Arial" w:cs="Arial"/>
          <w:color w:val="3B3838" w:themeColor="background2" w:themeShade="40"/>
          <w:sz w:val="20"/>
          <w:szCs w:val="20"/>
        </w:rPr>
        <w:t>,</w:t>
      </w:r>
      <w:r w:rsidRPr="000753AC">
        <w:rPr>
          <w:rFonts w:ascii="Arial" w:hAnsi="Arial" w:cs="Arial"/>
          <w:color w:val="3B3838" w:themeColor="background2" w:themeShade="40"/>
          <w:sz w:val="20"/>
          <w:szCs w:val="20"/>
        </w:rPr>
        <w:t xml:space="preserve"> while </w:t>
      </w:r>
      <w:r w:rsidR="00F30A84" w:rsidRPr="000753AC">
        <w:rPr>
          <w:rFonts w:ascii="Arial" w:hAnsi="Arial" w:cs="Arial"/>
          <w:color w:val="3B3838" w:themeColor="background2" w:themeShade="40"/>
          <w:sz w:val="20"/>
          <w:szCs w:val="20"/>
        </w:rPr>
        <w:t xml:space="preserve">global bonds </w:t>
      </w:r>
      <w:r w:rsidR="00F30A84">
        <w:rPr>
          <w:rFonts w:ascii="Arial" w:hAnsi="Arial" w:cs="Arial"/>
          <w:color w:val="3B3838" w:themeColor="background2" w:themeShade="40"/>
          <w:sz w:val="20"/>
          <w:szCs w:val="20"/>
        </w:rPr>
        <w:t>hurt.</w:t>
      </w:r>
    </w:p>
    <w:p w14:paraId="35C1D6F2" w14:textId="639EC087" w:rsidR="004A3AEE" w:rsidRDefault="00D63F63" w:rsidP="004A3AEE">
      <w:pPr>
        <w:autoSpaceDE w:val="0"/>
        <w:autoSpaceDN w:val="0"/>
        <w:spacing w:after="0"/>
        <w:ind w:right="-360"/>
        <w:rPr>
          <w:rFonts w:ascii="Arial" w:hAnsi="Arial" w:cs="Arial"/>
          <w:color w:val="7F7F7F" w:themeColor="text1" w:themeTint="80"/>
          <w:sz w:val="18"/>
          <w:szCs w:val="18"/>
        </w:rPr>
      </w:pPr>
      <w:r>
        <w:rPr>
          <w:noProof/>
        </w:rPr>
        <w:drawing>
          <wp:anchor distT="0" distB="0" distL="114300" distR="114300" simplePos="0" relativeHeight="251681792" behindDoc="0" locked="0" layoutInCell="1" allowOverlap="1" wp14:anchorId="4005FF92" wp14:editId="5F5DADF3">
            <wp:simplePos x="0" y="0"/>
            <wp:positionH relativeFrom="margin">
              <wp:posOffset>923925</wp:posOffset>
            </wp:positionH>
            <wp:positionV relativeFrom="page">
              <wp:posOffset>2576830</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85FE172" w14:textId="7A171C1F" w:rsidR="004A3AEE" w:rsidRPr="00706956" w:rsidRDefault="004A3AEE" w:rsidP="004A3AEE">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246DE4C5" w14:textId="21E2A488" w:rsidR="004A3AEE" w:rsidRDefault="004A3AEE" w:rsidP="00996FBD">
      <w:pPr>
        <w:spacing w:after="0"/>
        <w:ind w:left="-720" w:right="-720"/>
        <w:rPr>
          <w:rFonts w:ascii="Arial" w:hAnsi="Arial" w:cs="Arial"/>
          <w:b/>
          <w:color w:val="0070C0"/>
          <w:sz w:val="20"/>
          <w:szCs w:val="20"/>
        </w:rPr>
      </w:pPr>
    </w:p>
    <w:p w14:paraId="11D790A0" w14:textId="0FB2A954" w:rsidR="00C946FA" w:rsidRDefault="00C946FA" w:rsidP="004C18B4">
      <w:pPr>
        <w:autoSpaceDE w:val="0"/>
        <w:autoSpaceDN w:val="0"/>
        <w:spacing w:after="0"/>
        <w:ind w:right="-360"/>
        <w:rPr>
          <w:rFonts w:ascii="Arial" w:hAnsi="Arial" w:cs="Arial"/>
          <w:color w:val="343433"/>
          <w:sz w:val="21"/>
        </w:rPr>
      </w:pPr>
    </w:p>
    <w:p w14:paraId="2118F804" w14:textId="0C605B65" w:rsidR="00996FBD" w:rsidRDefault="00B5385F" w:rsidP="000E5F02">
      <w:pPr>
        <w:autoSpaceDE w:val="0"/>
        <w:autoSpaceDN w:val="0"/>
        <w:spacing w:after="0"/>
        <w:ind w:right="-360" w:hanging="540"/>
        <w:rPr>
          <w:rFonts w:ascii="Arial" w:hAnsi="Arial" w:cs="Arial"/>
          <w:color w:val="343433"/>
          <w:sz w:val="21"/>
        </w:rPr>
      </w:pPr>
      <w:r w:rsidRPr="0040163B">
        <w:rPr>
          <w:rFonts w:ascii="Arial" w:hAnsi="Arial" w:cs="Arial"/>
          <w:color w:val="343433"/>
          <w:sz w:val="21"/>
        </w:rPr>
        <w:t>DEFINITIONS</w:t>
      </w:r>
    </w:p>
    <w:p w14:paraId="05719B78" w14:textId="77777777" w:rsidR="008C20D8" w:rsidRDefault="008C20D8" w:rsidP="000E5F02">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8C20D8" w:rsidRPr="00567CF8" w14:paraId="78D2843B" w14:textId="77777777" w:rsidTr="002C32BB">
        <w:trPr>
          <w:trHeight w:val="264"/>
        </w:trPr>
        <w:tc>
          <w:tcPr>
            <w:tcW w:w="1654" w:type="dxa"/>
            <w:tcBorders>
              <w:top w:val="nil"/>
              <w:left w:val="nil"/>
              <w:bottom w:val="nil"/>
              <w:right w:val="nil"/>
            </w:tcBorders>
            <w:shd w:val="clear" w:color="auto" w:fill="auto"/>
            <w:noWrap/>
            <w:vAlign w:val="bottom"/>
            <w:hideMark/>
          </w:tcPr>
          <w:p w14:paraId="480F9592" w14:textId="77777777" w:rsidR="008C20D8" w:rsidRPr="00567CF8" w:rsidRDefault="008C20D8" w:rsidP="002C32BB">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18E9D8A9"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5E297DF8"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8C20D8" w:rsidRPr="00567CF8" w14:paraId="7123EA5F" w14:textId="77777777" w:rsidTr="002C32BB">
        <w:trPr>
          <w:trHeight w:val="636"/>
        </w:trPr>
        <w:tc>
          <w:tcPr>
            <w:tcW w:w="1654" w:type="dxa"/>
            <w:tcBorders>
              <w:top w:val="nil"/>
              <w:left w:val="nil"/>
              <w:bottom w:val="nil"/>
              <w:right w:val="nil"/>
            </w:tcBorders>
            <w:shd w:val="clear" w:color="auto" w:fill="auto"/>
            <w:hideMark/>
          </w:tcPr>
          <w:p w14:paraId="3F27D647"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76542B98"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16196334"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66FF7477"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A4B2CC6" w14:textId="77777777" w:rsidTr="002C32BB">
        <w:trPr>
          <w:trHeight w:val="384"/>
        </w:trPr>
        <w:tc>
          <w:tcPr>
            <w:tcW w:w="1654" w:type="dxa"/>
            <w:tcBorders>
              <w:top w:val="nil"/>
              <w:left w:val="nil"/>
              <w:bottom w:val="nil"/>
              <w:right w:val="nil"/>
            </w:tcBorders>
            <w:shd w:val="clear" w:color="auto" w:fill="auto"/>
            <w:hideMark/>
          </w:tcPr>
          <w:p w14:paraId="09E322F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69C23413"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5A54B9E2"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7F6BEC0A"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74E2C9A5" w14:textId="77777777" w:rsidTr="002C32BB">
        <w:trPr>
          <w:trHeight w:val="537"/>
        </w:trPr>
        <w:tc>
          <w:tcPr>
            <w:tcW w:w="1654" w:type="dxa"/>
            <w:tcBorders>
              <w:top w:val="nil"/>
              <w:left w:val="nil"/>
              <w:bottom w:val="nil"/>
              <w:right w:val="nil"/>
            </w:tcBorders>
            <w:shd w:val="clear" w:color="auto" w:fill="auto"/>
            <w:hideMark/>
          </w:tcPr>
          <w:p w14:paraId="61018C8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137A219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4F6871C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8C20D8" w:rsidRPr="00567CF8" w14:paraId="67629128" w14:textId="77777777" w:rsidTr="002C32BB">
        <w:trPr>
          <w:trHeight w:val="546"/>
        </w:trPr>
        <w:tc>
          <w:tcPr>
            <w:tcW w:w="1654" w:type="dxa"/>
            <w:tcBorders>
              <w:top w:val="nil"/>
              <w:left w:val="nil"/>
              <w:bottom w:val="nil"/>
              <w:right w:val="nil"/>
            </w:tcBorders>
            <w:shd w:val="clear" w:color="auto" w:fill="auto"/>
            <w:hideMark/>
          </w:tcPr>
          <w:p w14:paraId="3B5EA8AA"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397966FD"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0170BA9A"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p w14:paraId="5CB34C62" w14:textId="77777777" w:rsidR="008C20D8" w:rsidRDefault="008C20D8" w:rsidP="002C32BB">
            <w:pPr>
              <w:spacing w:after="0" w:line="240" w:lineRule="auto"/>
              <w:rPr>
                <w:rFonts w:ascii="Arial" w:hAnsi="Arial" w:cs="Arial"/>
                <w:color w:val="000000"/>
                <w:sz w:val="18"/>
                <w:szCs w:val="18"/>
              </w:rPr>
            </w:pPr>
          </w:p>
          <w:p w14:paraId="65862C68"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1FDAAEF" w14:textId="77777777" w:rsidTr="002C32BB">
        <w:trPr>
          <w:gridAfter w:val="1"/>
          <w:wAfter w:w="3583" w:type="dxa"/>
          <w:trHeight w:val="78"/>
        </w:trPr>
        <w:tc>
          <w:tcPr>
            <w:tcW w:w="7073" w:type="dxa"/>
            <w:gridSpan w:val="3"/>
            <w:tcBorders>
              <w:top w:val="nil"/>
              <w:left w:val="nil"/>
              <w:bottom w:val="nil"/>
              <w:right w:val="nil"/>
            </w:tcBorders>
            <w:shd w:val="clear" w:color="auto" w:fill="auto"/>
          </w:tcPr>
          <w:p w14:paraId="4B67A3A4"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4065824F" w14:textId="77777777" w:rsidTr="002C32BB">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502"/>
              <w:gridCol w:w="1961"/>
              <w:gridCol w:w="6883"/>
            </w:tblGrid>
            <w:tr w:rsidR="008C20D8" w:rsidRPr="00567CF8" w14:paraId="60667CEC" w14:textId="77777777" w:rsidTr="002C32BB">
              <w:trPr>
                <w:trHeight w:val="569"/>
              </w:trPr>
              <w:tc>
                <w:tcPr>
                  <w:tcW w:w="1502" w:type="dxa"/>
                  <w:tcBorders>
                    <w:top w:val="nil"/>
                    <w:left w:val="nil"/>
                    <w:bottom w:val="nil"/>
                    <w:right w:val="nil"/>
                  </w:tcBorders>
                  <w:shd w:val="clear" w:color="auto" w:fill="auto"/>
                </w:tcPr>
                <w:p w14:paraId="5B93834A" w14:textId="77777777" w:rsidR="008C20D8" w:rsidRPr="003127F9" w:rsidRDefault="008C20D8" w:rsidP="002C32BB">
                  <w:pPr>
                    <w:spacing w:after="0" w:line="240" w:lineRule="auto"/>
                    <w:rPr>
                      <w:rFonts w:ascii="Arial" w:hAnsi="Arial" w:cs="Arial"/>
                      <w:color w:val="000000"/>
                      <w:sz w:val="18"/>
                      <w:szCs w:val="18"/>
                    </w:rPr>
                  </w:pPr>
                  <w:r w:rsidRPr="003127F9">
                    <w:rPr>
                      <w:rFonts w:ascii="Arial" w:hAnsi="Arial" w:cs="Arial"/>
                      <w:color w:val="000000"/>
                      <w:sz w:val="18"/>
                      <w:szCs w:val="18"/>
                    </w:rPr>
                    <w:t>Global Fixed Income</w:t>
                  </w:r>
                </w:p>
              </w:tc>
              <w:tc>
                <w:tcPr>
                  <w:tcW w:w="1961" w:type="dxa"/>
                  <w:tcBorders>
                    <w:top w:val="nil"/>
                    <w:left w:val="nil"/>
                    <w:bottom w:val="nil"/>
                    <w:right w:val="nil"/>
                  </w:tcBorders>
                  <w:shd w:val="clear" w:color="auto" w:fill="auto"/>
                </w:tcPr>
                <w:p w14:paraId="4520A060" w14:textId="77777777" w:rsidR="008C20D8" w:rsidRPr="003127F9"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Global Aggregate</w:t>
                  </w:r>
                </w:p>
              </w:tc>
              <w:tc>
                <w:tcPr>
                  <w:tcW w:w="6883" w:type="dxa"/>
                  <w:tcBorders>
                    <w:top w:val="nil"/>
                    <w:left w:val="nil"/>
                    <w:bottom w:val="nil"/>
                    <w:right w:val="nil"/>
                  </w:tcBorders>
                  <w:shd w:val="clear" w:color="auto" w:fill="auto"/>
                </w:tcPr>
                <w:p w14:paraId="0FB54B55" w14:textId="77777777" w:rsidR="008C20D8" w:rsidRDefault="008C20D8" w:rsidP="002C32BB">
                  <w:pPr>
                    <w:spacing w:after="0" w:line="240" w:lineRule="auto"/>
                    <w:rPr>
                      <w:rFonts w:ascii="Arial" w:hAnsi="Arial" w:cs="Arial"/>
                      <w:color w:val="000000"/>
                      <w:sz w:val="18"/>
                      <w:szCs w:val="18"/>
                    </w:rPr>
                  </w:pPr>
                  <w:r>
                    <w:rPr>
                      <w:rFonts w:ascii="Arial" w:hAnsi="Arial" w:cs="Arial"/>
                      <w:color w:val="000000"/>
                      <w:sz w:val="18"/>
                      <w:szCs w:val="18"/>
                    </w:rPr>
                    <w:t>m</w:t>
                  </w:r>
                  <w:r w:rsidRPr="00567CF8">
                    <w:rPr>
                      <w:rFonts w:ascii="Arial" w:hAnsi="Arial" w:cs="Arial"/>
                      <w:color w:val="000000"/>
                      <w:sz w:val="18"/>
                      <w:szCs w:val="18"/>
                    </w:rPr>
                    <w:t xml:space="preserve">easures the performance of global, investment-grade debt from 24 local currency markets.  This benchmark includes treasury, government-related, </w:t>
                  </w:r>
                  <w:proofErr w:type="gramStart"/>
                  <w:r w:rsidRPr="00567CF8">
                    <w:rPr>
                      <w:rFonts w:ascii="Arial" w:hAnsi="Arial" w:cs="Arial"/>
                      <w:color w:val="000000"/>
                      <w:sz w:val="18"/>
                      <w:szCs w:val="18"/>
                    </w:rPr>
                    <w:t>corporate</w:t>
                  </w:r>
                  <w:proofErr w:type="gramEnd"/>
                  <w:r w:rsidRPr="00567CF8">
                    <w:rPr>
                      <w:rFonts w:ascii="Arial" w:hAnsi="Arial" w:cs="Arial"/>
                      <w:color w:val="000000"/>
                      <w:sz w:val="18"/>
                      <w:szCs w:val="18"/>
                    </w:rPr>
                    <w:t xml:space="preserve"> and securitized fixed-rate bonds from both developed and emerging markets issuers</w:t>
                  </w:r>
                  <w:r>
                    <w:rPr>
                      <w:rFonts w:ascii="Arial" w:hAnsi="Arial" w:cs="Arial"/>
                      <w:color w:val="000000"/>
                      <w:sz w:val="18"/>
                      <w:szCs w:val="18"/>
                    </w:rPr>
                    <w:t>.</w:t>
                  </w:r>
                </w:p>
                <w:p w14:paraId="3917C828"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3FB88B55" w14:textId="77777777" w:rsidTr="002C32BB">
              <w:trPr>
                <w:trHeight w:val="698"/>
              </w:trPr>
              <w:tc>
                <w:tcPr>
                  <w:tcW w:w="1502" w:type="dxa"/>
                  <w:tcBorders>
                    <w:top w:val="nil"/>
                    <w:left w:val="nil"/>
                    <w:bottom w:val="nil"/>
                    <w:right w:val="nil"/>
                  </w:tcBorders>
                  <w:shd w:val="clear" w:color="auto" w:fill="auto"/>
                </w:tcPr>
                <w:p w14:paraId="56D35422"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US Fixed Income</w:t>
                  </w:r>
                </w:p>
              </w:tc>
              <w:tc>
                <w:tcPr>
                  <w:tcW w:w="1961" w:type="dxa"/>
                  <w:tcBorders>
                    <w:top w:val="nil"/>
                    <w:left w:val="nil"/>
                    <w:bottom w:val="nil"/>
                    <w:right w:val="nil"/>
                  </w:tcBorders>
                  <w:shd w:val="clear" w:color="auto" w:fill="auto"/>
                </w:tcPr>
                <w:p w14:paraId="044F737F"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770E8C20" w14:textId="77777777" w:rsidR="008C20D8" w:rsidRPr="00B67D7C" w:rsidRDefault="008C20D8" w:rsidP="002C32BB">
                  <w:pPr>
                    <w:spacing w:after="0" w:line="240" w:lineRule="auto"/>
                    <w:rPr>
                      <w:rFonts w:ascii="Arial" w:hAnsi="Arial" w:cs="Arial"/>
                      <w:color w:val="000000"/>
                      <w:sz w:val="18"/>
                      <w:szCs w:val="18"/>
                    </w:rPr>
                  </w:pPr>
                  <w:r w:rsidRPr="004561AF">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r w:rsidRPr="00B67D7C">
                    <w:rPr>
                      <w:rFonts w:ascii="Arial" w:hAnsi="Arial" w:cs="Arial"/>
                      <w:color w:val="000000"/>
                      <w:sz w:val="18"/>
                      <w:szCs w:val="18"/>
                    </w:rPr>
                    <w:t>.</w:t>
                  </w:r>
                </w:p>
                <w:p w14:paraId="0422A249" w14:textId="77777777" w:rsidR="008C20D8" w:rsidRPr="006C7478" w:rsidRDefault="008C20D8" w:rsidP="002C32BB">
                  <w:pPr>
                    <w:spacing w:after="0" w:line="240" w:lineRule="auto"/>
                    <w:rPr>
                      <w:rFonts w:ascii="Arial" w:hAnsi="Arial" w:cs="Arial"/>
                      <w:color w:val="000000"/>
                      <w:sz w:val="18"/>
                      <w:szCs w:val="18"/>
                      <w:highlight w:val="yellow"/>
                    </w:rPr>
                  </w:pPr>
                </w:p>
              </w:tc>
            </w:tr>
            <w:tr w:rsidR="008C20D8" w:rsidRPr="00567CF8" w14:paraId="111C636E" w14:textId="77777777" w:rsidTr="002C32BB">
              <w:trPr>
                <w:trHeight w:val="698"/>
              </w:trPr>
              <w:tc>
                <w:tcPr>
                  <w:tcW w:w="1502" w:type="dxa"/>
                  <w:tcBorders>
                    <w:top w:val="nil"/>
                    <w:left w:val="nil"/>
                    <w:bottom w:val="nil"/>
                    <w:right w:val="nil"/>
                  </w:tcBorders>
                  <w:shd w:val="clear" w:color="auto" w:fill="auto"/>
                </w:tcPr>
                <w:p w14:paraId="25C61A4A"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lastRenderedPageBreak/>
                    <w:t>US Long Treasuries</w:t>
                  </w:r>
                </w:p>
              </w:tc>
              <w:tc>
                <w:tcPr>
                  <w:tcW w:w="1961" w:type="dxa"/>
                  <w:tcBorders>
                    <w:top w:val="nil"/>
                    <w:left w:val="nil"/>
                    <w:bottom w:val="nil"/>
                    <w:right w:val="nil"/>
                  </w:tcBorders>
                  <w:shd w:val="clear" w:color="auto" w:fill="auto"/>
                </w:tcPr>
                <w:p w14:paraId="3BEB5DA1" w14:textId="77777777" w:rsidR="008C20D8" w:rsidRPr="00B67D7C"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4F73ADAC" w14:textId="77777777" w:rsidR="008C20D8" w:rsidRPr="004561AF" w:rsidRDefault="008C20D8" w:rsidP="002C32BB">
                  <w:pPr>
                    <w:spacing w:after="0" w:line="240" w:lineRule="auto"/>
                    <w:rPr>
                      <w:rFonts w:ascii="Arial" w:hAnsi="Arial" w:cs="Arial"/>
                      <w:color w:val="000000"/>
                      <w:sz w:val="18"/>
                      <w:szCs w:val="20"/>
                    </w:rPr>
                  </w:pPr>
                  <w:r w:rsidRPr="004561AF">
                    <w:rPr>
                      <w:rFonts w:ascii="Arial" w:hAnsi="Arial" w:cs="Arial"/>
                      <w:color w:val="000000"/>
                      <w:sz w:val="18"/>
                      <w:szCs w:val="20"/>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p w14:paraId="23DA8491" w14:textId="77777777" w:rsidR="008C20D8" w:rsidRPr="006C208B" w:rsidRDefault="008C20D8" w:rsidP="002C32BB">
                  <w:pPr>
                    <w:spacing w:after="0" w:line="240" w:lineRule="auto"/>
                    <w:rPr>
                      <w:rFonts w:ascii="Arial" w:hAnsi="Arial" w:cs="Arial"/>
                      <w:color w:val="000000"/>
                      <w:sz w:val="18"/>
                      <w:szCs w:val="18"/>
                      <w:highlight w:val="yellow"/>
                    </w:rPr>
                  </w:pPr>
                </w:p>
              </w:tc>
            </w:tr>
            <w:tr w:rsidR="00A9647D" w:rsidRPr="007A7BDF" w14:paraId="750C6ECF" w14:textId="77777777" w:rsidTr="002C32BB">
              <w:trPr>
                <w:trHeight w:val="698"/>
              </w:trPr>
              <w:tc>
                <w:tcPr>
                  <w:tcW w:w="1502" w:type="dxa"/>
                  <w:tcBorders>
                    <w:top w:val="nil"/>
                    <w:left w:val="nil"/>
                    <w:bottom w:val="nil"/>
                    <w:right w:val="nil"/>
                  </w:tcBorders>
                  <w:shd w:val="clear" w:color="auto" w:fill="auto"/>
                </w:tcPr>
                <w:p w14:paraId="091F21A5" w14:textId="076EB9B8"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US Municipal</w:t>
                  </w:r>
                </w:p>
              </w:tc>
              <w:tc>
                <w:tcPr>
                  <w:tcW w:w="1961" w:type="dxa"/>
                  <w:tcBorders>
                    <w:top w:val="nil"/>
                    <w:left w:val="nil"/>
                    <w:bottom w:val="nil"/>
                    <w:right w:val="nil"/>
                  </w:tcBorders>
                  <w:shd w:val="clear" w:color="auto" w:fill="auto"/>
                </w:tcPr>
                <w:p w14:paraId="0A5A70A4" w14:textId="0FF03B76"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 xml:space="preserve">Bloomberg Barclays US Municipal </w:t>
                  </w:r>
                </w:p>
              </w:tc>
              <w:tc>
                <w:tcPr>
                  <w:tcW w:w="6883" w:type="dxa"/>
                  <w:tcBorders>
                    <w:top w:val="nil"/>
                    <w:left w:val="nil"/>
                    <w:bottom w:val="nil"/>
                    <w:right w:val="nil"/>
                  </w:tcBorders>
                  <w:shd w:val="clear" w:color="auto" w:fill="auto"/>
                </w:tcPr>
                <w:p w14:paraId="4A9FF1CF" w14:textId="5EE50BB9"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measures the performance of the USD-denominated long-term tax-exempt bond market.  The index has four main sectors:  state and local general obligation bonds, revenue bonds, insured bonds, and pre-refunded bonds.</w:t>
                  </w:r>
                </w:p>
              </w:tc>
            </w:tr>
            <w:tr w:rsidR="008C20D8" w:rsidRPr="00567CF8" w14:paraId="109738A9" w14:textId="77777777" w:rsidTr="002C32BB">
              <w:trPr>
                <w:trHeight w:val="698"/>
              </w:trPr>
              <w:tc>
                <w:tcPr>
                  <w:tcW w:w="1502" w:type="dxa"/>
                  <w:tcBorders>
                    <w:top w:val="nil"/>
                    <w:left w:val="nil"/>
                    <w:bottom w:val="nil"/>
                    <w:right w:val="nil"/>
                  </w:tcBorders>
                  <w:shd w:val="clear" w:color="auto" w:fill="auto"/>
                </w:tcPr>
                <w:p w14:paraId="7903E884" w14:textId="77777777" w:rsidR="008C20D8" w:rsidRDefault="008C20D8" w:rsidP="002C32BB">
                  <w:pPr>
                    <w:spacing w:after="0" w:line="240" w:lineRule="auto"/>
                    <w:rPr>
                      <w:rFonts w:ascii="Arial" w:hAnsi="Arial" w:cs="Arial"/>
                      <w:color w:val="000000"/>
                      <w:sz w:val="18"/>
                      <w:szCs w:val="18"/>
                    </w:rPr>
                  </w:pPr>
                </w:p>
                <w:p w14:paraId="25FC10C2" w14:textId="77777777" w:rsidR="008C20D8" w:rsidRPr="003127F9" w:rsidRDefault="008C20D8" w:rsidP="002C32BB">
                  <w:pPr>
                    <w:spacing w:after="0" w:line="240" w:lineRule="auto"/>
                    <w:rPr>
                      <w:rFonts w:ascii="Arial" w:hAnsi="Arial" w:cs="Arial"/>
                      <w:color w:val="000000"/>
                      <w:sz w:val="18"/>
                      <w:szCs w:val="18"/>
                    </w:rPr>
                  </w:pPr>
                  <w:r w:rsidRPr="003127F9">
                    <w:rPr>
                      <w:rFonts w:ascii="Arial" w:hAnsi="Arial" w:cs="Arial"/>
                      <w:color w:val="000000"/>
                      <w:sz w:val="18"/>
                      <w:szCs w:val="18"/>
                    </w:rPr>
                    <w:t>Emerging Markets Fixed Income</w:t>
                  </w:r>
                </w:p>
              </w:tc>
              <w:tc>
                <w:tcPr>
                  <w:tcW w:w="1961" w:type="dxa"/>
                  <w:tcBorders>
                    <w:top w:val="nil"/>
                    <w:left w:val="nil"/>
                    <w:bottom w:val="nil"/>
                    <w:right w:val="nil"/>
                  </w:tcBorders>
                  <w:shd w:val="clear" w:color="auto" w:fill="auto"/>
                </w:tcPr>
                <w:p w14:paraId="521B9F3E" w14:textId="77777777" w:rsidR="008C20D8" w:rsidRDefault="008C20D8" w:rsidP="002C32BB">
                  <w:pPr>
                    <w:spacing w:after="0" w:line="240" w:lineRule="auto"/>
                    <w:rPr>
                      <w:rFonts w:ascii="Arial" w:hAnsi="Arial" w:cs="Arial"/>
                      <w:color w:val="000000"/>
                      <w:sz w:val="18"/>
                      <w:szCs w:val="18"/>
                    </w:rPr>
                  </w:pPr>
                </w:p>
                <w:p w14:paraId="08B8F348" w14:textId="77777777" w:rsidR="008C20D8" w:rsidRPr="003127F9" w:rsidRDefault="008C20D8" w:rsidP="002C32BB">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Emerging Markets USD Aggregate</w:t>
                  </w:r>
                </w:p>
              </w:tc>
              <w:tc>
                <w:tcPr>
                  <w:tcW w:w="6883" w:type="dxa"/>
                  <w:tcBorders>
                    <w:top w:val="nil"/>
                    <w:left w:val="nil"/>
                    <w:bottom w:val="nil"/>
                    <w:right w:val="nil"/>
                  </w:tcBorders>
                  <w:shd w:val="clear" w:color="auto" w:fill="auto"/>
                </w:tcPr>
                <w:p w14:paraId="3A59B7E5" w14:textId="77777777" w:rsidR="008C20D8" w:rsidRDefault="008C20D8" w:rsidP="002C32BB">
                  <w:pPr>
                    <w:spacing w:after="0" w:line="240" w:lineRule="auto"/>
                    <w:rPr>
                      <w:rFonts w:ascii="Arial" w:hAnsi="Arial" w:cs="Arial"/>
                      <w:color w:val="000000"/>
                      <w:sz w:val="18"/>
                      <w:szCs w:val="18"/>
                    </w:rPr>
                  </w:pPr>
                </w:p>
                <w:p w14:paraId="1EF0A283"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8C20D8" w:rsidRPr="00567CF8" w14:paraId="45A298AC" w14:textId="77777777" w:rsidTr="002C32BB">
              <w:trPr>
                <w:trHeight w:val="698"/>
              </w:trPr>
              <w:tc>
                <w:tcPr>
                  <w:tcW w:w="1502" w:type="dxa"/>
                  <w:tcBorders>
                    <w:top w:val="nil"/>
                    <w:left w:val="nil"/>
                    <w:bottom w:val="nil"/>
                    <w:right w:val="nil"/>
                  </w:tcBorders>
                  <w:shd w:val="clear" w:color="auto" w:fill="auto"/>
                </w:tcPr>
                <w:p w14:paraId="1465604C" w14:textId="77777777" w:rsidR="008C20D8" w:rsidRPr="002F025B" w:rsidRDefault="008C20D8" w:rsidP="002C32BB">
                  <w:pPr>
                    <w:spacing w:after="0" w:line="240" w:lineRule="auto"/>
                    <w:rPr>
                      <w:rFonts w:ascii="Arial" w:hAnsi="Arial" w:cs="Arial"/>
                      <w:color w:val="000000"/>
                      <w:sz w:val="18"/>
                      <w:szCs w:val="18"/>
                    </w:rPr>
                  </w:pPr>
                </w:p>
                <w:p w14:paraId="102C003B"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International Fixed Income</w:t>
                  </w:r>
                </w:p>
              </w:tc>
              <w:tc>
                <w:tcPr>
                  <w:tcW w:w="1961" w:type="dxa"/>
                  <w:tcBorders>
                    <w:top w:val="nil"/>
                    <w:left w:val="nil"/>
                    <w:bottom w:val="nil"/>
                    <w:right w:val="nil"/>
                  </w:tcBorders>
                  <w:shd w:val="clear" w:color="auto" w:fill="auto"/>
                </w:tcPr>
                <w:p w14:paraId="031188E4" w14:textId="77777777" w:rsidR="008C20D8" w:rsidRPr="002F025B" w:rsidRDefault="008C20D8" w:rsidP="002C32BB">
                  <w:pPr>
                    <w:spacing w:after="0" w:line="240" w:lineRule="auto"/>
                    <w:rPr>
                      <w:rFonts w:ascii="Arial" w:hAnsi="Arial" w:cs="Arial"/>
                      <w:color w:val="000000"/>
                      <w:sz w:val="18"/>
                      <w:szCs w:val="18"/>
                    </w:rPr>
                  </w:pPr>
                </w:p>
                <w:p w14:paraId="52BD41CF"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Bloomberg Global Aggregate ex-USD</w:t>
                  </w:r>
                </w:p>
              </w:tc>
              <w:tc>
                <w:tcPr>
                  <w:tcW w:w="6883" w:type="dxa"/>
                  <w:tcBorders>
                    <w:top w:val="nil"/>
                    <w:left w:val="nil"/>
                    <w:bottom w:val="nil"/>
                    <w:right w:val="nil"/>
                  </w:tcBorders>
                  <w:shd w:val="clear" w:color="auto" w:fill="auto"/>
                </w:tcPr>
                <w:p w14:paraId="419277C5" w14:textId="77777777" w:rsidR="008C20D8" w:rsidRPr="002F025B" w:rsidRDefault="008C20D8" w:rsidP="002C32BB">
                  <w:pPr>
                    <w:spacing w:after="0" w:line="240" w:lineRule="auto"/>
                    <w:rPr>
                      <w:rFonts w:ascii="Arial" w:hAnsi="Arial" w:cs="Arial"/>
                      <w:color w:val="000000"/>
                      <w:sz w:val="18"/>
                      <w:szCs w:val="18"/>
                    </w:rPr>
                  </w:pPr>
                </w:p>
                <w:p w14:paraId="2B099BAE"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 xml:space="preserve">measures the performance of investment-grade debt from 24 local currency markets.  This multi-currency index includes treasury, government-related, </w:t>
                  </w:r>
                  <w:proofErr w:type="gramStart"/>
                  <w:r w:rsidRPr="002F025B">
                    <w:rPr>
                      <w:rFonts w:ascii="Arial" w:hAnsi="Arial" w:cs="Arial"/>
                      <w:color w:val="000000"/>
                      <w:sz w:val="18"/>
                      <w:szCs w:val="18"/>
                    </w:rPr>
                    <w:t>corporate</w:t>
                  </w:r>
                  <w:proofErr w:type="gramEnd"/>
                  <w:r w:rsidRPr="002F025B">
                    <w:rPr>
                      <w:rFonts w:ascii="Arial" w:hAnsi="Arial" w:cs="Arial"/>
                      <w:color w:val="000000"/>
                      <w:sz w:val="18"/>
                      <w:szCs w:val="18"/>
                    </w:rPr>
                    <w:t xml:space="preserve"> and securitized fixed-rate bonds from both developed and emerging markets issuers.  It excludes bonds issued in USD.</w:t>
                  </w:r>
                </w:p>
                <w:p w14:paraId="2AA63742" w14:textId="77777777" w:rsidR="008C20D8" w:rsidRPr="002F025B" w:rsidRDefault="008C20D8" w:rsidP="002C32BB">
                  <w:pPr>
                    <w:spacing w:after="0" w:line="240" w:lineRule="auto"/>
                    <w:rPr>
                      <w:rFonts w:ascii="Arial" w:hAnsi="Arial" w:cs="Arial"/>
                      <w:color w:val="000000"/>
                      <w:sz w:val="18"/>
                      <w:szCs w:val="18"/>
                    </w:rPr>
                  </w:pPr>
                </w:p>
              </w:tc>
            </w:tr>
            <w:tr w:rsidR="008C20D8" w:rsidRPr="00567CF8" w14:paraId="7DB5A235" w14:textId="77777777" w:rsidTr="002C32BB">
              <w:trPr>
                <w:trHeight w:val="698"/>
              </w:trPr>
              <w:tc>
                <w:tcPr>
                  <w:tcW w:w="1502" w:type="dxa"/>
                  <w:tcBorders>
                    <w:top w:val="nil"/>
                    <w:left w:val="nil"/>
                    <w:bottom w:val="nil"/>
                    <w:right w:val="nil"/>
                  </w:tcBorders>
                  <w:shd w:val="clear" w:color="auto" w:fill="auto"/>
                </w:tcPr>
                <w:p w14:paraId="09C7D315" w14:textId="77777777" w:rsidR="008C20D8" w:rsidRDefault="008C20D8" w:rsidP="002C32BB">
                  <w:pPr>
                    <w:spacing w:after="0" w:line="240" w:lineRule="auto"/>
                    <w:rPr>
                      <w:rFonts w:ascii="Arial" w:hAnsi="Arial" w:cs="Arial"/>
                      <w:sz w:val="18"/>
                      <w:szCs w:val="18"/>
                    </w:rPr>
                  </w:pPr>
                  <w:r w:rsidRPr="002F025B">
                    <w:rPr>
                      <w:rFonts w:ascii="Arial" w:hAnsi="Arial" w:cs="Arial"/>
                      <w:sz w:val="18"/>
                      <w:szCs w:val="18"/>
                    </w:rPr>
                    <w:t>Emerging Markets Fixed Income</w:t>
                  </w:r>
                </w:p>
                <w:p w14:paraId="51F982E0" w14:textId="77777777" w:rsidR="008C20D8" w:rsidRDefault="008C20D8" w:rsidP="002C32BB">
                  <w:pPr>
                    <w:spacing w:after="0" w:line="240" w:lineRule="auto"/>
                    <w:rPr>
                      <w:rFonts w:ascii="Arial" w:hAnsi="Arial" w:cs="Arial"/>
                      <w:sz w:val="18"/>
                      <w:szCs w:val="18"/>
                    </w:rPr>
                  </w:pPr>
                </w:p>
                <w:p w14:paraId="6C1EB8B1" w14:textId="77777777" w:rsidR="008C20D8" w:rsidRPr="002F025B" w:rsidRDefault="008C20D8" w:rsidP="002C32BB">
                  <w:pPr>
                    <w:spacing w:after="0" w:line="240" w:lineRule="auto"/>
                    <w:rPr>
                      <w:rFonts w:ascii="Arial" w:hAnsi="Arial" w:cs="Arial"/>
                      <w:color w:val="000000"/>
                      <w:sz w:val="18"/>
                      <w:szCs w:val="18"/>
                      <w:highlight w:val="yellow"/>
                    </w:rPr>
                  </w:pPr>
                </w:p>
              </w:tc>
              <w:tc>
                <w:tcPr>
                  <w:tcW w:w="1961" w:type="dxa"/>
                  <w:tcBorders>
                    <w:top w:val="nil"/>
                    <w:left w:val="nil"/>
                    <w:bottom w:val="nil"/>
                    <w:right w:val="nil"/>
                  </w:tcBorders>
                  <w:shd w:val="clear" w:color="auto" w:fill="auto"/>
                </w:tcPr>
                <w:p w14:paraId="71A05F06" w14:textId="77777777" w:rsidR="008C20D8" w:rsidRPr="002F025B" w:rsidRDefault="008C20D8" w:rsidP="002C32BB">
                  <w:pPr>
                    <w:spacing w:after="0" w:line="240" w:lineRule="auto"/>
                    <w:rPr>
                      <w:rFonts w:ascii="Arial" w:hAnsi="Arial" w:cs="Arial"/>
                      <w:color w:val="000000"/>
                      <w:sz w:val="18"/>
                      <w:szCs w:val="18"/>
                      <w:highlight w:val="yellow"/>
                    </w:rPr>
                  </w:pPr>
                  <w:r w:rsidRPr="002F025B">
                    <w:rPr>
                      <w:rFonts w:ascii="Arial" w:hAnsi="Arial" w:cs="Arial"/>
                      <w:sz w:val="18"/>
                      <w:szCs w:val="18"/>
                    </w:rPr>
                    <w:t>Barclays Emerging Markets Local Currency Government</w:t>
                  </w:r>
                </w:p>
              </w:tc>
              <w:tc>
                <w:tcPr>
                  <w:tcW w:w="6883" w:type="dxa"/>
                  <w:tcBorders>
                    <w:top w:val="nil"/>
                    <w:left w:val="nil"/>
                    <w:bottom w:val="nil"/>
                    <w:right w:val="nil"/>
                  </w:tcBorders>
                  <w:shd w:val="clear" w:color="auto" w:fill="auto"/>
                </w:tcPr>
                <w:p w14:paraId="306A6BC8" w14:textId="77777777" w:rsidR="008C20D8" w:rsidRPr="002F025B" w:rsidRDefault="008C20D8" w:rsidP="002C32BB">
                  <w:pPr>
                    <w:spacing w:after="0" w:line="240" w:lineRule="auto"/>
                    <w:rPr>
                      <w:rFonts w:ascii="Arial" w:hAnsi="Arial" w:cs="Arial"/>
                      <w:sz w:val="18"/>
                      <w:szCs w:val="18"/>
                    </w:rPr>
                  </w:pPr>
                  <w:r w:rsidRPr="002F025B">
                    <w:rPr>
                      <w:rFonts w:ascii="Arial" w:hAnsi="Arial" w:cs="Arial"/>
                      <w:sz w:val="18"/>
                      <w:szCs w:val="18"/>
                    </w:rPr>
                    <w:t xml:space="preserve">Measures the performance of local currency emerging markets debt.  </w:t>
                  </w:r>
                </w:p>
              </w:tc>
            </w:tr>
            <w:tr w:rsidR="008C20D8" w:rsidRPr="00567CF8" w14:paraId="47D584E3" w14:textId="77777777" w:rsidTr="002C32BB">
              <w:trPr>
                <w:trHeight w:val="480"/>
              </w:trPr>
              <w:tc>
                <w:tcPr>
                  <w:tcW w:w="1502" w:type="dxa"/>
                  <w:tcBorders>
                    <w:top w:val="nil"/>
                    <w:left w:val="nil"/>
                    <w:bottom w:val="nil"/>
                    <w:right w:val="nil"/>
                  </w:tcBorders>
                  <w:shd w:val="clear" w:color="auto" w:fill="auto"/>
                </w:tcPr>
                <w:p w14:paraId="3C1CC131"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Commodities</w:t>
                  </w:r>
                </w:p>
              </w:tc>
              <w:tc>
                <w:tcPr>
                  <w:tcW w:w="1961" w:type="dxa"/>
                  <w:tcBorders>
                    <w:top w:val="nil"/>
                    <w:left w:val="nil"/>
                    <w:bottom w:val="nil"/>
                    <w:right w:val="nil"/>
                  </w:tcBorders>
                  <w:shd w:val="clear" w:color="auto" w:fill="auto"/>
                </w:tcPr>
                <w:p w14:paraId="362C4B0B"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5C47C175" w14:textId="77777777" w:rsidR="008C20D8" w:rsidRPr="002F025B" w:rsidRDefault="008C20D8" w:rsidP="002C32BB">
                  <w:pPr>
                    <w:spacing w:after="0" w:line="240" w:lineRule="auto"/>
                    <w:rPr>
                      <w:rFonts w:ascii="Arial" w:hAnsi="Arial" w:cs="Arial"/>
                      <w:color w:val="000000"/>
                      <w:sz w:val="18"/>
                      <w:szCs w:val="18"/>
                    </w:rPr>
                  </w:pPr>
                  <w:r w:rsidRPr="002F025B">
                    <w:rPr>
                      <w:rFonts w:ascii="Arial" w:hAnsi="Arial" w:cs="Arial"/>
                      <w:color w:val="000000"/>
                      <w:sz w:val="18"/>
                      <w:szCs w:val="18"/>
                    </w:rPr>
                    <w:t xml:space="preserve">Measures the performance of a broadly diversified exposure to physical commodities via futures contracts.  </w:t>
                  </w:r>
                </w:p>
              </w:tc>
            </w:tr>
            <w:tr w:rsidR="008C20D8" w:rsidRPr="00567CF8" w14:paraId="6D5BEEFF" w14:textId="77777777" w:rsidTr="002C32BB">
              <w:trPr>
                <w:trHeight w:val="400"/>
              </w:trPr>
              <w:tc>
                <w:tcPr>
                  <w:tcW w:w="1502" w:type="dxa"/>
                  <w:tcBorders>
                    <w:top w:val="nil"/>
                    <w:left w:val="nil"/>
                    <w:bottom w:val="nil"/>
                    <w:right w:val="nil"/>
                  </w:tcBorders>
                  <w:shd w:val="clear" w:color="auto" w:fill="auto"/>
                </w:tcPr>
                <w:p w14:paraId="6557DB12"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Gold</w:t>
                  </w:r>
                </w:p>
              </w:tc>
              <w:tc>
                <w:tcPr>
                  <w:tcW w:w="1961" w:type="dxa"/>
                  <w:tcBorders>
                    <w:top w:val="nil"/>
                    <w:left w:val="nil"/>
                    <w:bottom w:val="nil"/>
                    <w:right w:val="nil"/>
                  </w:tcBorders>
                  <w:shd w:val="clear" w:color="auto" w:fill="auto"/>
                </w:tcPr>
                <w:p w14:paraId="767C1CE0"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Bloomberg Sub Gold</w:t>
                  </w:r>
                </w:p>
              </w:tc>
              <w:tc>
                <w:tcPr>
                  <w:tcW w:w="6883" w:type="dxa"/>
                  <w:tcBorders>
                    <w:top w:val="nil"/>
                    <w:left w:val="nil"/>
                    <w:bottom w:val="nil"/>
                    <w:right w:val="nil"/>
                  </w:tcBorders>
                  <w:shd w:val="clear" w:color="auto" w:fill="auto"/>
                </w:tcPr>
                <w:p w14:paraId="126CA754"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futures contract on Gold and is quoted in USD.</w:t>
                  </w:r>
                </w:p>
              </w:tc>
            </w:tr>
            <w:tr w:rsidR="00A9647D" w:rsidRPr="007A7BDF" w14:paraId="2105EA33" w14:textId="77777777" w:rsidTr="002C32BB">
              <w:trPr>
                <w:trHeight w:val="400"/>
              </w:trPr>
              <w:tc>
                <w:tcPr>
                  <w:tcW w:w="1502" w:type="dxa"/>
                  <w:tcBorders>
                    <w:top w:val="nil"/>
                    <w:left w:val="nil"/>
                    <w:bottom w:val="nil"/>
                    <w:right w:val="nil"/>
                  </w:tcBorders>
                  <w:shd w:val="clear" w:color="auto" w:fill="auto"/>
                </w:tcPr>
                <w:p w14:paraId="7AEC904A" w14:textId="787C873A"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sz w:val="18"/>
                      <w:szCs w:val="18"/>
                    </w:rPr>
                    <w:t>Oil</w:t>
                  </w:r>
                </w:p>
              </w:tc>
              <w:tc>
                <w:tcPr>
                  <w:tcW w:w="1961" w:type="dxa"/>
                  <w:tcBorders>
                    <w:top w:val="nil"/>
                    <w:left w:val="nil"/>
                    <w:bottom w:val="nil"/>
                    <w:right w:val="nil"/>
                  </w:tcBorders>
                  <w:shd w:val="clear" w:color="auto" w:fill="auto"/>
                </w:tcPr>
                <w:p w14:paraId="60685733" w14:textId="6B25CCF7"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sz w:val="18"/>
                      <w:szCs w:val="18"/>
                    </w:rPr>
                    <w:t>WTI Crude Oil</w:t>
                  </w:r>
                </w:p>
              </w:tc>
              <w:tc>
                <w:tcPr>
                  <w:tcW w:w="6883" w:type="dxa"/>
                  <w:tcBorders>
                    <w:top w:val="nil"/>
                    <w:left w:val="nil"/>
                    <w:bottom w:val="nil"/>
                    <w:right w:val="nil"/>
                  </w:tcBorders>
                  <w:shd w:val="clear" w:color="auto" w:fill="auto"/>
                </w:tcPr>
                <w:p w14:paraId="1DE62429" w14:textId="257B811F"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sz w:val="18"/>
                      <w:szCs w:val="18"/>
                    </w:rPr>
                    <w:t xml:space="preserve">is represented by the near month crude oil futures contract traded on the NYMEX. </w:t>
                  </w:r>
                </w:p>
              </w:tc>
            </w:tr>
            <w:tr w:rsidR="00A9647D" w:rsidRPr="007A7BDF" w14:paraId="5B6C1B8E" w14:textId="77777777" w:rsidTr="002C32BB">
              <w:trPr>
                <w:trHeight w:val="400"/>
              </w:trPr>
              <w:tc>
                <w:tcPr>
                  <w:tcW w:w="1502" w:type="dxa"/>
                  <w:tcBorders>
                    <w:top w:val="nil"/>
                    <w:left w:val="nil"/>
                    <w:bottom w:val="nil"/>
                    <w:right w:val="nil"/>
                  </w:tcBorders>
                  <w:shd w:val="clear" w:color="auto" w:fill="auto"/>
                </w:tcPr>
                <w:p w14:paraId="62225E25" w14:textId="77777777" w:rsidR="00A9647D" w:rsidRPr="00A9647D" w:rsidRDefault="00A9647D" w:rsidP="002C32BB">
                  <w:pPr>
                    <w:spacing w:after="0" w:line="240" w:lineRule="auto"/>
                    <w:rPr>
                      <w:rFonts w:ascii="Arial" w:hAnsi="Arial" w:cs="Arial"/>
                      <w:color w:val="000000"/>
                      <w:sz w:val="18"/>
                      <w:szCs w:val="18"/>
                    </w:rPr>
                  </w:pPr>
                </w:p>
                <w:p w14:paraId="7AF66DEE" w14:textId="5B829C23"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color w:val="000000"/>
                      <w:sz w:val="18"/>
                      <w:szCs w:val="18"/>
                    </w:rPr>
                    <w:t>US REIT</w:t>
                  </w:r>
                </w:p>
              </w:tc>
              <w:tc>
                <w:tcPr>
                  <w:tcW w:w="1961" w:type="dxa"/>
                  <w:tcBorders>
                    <w:top w:val="nil"/>
                    <w:left w:val="nil"/>
                    <w:bottom w:val="nil"/>
                    <w:right w:val="nil"/>
                  </w:tcBorders>
                  <w:shd w:val="clear" w:color="auto" w:fill="auto"/>
                </w:tcPr>
                <w:p w14:paraId="4EC321CE" w14:textId="77777777" w:rsidR="00A9647D" w:rsidRPr="00A9647D" w:rsidRDefault="00A9647D" w:rsidP="002C32BB">
                  <w:pPr>
                    <w:spacing w:after="0" w:line="240" w:lineRule="auto"/>
                    <w:rPr>
                      <w:rFonts w:ascii="Arial" w:hAnsi="Arial" w:cs="Arial"/>
                      <w:color w:val="000000"/>
                      <w:sz w:val="18"/>
                      <w:szCs w:val="18"/>
                    </w:rPr>
                  </w:pPr>
                </w:p>
                <w:p w14:paraId="5AE447A2" w14:textId="2EF4B1A1"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0850949D" w14:textId="77777777" w:rsidR="00A9647D" w:rsidRPr="00A9647D" w:rsidRDefault="00A9647D" w:rsidP="002C32BB">
                  <w:pPr>
                    <w:spacing w:after="0" w:line="240" w:lineRule="auto"/>
                    <w:rPr>
                      <w:rFonts w:ascii="Arial" w:hAnsi="Arial" w:cs="Arial"/>
                      <w:color w:val="000000"/>
                      <w:sz w:val="18"/>
                      <w:szCs w:val="18"/>
                    </w:rPr>
                  </w:pPr>
                </w:p>
                <w:p w14:paraId="1662051C" w14:textId="77777777"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029CFB94" w14:textId="7C4F4680" w:rsidR="00A9647D" w:rsidRPr="00A9647D" w:rsidRDefault="00A9647D" w:rsidP="002C32BB">
                  <w:pPr>
                    <w:spacing w:after="0" w:line="240" w:lineRule="auto"/>
                    <w:rPr>
                      <w:rFonts w:ascii="Arial" w:hAnsi="Arial" w:cs="Arial"/>
                      <w:color w:val="000000"/>
                      <w:sz w:val="18"/>
                      <w:szCs w:val="18"/>
                    </w:rPr>
                  </w:pPr>
                </w:p>
              </w:tc>
            </w:tr>
            <w:tr w:rsidR="00A9647D" w:rsidRPr="00567CF8" w14:paraId="3AF1464F" w14:textId="77777777" w:rsidTr="002C32BB">
              <w:trPr>
                <w:trHeight w:val="909"/>
              </w:trPr>
              <w:tc>
                <w:tcPr>
                  <w:tcW w:w="1502" w:type="dxa"/>
                  <w:tcBorders>
                    <w:top w:val="nil"/>
                    <w:left w:val="nil"/>
                    <w:bottom w:val="nil"/>
                    <w:right w:val="nil"/>
                  </w:tcBorders>
                  <w:shd w:val="clear" w:color="auto" w:fill="auto"/>
                </w:tcPr>
                <w:p w14:paraId="4575A00C" w14:textId="1C9D7F1C"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color w:val="000000"/>
                      <w:sz w:val="18"/>
                      <w:szCs w:val="18"/>
                    </w:rPr>
                    <w:t>Sector - Energy</w:t>
                  </w:r>
                </w:p>
              </w:tc>
              <w:tc>
                <w:tcPr>
                  <w:tcW w:w="1961" w:type="dxa"/>
                  <w:tcBorders>
                    <w:top w:val="nil"/>
                    <w:left w:val="nil"/>
                    <w:bottom w:val="nil"/>
                    <w:right w:val="nil"/>
                  </w:tcBorders>
                  <w:shd w:val="clear" w:color="auto" w:fill="auto"/>
                </w:tcPr>
                <w:p w14:paraId="5C268877" w14:textId="74E5D51E"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color w:val="000000"/>
                      <w:sz w:val="18"/>
                      <w:szCs w:val="18"/>
                    </w:rPr>
                    <w:t>S&amp;P 500 Sector Energy</w:t>
                  </w:r>
                </w:p>
              </w:tc>
              <w:tc>
                <w:tcPr>
                  <w:tcW w:w="6883" w:type="dxa"/>
                  <w:tcBorders>
                    <w:top w:val="nil"/>
                    <w:left w:val="nil"/>
                    <w:bottom w:val="nil"/>
                    <w:right w:val="nil"/>
                  </w:tcBorders>
                  <w:shd w:val="clear" w:color="auto" w:fill="auto"/>
                </w:tcPr>
                <w:p w14:paraId="58B1E028" w14:textId="302DC80D"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A9647D" w:rsidRPr="007A7BDF" w14:paraId="412E07E4" w14:textId="77777777" w:rsidTr="002C32BB">
              <w:trPr>
                <w:trHeight w:val="909"/>
              </w:trPr>
              <w:tc>
                <w:tcPr>
                  <w:tcW w:w="1502" w:type="dxa"/>
                  <w:tcBorders>
                    <w:top w:val="nil"/>
                    <w:left w:val="nil"/>
                    <w:bottom w:val="nil"/>
                    <w:right w:val="nil"/>
                  </w:tcBorders>
                  <w:shd w:val="clear" w:color="auto" w:fill="auto"/>
                </w:tcPr>
                <w:p w14:paraId="55230E21" w14:textId="776DAC20"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sz w:val="18"/>
                      <w:szCs w:val="18"/>
                    </w:rPr>
                    <w:t>Sector - Real Estate</w:t>
                  </w:r>
                </w:p>
              </w:tc>
              <w:tc>
                <w:tcPr>
                  <w:tcW w:w="1961" w:type="dxa"/>
                  <w:tcBorders>
                    <w:top w:val="nil"/>
                    <w:left w:val="nil"/>
                    <w:bottom w:val="nil"/>
                    <w:right w:val="nil"/>
                  </w:tcBorders>
                  <w:shd w:val="clear" w:color="auto" w:fill="auto"/>
                </w:tcPr>
                <w:p w14:paraId="3CE1E221" w14:textId="221D4CF6"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sz w:val="18"/>
                      <w:szCs w:val="18"/>
                    </w:rPr>
                    <w:t>S&amp;P 500 Sector Real Estate</w:t>
                  </w:r>
                </w:p>
              </w:tc>
              <w:tc>
                <w:tcPr>
                  <w:tcW w:w="6883" w:type="dxa"/>
                  <w:tcBorders>
                    <w:top w:val="nil"/>
                    <w:left w:val="nil"/>
                    <w:bottom w:val="nil"/>
                    <w:right w:val="nil"/>
                  </w:tcBorders>
                  <w:shd w:val="clear" w:color="auto" w:fill="auto"/>
                </w:tcPr>
                <w:p w14:paraId="40ACD32C" w14:textId="75F308E8" w:rsidR="00A9647D" w:rsidRPr="00A9647D" w:rsidRDefault="00A9647D" w:rsidP="002C32BB">
                  <w:pPr>
                    <w:spacing w:after="0" w:line="240" w:lineRule="auto"/>
                    <w:rPr>
                      <w:rFonts w:ascii="Arial" w:hAnsi="Arial" w:cs="Arial"/>
                      <w:color w:val="000000"/>
                      <w:sz w:val="18"/>
                      <w:szCs w:val="18"/>
                    </w:rPr>
                  </w:pPr>
                  <w:r w:rsidRPr="00A9647D">
                    <w:rPr>
                      <w:rFonts w:ascii="Arial" w:hAnsi="Arial" w:cs="Arial"/>
                      <w:sz w:val="18"/>
                      <w:szCs w:val="18"/>
                    </w:rPr>
                    <w:t>measures the performance of companies from the following industries:  real estate management &amp; development and REITS, excluding mortgage REITS.</w:t>
                  </w:r>
                </w:p>
              </w:tc>
            </w:tr>
            <w:tr w:rsidR="00A9647D" w:rsidRPr="007A7BDF" w14:paraId="765C7E00" w14:textId="77777777" w:rsidTr="002C32BB">
              <w:trPr>
                <w:trHeight w:val="909"/>
              </w:trPr>
              <w:tc>
                <w:tcPr>
                  <w:tcW w:w="1502" w:type="dxa"/>
                  <w:tcBorders>
                    <w:top w:val="nil"/>
                    <w:left w:val="nil"/>
                    <w:bottom w:val="nil"/>
                    <w:right w:val="nil"/>
                  </w:tcBorders>
                  <w:shd w:val="clear" w:color="auto" w:fill="auto"/>
                </w:tcPr>
                <w:p w14:paraId="3CFBAE99" w14:textId="0F48B10B"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Sector - Financials</w:t>
                  </w:r>
                </w:p>
              </w:tc>
              <w:tc>
                <w:tcPr>
                  <w:tcW w:w="1961" w:type="dxa"/>
                  <w:tcBorders>
                    <w:top w:val="nil"/>
                    <w:left w:val="nil"/>
                    <w:bottom w:val="nil"/>
                    <w:right w:val="nil"/>
                  </w:tcBorders>
                  <w:shd w:val="clear" w:color="auto" w:fill="auto"/>
                </w:tcPr>
                <w:p w14:paraId="1E6601FE" w14:textId="4893756A"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S&amp;P 500 Sector Financials</w:t>
                  </w:r>
                </w:p>
              </w:tc>
              <w:tc>
                <w:tcPr>
                  <w:tcW w:w="6883" w:type="dxa"/>
                  <w:tcBorders>
                    <w:top w:val="nil"/>
                    <w:left w:val="nil"/>
                    <w:bottom w:val="nil"/>
                    <w:right w:val="nil"/>
                  </w:tcBorders>
                  <w:shd w:val="clear" w:color="auto" w:fill="auto"/>
                </w:tcPr>
                <w:p w14:paraId="4A674204" w14:textId="5F0CF4CF"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measures the performance of companies in an array of diversified financial service firms, insurance, banks, capital markets, consumer finance and thrift companies.</w:t>
                  </w:r>
                </w:p>
              </w:tc>
            </w:tr>
            <w:tr w:rsidR="00A9647D" w:rsidRPr="007A7BDF" w14:paraId="36310FBD" w14:textId="77777777" w:rsidTr="002C32BB">
              <w:trPr>
                <w:trHeight w:val="909"/>
              </w:trPr>
              <w:tc>
                <w:tcPr>
                  <w:tcW w:w="1502" w:type="dxa"/>
                  <w:tcBorders>
                    <w:top w:val="nil"/>
                    <w:left w:val="nil"/>
                    <w:bottom w:val="nil"/>
                    <w:right w:val="nil"/>
                  </w:tcBorders>
                  <w:shd w:val="clear" w:color="auto" w:fill="auto"/>
                </w:tcPr>
                <w:p w14:paraId="681FC41D" w14:textId="3DAF428B"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 xml:space="preserve">Sector – Utilities </w:t>
                  </w:r>
                </w:p>
              </w:tc>
              <w:tc>
                <w:tcPr>
                  <w:tcW w:w="1961" w:type="dxa"/>
                  <w:tcBorders>
                    <w:top w:val="nil"/>
                    <w:left w:val="nil"/>
                    <w:bottom w:val="nil"/>
                    <w:right w:val="nil"/>
                  </w:tcBorders>
                  <w:shd w:val="clear" w:color="auto" w:fill="auto"/>
                </w:tcPr>
                <w:p w14:paraId="25B38A92" w14:textId="04511602"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S&amp;P 500 Sector Utilities</w:t>
                  </w:r>
                </w:p>
              </w:tc>
              <w:tc>
                <w:tcPr>
                  <w:tcW w:w="6883" w:type="dxa"/>
                  <w:tcBorders>
                    <w:top w:val="nil"/>
                    <w:left w:val="nil"/>
                    <w:bottom w:val="nil"/>
                    <w:right w:val="nil"/>
                  </w:tcBorders>
                  <w:shd w:val="clear" w:color="auto" w:fill="auto"/>
                </w:tcPr>
                <w:p w14:paraId="73D7BB15" w14:textId="06B8EDF2"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 xml:space="preserve">measures the performance of companies that product, generate, transmit or distribute electricity, </w:t>
                  </w:r>
                  <w:proofErr w:type="gramStart"/>
                  <w:r w:rsidRPr="00A9647D">
                    <w:rPr>
                      <w:rFonts w:ascii="Arial" w:hAnsi="Arial" w:cs="Arial"/>
                      <w:sz w:val="18"/>
                      <w:szCs w:val="18"/>
                    </w:rPr>
                    <w:t>water</w:t>
                  </w:r>
                  <w:proofErr w:type="gramEnd"/>
                  <w:r w:rsidRPr="00A9647D">
                    <w:rPr>
                      <w:rFonts w:ascii="Arial" w:hAnsi="Arial" w:cs="Arial"/>
                      <w:sz w:val="18"/>
                      <w:szCs w:val="18"/>
                    </w:rPr>
                    <w:t xml:space="preserve"> or natural gas, and also includes power producers &amp; energy traders and companies that engage in generation and distribution of electricity using renewable sources.</w:t>
                  </w:r>
                </w:p>
              </w:tc>
            </w:tr>
            <w:tr w:rsidR="00A9647D" w:rsidRPr="007A7BDF" w14:paraId="411BCA67" w14:textId="77777777" w:rsidTr="002C32BB">
              <w:trPr>
                <w:trHeight w:val="909"/>
              </w:trPr>
              <w:tc>
                <w:tcPr>
                  <w:tcW w:w="1502" w:type="dxa"/>
                  <w:tcBorders>
                    <w:top w:val="nil"/>
                    <w:left w:val="nil"/>
                    <w:bottom w:val="nil"/>
                    <w:right w:val="nil"/>
                  </w:tcBorders>
                  <w:shd w:val="clear" w:color="auto" w:fill="auto"/>
                </w:tcPr>
                <w:p w14:paraId="14621FEC" w14:textId="644440C5"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Brazil</w:t>
                  </w:r>
                </w:p>
              </w:tc>
              <w:tc>
                <w:tcPr>
                  <w:tcW w:w="1961" w:type="dxa"/>
                  <w:tcBorders>
                    <w:top w:val="nil"/>
                    <w:left w:val="nil"/>
                    <w:bottom w:val="nil"/>
                    <w:right w:val="nil"/>
                  </w:tcBorders>
                  <w:shd w:val="clear" w:color="auto" w:fill="auto"/>
                </w:tcPr>
                <w:p w14:paraId="136F5E67" w14:textId="24877B61"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MSCI Brazil</w:t>
                  </w:r>
                </w:p>
              </w:tc>
              <w:tc>
                <w:tcPr>
                  <w:tcW w:w="6883" w:type="dxa"/>
                  <w:tcBorders>
                    <w:top w:val="nil"/>
                    <w:left w:val="nil"/>
                    <w:bottom w:val="nil"/>
                    <w:right w:val="nil"/>
                  </w:tcBorders>
                  <w:shd w:val="clear" w:color="auto" w:fill="auto"/>
                </w:tcPr>
                <w:p w14:paraId="32855BB4" w14:textId="7D3CA26F" w:rsidR="00A9647D" w:rsidRPr="00A9647D" w:rsidRDefault="00A9647D" w:rsidP="00A9647D">
                  <w:pPr>
                    <w:spacing w:after="0" w:line="240" w:lineRule="auto"/>
                    <w:rPr>
                      <w:rFonts w:ascii="Arial" w:hAnsi="Arial" w:cs="Arial"/>
                      <w:color w:val="000000"/>
                      <w:sz w:val="18"/>
                      <w:szCs w:val="18"/>
                    </w:rPr>
                  </w:pPr>
                  <w:r w:rsidRPr="00A9647D">
                    <w:rPr>
                      <w:rFonts w:ascii="Arial" w:hAnsi="Arial" w:cs="Arial"/>
                      <w:sz w:val="18"/>
                      <w:szCs w:val="18"/>
                    </w:rPr>
                    <w:t xml:space="preserve">is designed to measure the large and mid-cap segments of the Brazilian markets. With 56 constituents, the index covers approximately 86% of the </w:t>
                  </w:r>
                  <w:proofErr w:type="gramStart"/>
                  <w:r w:rsidRPr="00A9647D">
                    <w:rPr>
                      <w:rFonts w:ascii="Arial" w:hAnsi="Arial" w:cs="Arial"/>
                      <w:sz w:val="18"/>
                      <w:szCs w:val="18"/>
                    </w:rPr>
                    <w:t>free-float</w:t>
                  </w:r>
                  <w:proofErr w:type="gramEnd"/>
                  <w:r w:rsidRPr="00A9647D">
                    <w:rPr>
                      <w:rFonts w:ascii="Arial" w:hAnsi="Arial" w:cs="Arial"/>
                      <w:sz w:val="18"/>
                      <w:szCs w:val="18"/>
                    </w:rPr>
                    <w:t xml:space="preserve"> adjusted market capitalization in Brazil.</w:t>
                  </w:r>
                </w:p>
              </w:tc>
            </w:tr>
            <w:tr w:rsidR="00A9647D" w:rsidRPr="007A7BDF" w14:paraId="54D55691" w14:textId="77777777" w:rsidTr="002C32BB">
              <w:trPr>
                <w:trHeight w:val="909"/>
              </w:trPr>
              <w:tc>
                <w:tcPr>
                  <w:tcW w:w="1502" w:type="dxa"/>
                  <w:tcBorders>
                    <w:top w:val="nil"/>
                    <w:left w:val="nil"/>
                    <w:bottom w:val="nil"/>
                    <w:right w:val="nil"/>
                  </w:tcBorders>
                  <w:shd w:val="clear" w:color="auto" w:fill="auto"/>
                </w:tcPr>
                <w:p w14:paraId="1DF1858E" w14:textId="52680A4E" w:rsidR="00A9647D" w:rsidRPr="00A9647D" w:rsidRDefault="00A9647D" w:rsidP="00AA1FC0">
                  <w:pPr>
                    <w:spacing w:after="0" w:line="240" w:lineRule="auto"/>
                    <w:rPr>
                      <w:rFonts w:ascii="Arial" w:hAnsi="Arial" w:cs="Arial"/>
                      <w:color w:val="000000"/>
                      <w:sz w:val="18"/>
                      <w:szCs w:val="18"/>
                    </w:rPr>
                  </w:pPr>
                  <w:r w:rsidRPr="008F3C1E">
                    <w:rPr>
                      <w:rFonts w:ascii="Arial" w:hAnsi="Arial" w:cs="Arial"/>
                      <w:color w:val="000000"/>
                      <w:sz w:val="18"/>
                      <w:szCs w:val="18"/>
                    </w:rPr>
                    <w:t>US Small Cap</w:t>
                  </w:r>
                </w:p>
              </w:tc>
              <w:tc>
                <w:tcPr>
                  <w:tcW w:w="1961" w:type="dxa"/>
                  <w:tcBorders>
                    <w:top w:val="nil"/>
                    <w:left w:val="nil"/>
                    <w:bottom w:val="nil"/>
                    <w:right w:val="nil"/>
                  </w:tcBorders>
                  <w:shd w:val="clear" w:color="auto" w:fill="auto"/>
                </w:tcPr>
                <w:p w14:paraId="559D5640" w14:textId="1157A2D7" w:rsidR="00A9647D" w:rsidRPr="00A9647D" w:rsidRDefault="00A9647D" w:rsidP="00AA1FC0">
                  <w:pPr>
                    <w:spacing w:after="0" w:line="240" w:lineRule="auto"/>
                    <w:rPr>
                      <w:rFonts w:ascii="Arial" w:hAnsi="Arial" w:cs="Arial"/>
                      <w:color w:val="000000"/>
                      <w:sz w:val="18"/>
                      <w:szCs w:val="18"/>
                    </w:rPr>
                  </w:pPr>
                  <w:r w:rsidRPr="008F3C1E">
                    <w:rPr>
                      <w:rFonts w:ascii="Arial" w:hAnsi="Arial" w:cs="Arial"/>
                      <w:color w:val="000000"/>
                      <w:sz w:val="18"/>
                      <w:szCs w:val="18"/>
                    </w:rPr>
                    <w:t>S&amp;P 600</w:t>
                  </w:r>
                </w:p>
              </w:tc>
              <w:tc>
                <w:tcPr>
                  <w:tcW w:w="6883" w:type="dxa"/>
                  <w:tcBorders>
                    <w:top w:val="nil"/>
                    <w:left w:val="nil"/>
                    <w:bottom w:val="nil"/>
                    <w:right w:val="nil"/>
                  </w:tcBorders>
                  <w:shd w:val="clear" w:color="auto" w:fill="auto"/>
                </w:tcPr>
                <w:p w14:paraId="1002C1E6" w14:textId="55D55EBF" w:rsidR="00A9647D" w:rsidRPr="00A9647D" w:rsidRDefault="00A9647D" w:rsidP="00AA1FC0">
                  <w:pPr>
                    <w:spacing w:after="0" w:line="240" w:lineRule="auto"/>
                    <w:rPr>
                      <w:rFonts w:ascii="Arial" w:hAnsi="Arial" w:cs="Arial"/>
                      <w:color w:val="000000"/>
                      <w:sz w:val="18"/>
                      <w:szCs w:val="18"/>
                    </w:rPr>
                  </w:pPr>
                  <w:r w:rsidRPr="008F3C1E">
                    <w:rPr>
                      <w:rFonts w:ascii="Arial" w:hAnsi="Arial" w:cs="Arial"/>
                      <w:color w:val="000000"/>
                      <w:sz w:val="18"/>
                      <w:szCs w:val="18"/>
                    </w:rPr>
                    <w:t xml:space="preserve">measures the performance of 600 small-sized companies in the U.S. Constituents generally have a market-cap between $400 million and $1.8 billion and meet criteria to ensure they are liquid and financially viable. </w:t>
                  </w:r>
                </w:p>
              </w:tc>
            </w:tr>
            <w:tr w:rsidR="00A9647D" w:rsidRPr="007A7BDF" w14:paraId="3621F63C" w14:textId="77777777" w:rsidTr="002C32BB">
              <w:trPr>
                <w:trHeight w:val="909"/>
              </w:trPr>
              <w:tc>
                <w:tcPr>
                  <w:tcW w:w="1502" w:type="dxa"/>
                  <w:tcBorders>
                    <w:top w:val="nil"/>
                    <w:left w:val="nil"/>
                    <w:bottom w:val="nil"/>
                    <w:right w:val="nil"/>
                  </w:tcBorders>
                  <w:shd w:val="clear" w:color="auto" w:fill="auto"/>
                </w:tcPr>
                <w:p w14:paraId="62A43842" w14:textId="2E14C53A" w:rsidR="00A9647D" w:rsidRPr="008F3C1E" w:rsidRDefault="00A9647D" w:rsidP="002C32BB">
                  <w:pPr>
                    <w:spacing w:after="0" w:line="240" w:lineRule="auto"/>
                    <w:rPr>
                      <w:rFonts w:ascii="Arial" w:hAnsi="Arial" w:cs="Arial"/>
                      <w:color w:val="000000"/>
                      <w:sz w:val="18"/>
                      <w:szCs w:val="18"/>
                    </w:rPr>
                  </w:pPr>
                  <w:r w:rsidRPr="008F3C1E">
                    <w:rPr>
                      <w:rFonts w:ascii="Arial" w:hAnsi="Arial" w:cs="Arial"/>
                      <w:color w:val="000000"/>
                      <w:sz w:val="18"/>
                      <w:szCs w:val="18"/>
                    </w:rPr>
                    <w:lastRenderedPageBreak/>
                    <w:t>Global 60/40 Index Blend</w:t>
                  </w:r>
                </w:p>
              </w:tc>
              <w:tc>
                <w:tcPr>
                  <w:tcW w:w="1961" w:type="dxa"/>
                  <w:tcBorders>
                    <w:top w:val="nil"/>
                    <w:left w:val="nil"/>
                    <w:bottom w:val="nil"/>
                    <w:right w:val="nil"/>
                  </w:tcBorders>
                  <w:shd w:val="clear" w:color="auto" w:fill="auto"/>
                </w:tcPr>
                <w:p w14:paraId="510F2EFE" w14:textId="20BAA84A" w:rsidR="00A9647D" w:rsidRPr="008F3C1E" w:rsidRDefault="00A9647D" w:rsidP="002C32BB">
                  <w:pPr>
                    <w:spacing w:after="0" w:line="240" w:lineRule="auto"/>
                    <w:rPr>
                      <w:rFonts w:ascii="Arial" w:hAnsi="Arial" w:cs="Arial"/>
                      <w:color w:val="000000"/>
                      <w:sz w:val="18"/>
                      <w:szCs w:val="18"/>
                    </w:rPr>
                  </w:pPr>
                  <w:r w:rsidRPr="008F3C1E">
                    <w:rPr>
                      <w:rFonts w:ascii="Arial" w:hAnsi="Arial" w:cs="Arial"/>
                      <w:color w:val="000000"/>
                      <w:sz w:val="18"/>
                      <w:szCs w:val="18"/>
                    </w:rPr>
                    <w:t>60% MSCI ACWI, 40% BBG Barclays Global Aggregate</w:t>
                  </w:r>
                </w:p>
              </w:tc>
              <w:tc>
                <w:tcPr>
                  <w:tcW w:w="6883" w:type="dxa"/>
                  <w:tcBorders>
                    <w:top w:val="nil"/>
                    <w:left w:val="nil"/>
                    <w:bottom w:val="nil"/>
                    <w:right w:val="nil"/>
                  </w:tcBorders>
                  <w:shd w:val="clear" w:color="auto" w:fill="auto"/>
                </w:tcPr>
                <w:p w14:paraId="4E8A9925" w14:textId="53A16179" w:rsidR="00A9647D" w:rsidRPr="008F3C1E" w:rsidRDefault="00A9647D" w:rsidP="002C32BB">
                  <w:pPr>
                    <w:spacing w:after="0" w:line="240" w:lineRule="auto"/>
                    <w:rPr>
                      <w:rFonts w:ascii="Arial" w:hAnsi="Arial" w:cs="Arial"/>
                      <w:color w:val="000000"/>
                      <w:sz w:val="18"/>
                      <w:szCs w:val="18"/>
                    </w:rPr>
                  </w:pPr>
                  <w:r w:rsidRPr="008F3C1E">
                    <w:rPr>
                      <w:rFonts w:ascii="Arial" w:hAnsi="Arial" w:cs="Arial"/>
                      <w:color w:val="000000"/>
                      <w:sz w:val="18"/>
                      <w:szCs w:val="18"/>
                    </w:rPr>
                    <w:t>measures the performance of a blend of global equities and global bond indexes used as a benchmark for balanced portfolios</w:t>
                  </w:r>
                </w:p>
              </w:tc>
            </w:tr>
            <w:tr w:rsidR="00A9647D" w:rsidRPr="007A7BDF" w14:paraId="44D72D8E" w14:textId="77777777" w:rsidTr="002C32BB">
              <w:trPr>
                <w:trHeight w:val="909"/>
              </w:trPr>
              <w:tc>
                <w:tcPr>
                  <w:tcW w:w="1502" w:type="dxa"/>
                  <w:tcBorders>
                    <w:top w:val="nil"/>
                    <w:left w:val="nil"/>
                    <w:bottom w:val="nil"/>
                    <w:right w:val="nil"/>
                  </w:tcBorders>
                  <w:shd w:val="clear" w:color="auto" w:fill="auto"/>
                </w:tcPr>
                <w:p w14:paraId="4FF034D0" w14:textId="3BE3FD13" w:rsidR="00A9647D" w:rsidRPr="008F3C1E" w:rsidRDefault="00A9647D" w:rsidP="002C32BB">
                  <w:pPr>
                    <w:spacing w:after="0" w:line="240" w:lineRule="auto"/>
                    <w:rPr>
                      <w:rFonts w:ascii="Arial" w:hAnsi="Arial" w:cs="Arial"/>
                      <w:color w:val="000000"/>
                      <w:sz w:val="18"/>
                      <w:szCs w:val="18"/>
                    </w:rPr>
                  </w:pPr>
                  <w:r w:rsidRPr="008F3C1E">
                    <w:rPr>
                      <w:rFonts w:ascii="Arial" w:hAnsi="Arial" w:cs="Arial"/>
                      <w:color w:val="000000"/>
                      <w:sz w:val="18"/>
                      <w:szCs w:val="18"/>
                    </w:rPr>
                    <w:t>US Dollar</w:t>
                  </w:r>
                </w:p>
              </w:tc>
              <w:tc>
                <w:tcPr>
                  <w:tcW w:w="1961" w:type="dxa"/>
                  <w:tcBorders>
                    <w:top w:val="nil"/>
                    <w:left w:val="nil"/>
                    <w:bottom w:val="nil"/>
                    <w:right w:val="nil"/>
                  </w:tcBorders>
                  <w:shd w:val="clear" w:color="auto" w:fill="auto"/>
                </w:tcPr>
                <w:p w14:paraId="4D26E14F" w14:textId="5F6F958E" w:rsidR="00A9647D" w:rsidRPr="008F3C1E" w:rsidRDefault="00A9647D" w:rsidP="002C32BB">
                  <w:pPr>
                    <w:spacing w:after="0" w:line="240" w:lineRule="auto"/>
                    <w:rPr>
                      <w:rFonts w:ascii="Arial" w:hAnsi="Arial" w:cs="Arial"/>
                      <w:color w:val="000000"/>
                      <w:sz w:val="18"/>
                      <w:szCs w:val="18"/>
                    </w:rPr>
                  </w:pPr>
                  <w:r w:rsidRPr="008F3C1E">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679E740E" w14:textId="0530BCCE" w:rsidR="00A9647D" w:rsidRPr="008F3C1E" w:rsidRDefault="00A9647D" w:rsidP="002C32BB">
                  <w:pPr>
                    <w:spacing w:after="0" w:line="240" w:lineRule="auto"/>
                    <w:rPr>
                      <w:rFonts w:ascii="Arial" w:hAnsi="Arial" w:cs="Arial"/>
                      <w:color w:val="000000"/>
                      <w:sz w:val="18"/>
                      <w:szCs w:val="18"/>
                    </w:rPr>
                  </w:pPr>
                  <w:r w:rsidRPr="008F3C1E">
                    <w:rPr>
                      <w:rFonts w:ascii="Arial" w:hAnsi="Arial" w:cs="Arial"/>
                      <w:color w:val="000000"/>
                      <w:sz w:val="18"/>
                      <w:szCs w:val="18"/>
                    </w:rPr>
                    <w:t xml:space="preserve">measures the value of the US dollar relative to the value of a 'basket' of currencies of </w:t>
                  </w:r>
                  <w:proofErr w:type="gramStart"/>
                  <w:r w:rsidRPr="008F3C1E">
                    <w:rPr>
                      <w:rFonts w:ascii="Arial" w:hAnsi="Arial" w:cs="Arial"/>
                      <w:color w:val="000000"/>
                      <w:sz w:val="18"/>
                      <w:szCs w:val="18"/>
                    </w:rPr>
                    <w:t>the majority of</w:t>
                  </w:r>
                  <w:proofErr w:type="gramEnd"/>
                  <w:r w:rsidRPr="008F3C1E">
                    <w:rPr>
                      <w:rFonts w:ascii="Arial" w:hAnsi="Arial" w:cs="Arial"/>
                      <w:color w:val="000000"/>
                      <w:sz w:val="18"/>
                      <w:szCs w:val="18"/>
                    </w:rPr>
                    <w:t xml:space="preserve"> the U.S.'s most significant trading partners.  Factors the exchange rates of six major world currencies:  euro, Japanese yen, Canadian dollar, British pound, Swedish </w:t>
                  </w:r>
                  <w:proofErr w:type="gramStart"/>
                  <w:r w:rsidRPr="008F3C1E">
                    <w:rPr>
                      <w:rFonts w:ascii="Arial" w:hAnsi="Arial" w:cs="Arial"/>
                      <w:color w:val="000000"/>
                      <w:sz w:val="18"/>
                      <w:szCs w:val="18"/>
                    </w:rPr>
                    <w:t>krona</w:t>
                  </w:r>
                  <w:proofErr w:type="gramEnd"/>
                  <w:r w:rsidRPr="008F3C1E">
                    <w:rPr>
                      <w:rFonts w:ascii="Arial" w:hAnsi="Arial" w:cs="Arial"/>
                      <w:color w:val="000000"/>
                      <w:sz w:val="18"/>
                      <w:szCs w:val="18"/>
                    </w:rPr>
                    <w:t xml:space="preserve"> and Swiss franc. </w:t>
                  </w:r>
                </w:p>
              </w:tc>
            </w:tr>
            <w:tr w:rsidR="00A9647D" w:rsidRPr="007A7BDF" w14:paraId="3C0572A0" w14:textId="77777777" w:rsidTr="002C32BB">
              <w:trPr>
                <w:trHeight w:val="909"/>
              </w:trPr>
              <w:tc>
                <w:tcPr>
                  <w:tcW w:w="1502" w:type="dxa"/>
                  <w:tcBorders>
                    <w:top w:val="nil"/>
                    <w:left w:val="nil"/>
                    <w:bottom w:val="nil"/>
                    <w:right w:val="nil"/>
                  </w:tcBorders>
                  <w:shd w:val="clear" w:color="auto" w:fill="auto"/>
                </w:tcPr>
                <w:p w14:paraId="0DFB6CB7" w14:textId="39C7D2A0" w:rsidR="00A9647D" w:rsidRPr="00EB1FE4" w:rsidRDefault="00A9647D" w:rsidP="002C32BB">
                  <w:pPr>
                    <w:spacing w:after="0" w:line="240" w:lineRule="auto"/>
                    <w:rPr>
                      <w:rFonts w:ascii="Arial" w:hAnsi="Arial" w:cs="Arial"/>
                      <w:color w:val="000000"/>
                      <w:sz w:val="18"/>
                      <w:szCs w:val="18"/>
                    </w:rPr>
                  </w:pPr>
                </w:p>
              </w:tc>
              <w:tc>
                <w:tcPr>
                  <w:tcW w:w="1961" w:type="dxa"/>
                  <w:tcBorders>
                    <w:top w:val="nil"/>
                    <w:left w:val="nil"/>
                    <w:bottom w:val="nil"/>
                    <w:right w:val="nil"/>
                  </w:tcBorders>
                  <w:shd w:val="clear" w:color="auto" w:fill="auto"/>
                </w:tcPr>
                <w:p w14:paraId="018670F1" w14:textId="41E808E9" w:rsidR="00A9647D" w:rsidRPr="00EB1FE4"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1DA77378" w14:textId="7DAAA2BD" w:rsidR="00A9647D" w:rsidRPr="00EB1FE4" w:rsidRDefault="00A9647D" w:rsidP="002C32BB">
                  <w:pPr>
                    <w:spacing w:after="0" w:line="240" w:lineRule="auto"/>
                    <w:rPr>
                      <w:rFonts w:ascii="Arial" w:hAnsi="Arial" w:cs="Arial"/>
                      <w:color w:val="000000"/>
                      <w:sz w:val="18"/>
                      <w:szCs w:val="18"/>
                    </w:rPr>
                  </w:pPr>
                </w:p>
              </w:tc>
            </w:tr>
            <w:tr w:rsidR="00A9647D" w:rsidRPr="007A7BDF" w14:paraId="20C3209A" w14:textId="77777777" w:rsidTr="002C32BB">
              <w:trPr>
                <w:trHeight w:val="909"/>
              </w:trPr>
              <w:tc>
                <w:tcPr>
                  <w:tcW w:w="1502" w:type="dxa"/>
                  <w:tcBorders>
                    <w:top w:val="nil"/>
                    <w:left w:val="nil"/>
                    <w:bottom w:val="nil"/>
                    <w:right w:val="nil"/>
                  </w:tcBorders>
                  <w:shd w:val="clear" w:color="auto" w:fill="auto"/>
                </w:tcPr>
                <w:p w14:paraId="380B33AA" w14:textId="48EE0BB2" w:rsidR="00A9647D" w:rsidRPr="008F3C1E" w:rsidRDefault="00A9647D" w:rsidP="002C32BB">
                  <w:pPr>
                    <w:spacing w:after="0" w:line="240" w:lineRule="auto"/>
                    <w:rPr>
                      <w:rFonts w:ascii="Arial" w:hAnsi="Arial" w:cs="Arial"/>
                      <w:color w:val="000000"/>
                      <w:sz w:val="18"/>
                      <w:szCs w:val="18"/>
                    </w:rPr>
                  </w:pPr>
                </w:p>
              </w:tc>
              <w:tc>
                <w:tcPr>
                  <w:tcW w:w="1961" w:type="dxa"/>
                  <w:tcBorders>
                    <w:top w:val="nil"/>
                    <w:left w:val="nil"/>
                    <w:bottom w:val="nil"/>
                    <w:right w:val="nil"/>
                  </w:tcBorders>
                  <w:shd w:val="clear" w:color="auto" w:fill="auto"/>
                </w:tcPr>
                <w:p w14:paraId="20C9C026" w14:textId="6F437983" w:rsidR="00A9647D" w:rsidRPr="008F3C1E"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76DD3EE7" w14:textId="0A998C3B" w:rsidR="00A9647D" w:rsidRPr="008F3C1E" w:rsidRDefault="00A9647D" w:rsidP="002C32BB">
                  <w:pPr>
                    <w:spacing w:after="0" w:line="240" w:lineRule="auto"/>
                    <w:rPr>
                      <w:rFonts w:ascii="Arial" w:hAnsi="Arial" w:cs="Arial"/>
                      <w:color w:val="000000"/>
                      <w:sz w:val="18"/>
                      <w:szCs w:val="18"/>
                    </w:rPr>
                  </w:pPr>
                </w:p>
              </w:tc>
            </w:tr>
            <w:tr w:rsidR="00A9647D" w:rsidRPr="00FC1CD5" w14:paraId="270B7A7B" w14:textId="77777777" w:rsidTr="002C32BB">
              <w:trPr>
                <w:trHeight w:val="909"/>
              </w:trPr>
              <w:tc>
                <w:tcPr>
                  <w:tcW w:w="1502" w:type="dxa"/>
                  <w:tcBorders>
                    <w:top w:val="nil"/>
                    <w:left w:val="nil"/>
                    <w:bottom w:val="nil"/>
                    <w:right w:val="nil"/>
                  </w:tcBorders>
                  <w:shd w:val="clear" w:color="auto" w:fill="auto"/>
                </w:tcPr>
                <w:p w14:paraId="78C67102" w14:textId="25F2E2C0" w:rsidR="00A9647D" w:rsidRPr="008F3C1E" w:rsidRDefault="00A9647D" w:rsidP="002C32BB">
                  <w:pPr>
                    <w:spacing w:after="0" w:line="240" w:lineRule="auto"/>
                    <w:rPr>
                      <w:rFonts w:ascii="Arial" w:hAnsi="Arial" w:cs="Arial"/>
                      <w:color w:val="000000"/>
                      <w:sz w:val="18"/>
                      <w:szCs w:val="18"/>
                    </w:rPr>
                  </w:pPr>
                </w:p>
              </w:tc>
              <w:tc>
                <w:tcPr>
                  <w:tcW w:w="1961" w:type="dxa"/>
                  <w:tcBorders>
                    <w:top w:val="nil"/>
                    <w:left w:val="nil"/>
                    <w:bottom w:val="nil"/>
                    <w:right w:val="nil"/>
                  </w:tcBorders>
                  <w:shd w:val="clear" w:color="auto" w:fill="auto"/>
                </w:tcPr>
                <w:p w14:paraId="6FEA5B5A" w14:textId="29F48DDB" w:rsidR="00A9647D" w:rsidRPr="008F3C1E"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0CBF6ED4" w14:textId="40EB9D0B" w:rsidR="00A9647D" w:rsidRPr="008F3C1E" w:rsidRDefault="00A9647D" w:rsidP="002C32BB">
                  <w:pPr>
                    <w:spacing w:after="0" w:line="240" w:lineRule="auto"/>
                    <w:rPr>
                      <w:rFonts w:ascii="Arial" w:hAnsi="Arial" w:cs="Arial"/>
                      <w:color w:val="000000"/>
                      <w:sz w:val="18"/>
                      <w:szCs w:val="18"/>
                    </w:rPr>
                  </w:pPr>
                </w:p>
              </w:tc>
            </w:tr>
          </w:tbl>
          <w:p w14:paraId="7E6694C0" w14:textId="77777777" w:rsidR="008C20D8" w:rsidRPr="00523F4E" w:rsidRDefault="008C20D8" w:rsidP="002C32BB">
            <w:pPr>
              <w:spacing w:after="160"/>
              <w:ind w:left="-720" w:right="-720"/>
              <w:rPr>
                <w:rFonts w:ascii="Arial" w:hAnsi="Arial" w:cs="Arial"/>
                <w:color w:val="343433"/>
                <w:sz w:val="16"/>
                <w:szCs w:val="16"/>
              </w:rPr>
            </w:pPr>
          </w:p>
        </w:tc>
      </w:tr>
      <w:bookmarkEnd w:id="0"/>
    </w:tbl>
    <w:p w14:paraId="3B5D31A8" w14:textId="5458CB82" w:rsidR="0026106D" w:rsidRDefault="0026106D" w:rsidP="000E5F02">
      <w:pPr>
        <w:autoSpaceDE w:val="0"/>
        <w:autoSpaceDN w:val="0"/>
        <w:spacing w:after="0"/>
        <w:ind w:right="-360" w:hanging="540"/>
        <w:rPr>
          <w:rFonts w:ascii="Arial" w:hAnsi="Arial" w:cs="Arial"/>
          <w:color w:val="3B3838" w:themeColor="background2" w:themeShade="40"/>
          <w:sz w:val="20"/>
          <w:szCs w:val="20"/>
        </w:rPr>
      </w:pPr>
    </w:p>
    <w:p w14:paraId="1EC23BD2" w14:textId="1C7DB5BE" w:rsidR="00082B41" w:rsidRDefault="00082B41" w:rsidP="000E5F02">
      <w:pPr>
        <w:autoSpaceDE w:val="0"/>
        <w:autoSpaceDN w:val="0"/>
        <w:spacing w:after="0"/>
        <w:ind w:right="-360" w:hanging="540"/>
        <w:rPr>
          <w:rFonts w:ascii="Arial" w:hAnsi="Arial" w:cs="Arial"/>
          <w:color w:val="3B3838" w:themeColor="background2" w:themeShade="40"/>
          <w:sz w:val="20"/>
          <w:szCs w:val="20"/>
        </w:rPr>
      </w:pPr>
    </w:p>
    <w:p w14:paraId="1DB1F452" w14:textId="4EF6AD67" w:rsidR="00082B41" w:rsidRDefault="00082B41" w:rsidP="000E5F02">
      <w:pPr>
        <w:autoSpaceDE w:val="0"/>
        <w:autoSpaceDN w:val="0"/>
        <w:spacing w:after="0"/>
        <w:ind w:right="-360" w:hanging="540"/>
        <w:rPr>
          <w:rFonts w:ascii="Arial" w:hAnsi="Arial" w:cs="Arial"/>
          <w:color w:val="3B3838" w:themeColor="background2" w:themeShade="40"/>
          <w:sz w:val="20"/>
          <w:szCs w:val="20"/>
        </w:rPr>
      </w:pPr>
    </w:p>
    <w:p w14:paraId="38C84D78" w14:textId="77777777" w:rsidR="00082B41" w:rsidRPr="000E5F02" w:rsidRDefault="00082B41" w:rsidP="000E5F02">
      <w:pPr>
        <w:autoSpaceDE w:val="0"/>
        <w:autoSpaceDN w:val="0"/>
        <w:spacing w:after="0"/>
        <w:ind w:right="-360" w:hanging="540"/>
        <w:rPr>
          <w:rFonts w:ascii="Arial" w:hAnsi="Arial" w:cs="Arial"/>
          <w:color w:val="3B3838" w:themeColor="background2" w:themeShade="40"/>
          <w:sz w:val="20"/>
          <w:szCs w:val="20"/>
        </w:rPr>
      </w:pPr>
    </w:p>
    <w:p w14:paraId="1CA21405" w14:textId="77777777" w:rsidR="00DE0BBF" w:rsidRDefault="00DE0BBF" w:rsidP="00FE7F0D">
      <w:pPr>
        <w:spacing w:after="160"/>
        <w:ind w:right="-720"/>
        <w:rPr>
          <w:rFonts w:ascii="Arial" w:hAnsi="Arial" w:cs="Arial"/>
          <w:color w:val="343433"/>
          <w:sz w:val="16"/>
          <w:szCs w:val="16"/>
        </w:rPr>
      </w:pPr>
    </w:p>
    <w:p w14:paraId="7FB63708" w14:textId="77777777" w:rsidR="00DE0BBF" w:rsidRDefault="00DE0BBF" w:rsidP="00FE7F0D">
      <w:pPr>
        <w:spacing w:after="160"/>
        <w:ind w:right="-720"/>
        <w:rPr>
          <w:rFonts w:ascii="Arial" w:hAnsi="Arial" w:cs="Arial"/>
          <w:color w:val="343433"/>
          <w:sz w:val="16"/>
          <w:szCs w:val="16"/>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1F0455E7">
                <wp:simplePos x="0" y="0"/>
                <wp:positionH relativeFrom="margin">
                  <wp:posOffset>-661670</wp:posOffset>
                </wp:positionH>
                <wp:positionV relativeFrom="paragraph">
                  <wp:posOffset>2426970</wp:posOffset>
                </wp:positionV>
                <wp:extent cx="6927850" cy="55753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55753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5"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 xml:space="preserve">that govern the use of these materials </w:t>
                              </w:r>
                              <w:proofErr w:type="gramStart"/>
                              <w:r w:rsidRPr="00476763">
                                <w:rPr>
                                  <w:rFonts w:ascii="Arial" w:hAnsi="Arial" w:cs="Arial"/>
                                  <w:sz w:val="16"/>
                                  <w:szCs w:val="16"/>
                                </w:rPr>
                                <w:t>and also</w:t>
                              </w:r>
                              <w:proofErr w:type="gramEnd"/>
                              <w:r w:rsidRPr="00476763">
                                <w:rPr>
                                  <w:rFonts w:ascii="Arial" w:hAnsi="Arial" w:cs="Arial"/>
                                  <w:sz w:val="16"/>
                                  <w:szCs w:val="16"/>
                                </w:rPr>
                                <w:t xml:space="preserve">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w:t>
                              </w:r>
                              <w:proofErr w:type="gramStart"/>
                              <w:r w:rsidRPr="00476763">
                                <w:rPr>
                                  <w:rFonts w:ascii="Arial" w:hAnsi="Arial" w:cs="Arial"/>
                                  <w:sz w:val="16"/>
                                  <w:szCs w:val="16"/>
                                </w:rPr>
                                <w:t>are considered to be</w:t>
                              </w:r>
                              <w:proofErr w:type="gramEnd"/>
                              <w:r w:rsidRPr="00476763">
                                <w:rPr>
                                  <w:rFonts w:ascii="Arial" w:hAnsi="Arial" w:cs="Arial"/>
                                  <w:sz w:val="16"/>
                                  <w:szCs w:val="16"/>
                                </w:rPr>
                                <w:t xml:space="preserv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16844400" w:rsidR="002F7F11" w:rsidRPr="00BF0CB7" w:rsidRDefault="00577760" w:rsidP="00476763">
                              <w:pPr>
                                <w:pStyle w:val="NormalWeb"/>
                                <w:spacing w:before="0" w:beforeAutospacing="0"/>
                                <w:contextualSpacing/>
                                <w:rPr>
                                  <w:rFonts w:ascii="Arial" w:hAnsi="Arial" w:cs="Arial"/>
                                  <w:sz w:val="16"/>
                                  <w:szCs w:val="16"/>
                                </w:rPr>
                              </w:pPr>
                              <w:r w:rsidRPr="00577760">
                                <w:rPr>
                                  <w:rFonts w:ascii="Arial" w:hAnsi="Arial" w:cs="Arial"/>
                                  <w:sz w:val="16"/>
                                  <w:szCs w:val="16"/>
                                </w:rPr>
                                <w:t>103943</w:t>
                              </w:r>
                              <w:r w:rsidR="002F7F11" w:rsidRPr="00577760">
                                <w:rPr>
                                  <w:rFonts w:ascii="Arial" w:hAnsi="Arial" w:cs="Arial"/>
                                  <w:sz w:val="16"/>
                                  <w:szCs w:val="16"/>
                                </w:rPr>
                                <w:t xml:space="preserve"> | </w:t>
                              </w:r>
                              <w:r w:rsidRPr="00577760">
                                <w:rPr>
                                  <w:rFonts w:ascii="Arial" w:hAnsi="Arial" w:cs="Arial"/>
                                  <w:sz w:val="16"/>
                                  <w:szCs w:val="16"/>
                                </w:rPr>
                                <w:t>C22-18686</w:t>
                              </w:r>
                              <w:r>
                                <w:rPr>
                                  <w:rFonts w:ascii="Arial" w:hAnsi="Arial" w:cs="Arial"/>
                                  <w:sz w:val="16"/>
                                  <w:szCs w:val="16"/>
                                </w:rPr>
                                <w:t xml:space="preserve"> </w:t>
                              </w:r>
                              <w:r w:rsidR="002F7F11" w:rsidRPr="00577760">
                                <w:rPr>
                                  <w:rFonts w:ascii="Arial" w:hAnsi="Arial" w:cs="Arial"/>
                                  <w:sz w:val="16"/>
                                  <w:szCs w:val="16"/>
                                </w:rPr>
                                <w:t>| 0</w:t>
                              </w:r>
                              <w:r w:rsidR="009C5871" w:rsidRPr="00577760">
                                <w:rPr>
                                  <w:rFonts w:ascii="Arial" w:hAnsi="Arial" w:cs="Arial"/>
                                  <w:sz w:val="16"/>
                                  <w:szCs w:val="16"/>
                                </w:rPr>
                                <w:t>4</w:t>
                              </w:r>
                              <w:r w:rsidR="002F7F11" w:rsidRPr="00577760">
                                <w:rPr>
                                  <w:rFonts w:ascii="Arial" w:hAnsi="Arial" w:cs="Arial"/>
                                  <w:sz w:val="16"/>
                                  <w:szCs w:val="16"/>
                                </w:rPr>
                                <w:t>/202</w:t>
                              </w:r>
                              <w:r w:rsidR="00F67AD8" w:rsidRPr="00577760">
                                <w:rPr>
                                  <w:rFonts w:ascii="Arial" w:hAnsi="Arial" w:cs="Arial"/>
                                  <w:sz w:val="16"/>
                                  <w:szCs w:val="16"/>
                                </w:rPr>
                                <w:t>2</w:t>
                              </w:r>
                              <w:r w:rsidR="002F7F11" w:rsidRPr="00577760">
                                <w:rPr>
                                  <w:rFonts w:ascii="Arial" w:hAnsi="Arial" w:cs="Arial"/>
                                  <w:sz w:val="16"/>
                                  <w:szCs w:val="16"/>
                                </w:rPr>
                                <w:t xml:space="preserve"> | EXP 0</w:t>
                              </w:r>
                              <w:r w:rsidR="009C5871" w:rsidRPr="00577760">
                                <w:rPr>
                                  <w:rFonts w:ascii="Arial" w:hAnsi="Arial" w:cs="Arial"/>
                                  <w:sz w:val="16"/>
                                  <w:szCs w:val="16"/>
                                </w:rPr>
                                <w:t>4</w:t>
                              </w:r>
                              <w:r w:rsidR="002F7F11" w:rsidRPr="00577760">
                                <w:rPr>
                                  <w:rFonts w:ascii="Arial" w:hAnsi="Arial" w:cs="Arial"/>
                                  <w:sz w:val="16"/>
                                  <w:szCs w:val="16"/>
                                </w:rPr>
                                <w:t>/</w:t>
                              </w:r>
                              <w:r w:rsidR="0054164A" w:rsidRPr="00577760">
                                <w:rPr>
                                  <w:rFonts w:ascii="Arial" w:hAnsi="Arial" w:cs="Arial"/>
                                  <w:sz w:val="16"/>
                                  <w:szCs w:val="16"/>
                                </w:rPr>
                                <w:t>3</w:t>
                              </w:r>
                              <w:r w:rsidR="009C5871" w:rsidRPr="00577760">
                                <w:rPr>
                                  <w:rFonts w:ascii="Arial" w:hAnsi="Arial" w:cs="Arial"/>
                                  <w:sz w:val="16"/>
                                  <w:szCs w:val="16"/>
                                </w:rPr>
                                <w:t>0</w:t>
                              </w:r>
                              <w:r w:rsidR="002F7F11" w:rsidRPr="00577760">
                                <w:rPr>
                                  <w:rFonts w:ascii="Arial" w:hAnsi="Arial" w:cs="Arial"/>
                                  <w:sz w:val="16"/>
                                  <w:szCs w:val="16"/>
                                </w:rPr>
                                <w:t>/202</w:t>
                              </w:r>
                              <w:r w:rsidR="00F67AD8" w:rsidRPr="00577760">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1pt;margin-top:191.1pt;width:545.5pt;height:439pt;z-index:251679744;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0+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x+s49C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6"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 xml:space="preserve">that govern the use of these materials </w:t>
                        </w:r>
                        <w:proofErr w:type="gramStart"/>
                        <w:r w:rsidRPr="00476763">
                          <w:rPr>
                            <w:rFonts w:ascii="Arial" w:hAnsi="Arial" w:cs="Arial"/>
                            <w:sz w:val="16"/>
                            <w:szCs w:val="16"/>
                          </w:rPr>
                          <w:t>and also</w:t>
                        </w:r>
                        <w:proofErr w:type="gramEnd"/>
                        <w:r w:rsidRPr="00476763">
                          <w:rPr>
                            <w:rFonts w:ascii="Arial" w:hAnsi="Arial" w:cs="Arial"/>
                            <w:sz w:val="16"/>
                            <w:szCs w:val="16"/>
                          </w:rPr>
                          <w:t xml:space="preserve">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w:t>
                        </w:r>
                        <w:proofErr w:type="gramStart"/>
                        <w:r w:rsidRPr="00476763">
                          <w:rPr>
                            <w:rFonts w:ascii="Arial" w:hAnsi="Arial" w:cs="Arial"/>
                            <w:sz w:val="16"/>
                            <w:szCs w:val="16"/>
                          </w:rPr>
                          <w:t>are considered to be</w:t>
                        </w:r>
                        <w:proofErr w:type="gramEnd"/>
                        <w:r w:rsidRPr="00476763">
                          <w:rPr>
                            <w:rFonts w:ascii="Arial" w:hAnsi="Arial" w:cs="Arial"/>
                            <w:sz w:val="16"/>
                            <w:szCs w:val="16"/>
                          </w:rPr>
                          <w:t xml:space="preserv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16844400" w:rsidR="002F7F11" w:rsidRPr="00BF0CB7" w:rsidRDefault="00577760" w:rsidP="00476763">
                        <w:pPr>
                          <w:pStyle w:val="NormalWeb"/>
                          <w:spacing w:before="0" w:beforeAutospacing="0"/>
                          <w:contextualSpacing/>
                          <w:rPr>
                            <w:rFonts w:ascii="Arial" w:hAnsi="Arial" w:cs="Arial"/>
                            <w:sz w:val="16"/>
                            <w:szCs w:val="16"/>
                          </w:rPr>
                        </w:pPr>
                        <w:r w:rsidRPr="00577760">
                          <w:rPr>
                            <w:rFonts w:ascii="Arial" w:hAnsi="Arial" w:cs="Arial"/>
                            <w:sz w:val="16"/>
                            <w:szCs w:val="16"/>
                          </w:rPr>
                          <w:t>103943</w:t>
                        </w:r>
                        <w:r w:rsidR="002F7F11" w:rsidRPr="00577760">
                          <w:rPr>
                            <w:rFonts w:ascii="Arial" w:hAnsi="Arial" w:cs="Arial"/>
                            <w:sz w:val="16"/>
                            <w:szCs w:val="16"/>
                          </w:rPr>
                          <w:t xml:space="preserve"> | </w:t>
                        </w:r>
                        <w:r w:rsidRPr="00577760">
                          <w:rPr>
                            <w:rFonts w:ascii="Arial" w:hAnsi="Arial" w:cs="Arial"/>
                            <w:sz w:val="16"/>
                            <w:szCs w:val="16"/>
                          </w:rPr>
                          <w:t>C22-18686</w:t>
                        </w:r>
                        <w:r>
                          <w:rPr>
                            <w:rFonts w:ascii="Arial" w:hAnsi="Arial" w:cs="Arial"/>
                            <w:sz w:val="16"/>
                            <w:szCs w:val="16"/>
                          </w:rPr>
                          <w:t xml:space="preserve"> </w:t>
                        </w:r>
                        <w:r w:rsidR="002F7F11" w:rsidRPr="00577760">
                          <w:rPr>
                            <w:rFonts w:ascii="Arial" w:hAnsi="Arial" w:cs="Arial"/>
                            <w:sz w:val="16"/>
                            <w:szCs w:val="16"/>
                          </w:rPr>
                          <w:t>| 0</w:t>
                        </w:r>
                        <w:r w:rsidR="009C5871" w:rsidRPr="00577760">
                          <w:rPr>
                            <w:rFonts w:ascii="Arial" w:hAnsi="Arial" w:cs="Arial"/>
                            <w:sz w:val="16"/>
                            <w:szCs w:val="16"/>
                          </w:rPr>
                          <w:t>4</w:t>
                        </w:r>
                        <w:r w:rsidR="002F7F11" w:rsidRPr="00577760">
                          <w:rPr>
                            <w:rFonts w:ascii="Arial" w:hAnsi="Arial" w:cs="Arial"/>
                            <w:sz w:val="16"/>
                            <w:szCs w:val="16"/>
                          </w:rPr>
                          <w:t>/202</w:t>
                        </w:r>
                        <w:r w:rsidR="00F67AD8" w:rsidRPr="00577760">
                          <w:rPr>
                            <w:rFonts w:ascii="Arial" w:hAnsi="Arial" w:cs="Arial"/>
                            <w:sz w:val="16"/>
                            <w:szCs w:val="16"/>
                          </w:rPr>
                          <w:t>2</w:t>
                        </w:r>
                        <w:r w:rsidR="002F7F11" w:rsidRPr="00577760">
                          <w:rPr>
                            <w:rFonts w:ascii="Arial" w:hAnsi="Arial" w:cs="Arial"/>
                            <w:sz w:val="16"/>
                            <w:szCs w:val="16"/>
                          </w:rPr>
                          <w:t xml:space="preserve"> | EXP 0</w:t>
                        </w:r>
                        <w:r w:rsidR="009C5871" w:rsidRPr="00577760">
                          <w:rPr>
                            <w:rFonts w:ascii="Arial" w:hAnsi="Arial" w:cs="Arial"/>
                            <w:sz w:val="16"/>
                            <w:szCs w:val="16"/>
                          </w:rPr>
                          <w:t>4</w:t>
                        </w:r>
                        <w:r w:rsidR="002F7F11" w:rsidRPr="00577760">
                          <w:rPr>
                            <w:rFonts w:ascii="Arial" w:hAnsi="Arial" w:cs="Arial"/>
                            <w:sz w:val="16"/>
                            <w:szCs w:val="16"/>
                          </w:rPr>
                          <w:t>/</w:t>
                        </w:r>
                        <w:r w:rsidR="0054164A" w:rsidRPr="00577760">
                          <w:rPr>
                            <w:rFonts w:ascii="Arial" w:hAnsi="Arial" w:cs="Arial"/>
                            <w:sz w:val="16"/>
                            <w:szCs w:val="16"/>
                          </w:rPr>
                          <w:t>3</w:t>
                        </w:r>
                        <w:r w:rsidR="009C5871" w:rsidRPr="00577760">
                          <w:rPr>
                            <w:rFonts w:ascii="Arial" w:hAnsi="Arial" w:cs="Arial"/>
                            <w:sz w:val="16"/>
                            <w:szCs w:val="16"/>
                          </w:rPr>
                          <w:t>0</w:t>
                        </w:r>
                        <w:r w:rsidR="002F7F11" w:rsidRPr="00577760">
                          <w:rPr>
                            <w:rFonts w:ascii="Arial" w:hAnsi="Arial" w:cs="Arial"/>
                            <w:sz w:val="16"/>
                            <w:szCs w:val="16"/>
                          </w:rPr>
                          <w:t>/202</w:t>
                        </w:r>
                        <w:r w:rsidR="00F67AD8" w:rsidRPr="00577760">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7"/>
      <w:footerReference w:type="even" r:id="rId18"/>
      <w:footerReference w:type="default" r:id="rId19"/>
      <w:headerReference w:type="first" r:id="rId20"/>
      <w:footerReference w:type="first" r:id="rId21"/>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DC7A" w14:textId="77777777" w:rsidR="00A266D7" w:rsidRDefault="00A266D7" w:rsidP="005C1D70">
      <w:pPr>
        <w:spacing w:after="0" w:line="240" w:lineRule="auto"/>
      </w:pPr>
      <w:r>
        <w:separator/>
      </w:r>
    </w:p>
  </w:endnote>
  <w:endnote w:type="continuationSeparator" w:id="0">
    <w:p w14:paraId="5071752D" w14:textId="77777777" w:rsidR="00A266D7" w:rsidRDefault="00A266D7" w:rsidP="005C1D70">
      <w:pPr>
        <w:spacing w:after="0" w:line="240" w:lineRule="auto"/>
      </w:pPr>
      <w:r>
        <w:continuationSeparator/>
      </w:r>
    </w:p>
  </w:endnote>
  <w:endnote w:id="1">
    <w:p w14:paraId="1A56A98F" w14:textId="58496F1E" w:rsidR="00A57EE1" w:rsidRPr="009C5871" w:rsidRDefault="00A57EE1">
      <w:pPr>
        <w:pStyle w:val="EndnoteText"/>
        <w:rPr>
          <w:rFonts w:ascii="Arial" w:hAnsi="Arial" w:cs="Arial"/>
          <w:sz w:val="16"/>
          <w:szCs w:val="16"/>
        </w:rPr>
      </w:pPr>
      <w:r w:rsidRPr="009C5871">
        <w:rPr>
          <w:rStyle w:val="EndnoteReference"/>
          <w:rFonts w:ascii="Arial" w:hAnsi="Arial" w:cs="Arial"/>
          <w:sz w:val="16"/>
          <w:szCs w:val="16"/>
        </w:rPr>
        <w:endnoteRef/>
      </w:r>
      <w:r w:rsidRPr="009C5871">
        <w:rPr>
          <w:rFonts w:ascii="Arial" w:hAnsi="Arial" w:cs="Arial"/>
          <w:sz w:val="16"/>
          <w:szCs w:val="16"/>
        </w:rPr>
        <w:t xml:space="preserve"> https://fortune.com/2022/03/31/us-companies-record-profits-2021-price-hikes-inflation/</w:t>
      </w:r>
    </w:p>
  </w:endnote>
  <w:endnote w:id="2">
    <w:p w14:paraId="088F953D" w14:textId="388549AC" w:rsidR="00A57EE1" w:rsidRPr="009C5871" w:rsidRDefault="00A57EE1">
      <w:pPr>
        <w:pStyle w:val="EndnoteText"/>
        <w:rPr>
          <w:rFonts w:ascii="Arial" w:hAnsi="Arial" w:cs="Arial"/>
          <w:sz w:val="16"/>
          <w:szCs w:val="16"/>
        </w:rPr>
      </w:pPr>
      <w:r w:rsidRPr="009C5871">
        <w:rPr>
          <w:rStyle w:val="EndnoteReference"/>
          <w:rFonts w:ascii="Arial" w:hAnsi="Arial" w:cs="Arial"/>
          <w:sz w:val="16"/>
          <w:szCs w:val="16"/>
        </w:rPr>
        <w:endnoteRef/>
      </w:r>
      <w:r w:rsidRPr="009C5871">
        <w:rPr>
          <w:rFonts w:ascii="Arial" w:hAnsi="Arial" w:cs="Arial"/>
          <w:sz w:val="16"/>
          <w:szCs w:val="16"/>
        </w:rPr>
        <w:t xml:space="preserve"> https://www.cnbc.com/2022/03/06/us-crude-oil-jumps-to-125-a-barrel-a-13-year-high-on-possible-western-ban-of-russian-oil.html</w:t>
      </w:r>
    </w:p>
  </w:endnote>
  <w:endnote w:id="3">
    <w:p w14:paraId="71982BBF" w14:textId="2D7C6A9C" w:rsidR="00A57EE1" w:rsidRPr="009C5871" w:rsidRDefault="00A57EE1">
      <w:pPr>
        <w:pStyle w:val="EndnoteText"/>
        <w:rPr>
          <w:rFonts w:ascii="Arial" w:hAnsi="Arial" w:cs="Arial"/>
          <w:sz w:val="16"/>
          <w:szCs w:val="16"/>
        </w:rPr>
      </w:pPr>
      <w:r w:rsidRPr="009C5871">
        <w:rPr>
          <w:rStyle w:val="EndnoteReference"/>
          <w:rFonts w:ascii="Arial" w:hAnsi="Arial" w:cs="Arial"/>
          <w:sz w:val="16"/>
          <w:szCs w:val="16"/>
        </w:rPr>
        <w:endnoteRef/>
      </w:r>
      <w:r w:rsidRPr="009C5871">
        <w:rPr>
          <w:rFonts w:ascii="Arial" w:hAnsi="Arial" w:cs="Arial"/>
          <w:sz w:val="16"/>
          <w:szCs w:val="16"/>
        </w:rPr>
        <w:t xml:space="preserve"> FactSet</w:t>
      </w:r>
    </w:p>
  </w:endnote>
  <w:endnote w:id="4">
    <w:p w14:paraId="308F45D5" w14:textId="6F301DDA" w:rsidR="00A57EE1" w:rsidRDefault="00A57EE1">
      <w:pPr>
        <w:pStyle w:val="EndnoteText"/>
      </w:pPr>
      <w:r w:rsidRPr="009C5871">
        <w:rPr>
          <w:rStyle w:val="EndnoteReference"/>
          <w:rFonts w:ascii="Arial" w:hAnsi="Arial" w:cs="Arial"/>
          <w:sz w:val="16"/>
          <w:szCs w:val="16"/>
        </w:rPr>
        <w:endnoteRef/>
      </w:r>
      <w:r w:rsidRPr="009C5871">
        <w:rPr>
          <w:rFonts w:ascii="Arial" w:hAnsi="Arial" w:cs="Arial"/>
          <w:sz w:val="16"/>
          <w:szCs w:val="16"/>
        </w:rPr>
        <w:t xml:space="preserve"> https://www.reuters.com/business/global-markets-wrapup-1-2022-03-30/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59797"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1A2D0"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1F58" w14:textId="77777777" w:rsidR="00A266D7" w:rsidRDefault="00A266D7" w:rsidP="005C1D70">
      <w:pPr>
        <w:spacing w:after="0" w:line="240" w:lineRule="auto"/>
      </w:pPr>
      <w:r>
        <w:separator/>
      </w:r>
    </w:p>
  </w:footnote>
  <w:footnote w:type="continuationSeparator" w:id="0">
    <w:p w14:paraId="3CC3BB5A" w14:textId="77777777" w:rsidR="00A266D7" w:rsidRDefault="00A266D7"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DBF12"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2263F6FD" w:rsidR="0037202D" w:rsidRPr="0037202D" w:rsidRDefault="002C0565" w:rsidP="0037202D">
                          <w:pPr>
                            <w:rPr>
                              <w:rFonts w:ascii="Arial" w:hAnsi="Arial" w:cs="Arial"/>
                              <w:sz w:val="18"/>
                            </w:rPr>
                          </w:pPr>
                          <w:r>
                            <w:rPr>
                              <w:rFonts w:ascii="Arial" w:hAnsi="Arial" w:cs="Arial"/>
                            </w:rPr>
                            <w:t>March</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2263F6FD" w:rsidR="0037202D" w:rsidRPr="0037202D" w:rsidRDefault="002C0565" w:rsidP="0037202D">
                    <w:pPr>
                      <w:rPr>
                        <w:rFonts w:ascii="Arial" w:hAnsi="Arial" w:cs="Arial"/>
                        <w:sz w:val="18"/>
                      </w:rPr>
                    </w:pPr>
                    <w:r>
                      <w:rPr>
                        <w:rFonts w:ascii="Arial" w:hAnsi="Arial" w:cs="Arial"/>
                      </w:rPr>
                      <w:t>March</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92BE"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rwUAEGlufywAAAA="/>
    <w:docVar w:name="APWAFNeedToUniquify" w:val="tru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F4"/>
    <w:rsid w:val="00024439"/>
    <w:rsid w:val="00025503"/>
    <w:rsid w:val="00025D22"/>
    <w:rsid w:val="0003017C"/>
    <w:rsid w:val="00030ECA"/>
    <w:rsid w:val="0003376F"/>
    <w:rsid w:val="0003567F"/>
    <w:rsid w:val="000371DC"/>
    <w:rsid w:val="00041620"/>
    <w:rsid w:val="00042E23"/>
    <w:rsid w:val="000430A6"/>
    <w:rsid w:val="000447C9"/>
    <w:rsid w:val="00045057"/>
    <w:rsid w:val="00051F5A"/>
    <w:rsid w:val="000525E5"/>
    <w:rsid w:val="00053EFC"/>
    <w:rsid w:val="00054C1C"/>
    <w:rsid w:val="00066B89"/>
    <w:rsid w:val="0007798A"/>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488"/>
    <w:rsid w:val="000A7E8D"/>
    <w:rsid w:val="000B0791"/>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785C"/>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649B9"/>
    <w:rsid w:val="00174514"/>
    <w:rsid w:val="00174990"/>
    <w:rsid w:val="00175576"/>
    <w:rsid w:val="00175F3F"/>
    <w:rsid w:val="00176A6B"/>
    <w:rsid w:val="001779A9"/>
    <w:rsid w:val="00184874"/>
    <w:rsid w:val="001859E9"/>
    <w:rsid w:val="001867A3"/>
    <w:rsid w:val="00192D1F"/>
    <w:rsid w:val="00194BC0"/>
    <w:rsid w:val="0019560C"/>
    <w:rsid w:val="00196F86"/>
    <w:rsid w:val="001A07B6"/>
    <w:rsid w:val="001A1863"/>
    <w:rsid w:val="001A42D1"/>
    <w:rsid w:val="001A57E4"/>
    <w:rsid w:val="001A6654"/>
    <w:rsid w:val="001B0603"/>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914"/>
    <w:rsid w:val="001D5AEF"/>
    <w:rsid w:val="001D5D2F"/>
    <w:rsid w:val="001D6BC2"/>
    <w:rsid w:val="001D7A8E"/>
    <w:rsid w:val="001D7C01"/>
    <w:rsid w:val="001E1073"/>
    <w:rsid w:val="001E21E7"/>
    <w:rsid w:val="001E3BDA"/>
    <w:rsid w:val="001E3C1A"/>
    <w:rsid w:val="001E4456"/>
    <w:rsid w:val="001E4E23"/>
    <w:rsid w:val="001E4FD6"/>
    <w:rsid w:val="001E581D"/>
    <w:rsid w:val="001E5CB7"/>
    <w:rsid w:val="001E71B3"/>
    <w:rsid w:val="001F06B2"/>
    <w:rsid w:val="001F0ADB"/>
    <w:rsid w:val="001F2BF8"/>
    <w:rsid w:val="001F5138"/>
    <w:rsid w:val="001F51C9"/>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20C2"/>
    <w:rsid w:val="00222A02"/>
    <w:rsid w:val="00225D97"/>
    <w:rsid w:val="002276A3"/>
    <w:rsid w:val="00227DDC"/>
    <w:rsid w:val="00230680"/>
    <w:rsid w:val="00232B8E"/>
    <w:rsid w:val="00235DA5"/>
    <w:rsid w:val="00236820"/>
    <w:rsid w:val="002401F6"/>
    <w:rsid w:val="00240C3F"/>
    <w:rsid w:val="002417A8"/>
    <w:rsid w:val="00241BAE"/>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461C"/>
    <w:rsid w:val="002A773F"/>
    <w:rsid w:val="002B05C8"/>
    <w:rsid w:val="002C02AF"/>
    <w:rsid w:val="002C0565"/>
    <w:rsid w:val="002D05E4"/>
    <w:rsid w:val="002D22E8"/>
    <w:rsid w:val="002D2320"/>
    <w:rsid w:val="002D37C9"/>
    <w:rsid w:val="002D4F15"/>
    <w:rsid w:val="002D50C3"/>
    <w:rsid w:val="002D792A"/>
    <w:rsid w:val="002D7DC5"/>
    <w:rsid w:val="002E0A7B"/>
    <w:rsid w:val="002E433C"/>
    <w:rsid w:val="002E4898"/>
    <w:rsid w:val="002E508A"/>
    <w:rsid w:val="002E50EA"/>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62FC"/>
    <w:rsid w:val="0037726A"/>
    <w:rsid w:val="00381EB7"/>
    <w:rsid w:val="0038317A"/>
    <w:rsid w:val="003835CC"/>
    <w:rsid w:val="00383AF2"/>
    <w:rsid w:val="00383F8F"/>
    <w:rsid w:val="00385C7C"/>
    <w:rsid w:val="0039028E"/>
    <w:rsid w:val="0039373B"/>
    <w:rsid w:val="003948A6"/>
    <w:rsid w:val="00396976"/>
    <w:rsid w:val="003A027C"/>
    <w:rsid w:val="003A0A0D"/>
    <w:rsid w:val="003A17E9"/>
    <w:rsid w:val="003A1C0B"/>
    <w:rsid w:val="003A27B5"/>
    <w:rsid w:val="003A312A"/>
    <w:rsid w:val="003A67D5"/>
    <w:rsid w:val="003A729F"/>
    <w:rsid w:val="003A796C"/>
    <w:rsid w:val="003A79ED"/>
    <w:rsid w:val="003A7A06"/>
    <w:rsid w:val="003B0F64"/>
    <w:rsid w:val="003B3EEE"/>
    <w:rsid w:val="003B7A38"/>
    <w:rsid w:val="003C1DEF"/>
    <w:rsid w:val="003C1EE4"/>
    <w:rsid w:val="003C297B"/>
    <w:rsid w:val="003C2C63"/>
    <w:rsid w:val="003C438F"/>
    <w:rsid w:val="003C4C11"/>
    <w:rsid w:val="003C547B"/>
    <w:rsid w:val="003C5B6F"/>
    <w:rsid w:val="003D09BD"/>
    <w:rsid w:val="003D0E2B"/>
    <w:rsid w:val="003D27ED"/>
    <w:rsid w:val="003D49A8"/>
    <w:rsid w:val="003D535D"/>
    <w:rsid w:val="003D596A"/>
    <w:rsid w:val="003D6A52"/>
    <w:rsid w:val="003D7552"/>
    <w:rsid w:val="003E2BF1"/>
    <w:rsid w:val="003E3FAC"/>
    <w:rsid w:val="003E4429"/>
    <w:rsid w:val="003E5A99"/>
    <w:rsid w:val="003E6762"/>
    <w:rsid w:val="003F0BE4"/>
    <w:rsid w:val="003F1491"/>
    <w:rsid w:val="003F1C77"/>
    <w:rsid w:val="003F4056"/>
    <w:rsid w:val="003F4A96"/>
    <w:rsid w:val="003F588B"/>
    <w:rsid w:val="003F5A3A"/>
    <w:rsid w:val="003F6944"/>
    <w:rsid w:val="003F79DC"/>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7D4"/>
    <w:rsid w:val="00434F44"/>
    <w:rsid w:val="00435663"/>
    <w:rsid w:val="00436641"/>
    <w:rsid w:val="00437DD6"/>
    <w:rsid w:val="004405AE"/>
    <w:rsid w:val="00444C8B"/>
    <w:rsid w:val="00445982"/>
    <w:rsid w:val="004462DD"/>
    <w:rsid w:val="00451340"/>
    <w:rsid w:val="00452980"/>
    <w:rsid w:val="00453D4F"/>
    <w:rsid w:val="00455CB2"/>
    <w:rsid w:val="004561AF"/>
    <w:rsid w:val="00457A7D"/>
    <w:rsid w:val="0046043A"/>
    <w:rsid w:val="00461662"/>
    <w:rsid w:val="004640AC"/>
    <w:rsid w:val="0046418E"/>
    <w:rsid w:val="00464C6A"/>
    <w:rsid w:val="004668E2"/>
    <w:rsid w:val="00467285"/>
    <w:rsid w:val="0047167F"/>
    <w:rsid w:val="00471693"/>
    <w:rsid w:val="00471EAF"/>
    <w:rsid w:val="00474668"/>
    <w:rsid w:val="00476763"/>
    <w:rsid w:val="00476B90"/>
    <w:rsid w:val="004776A7"/>
    <w:rsid w:val="00481713"/>
    <w:rsid w:val="00481C51"/>
    <w:rsid w:val="00483CFF"/>
    <w:rsid w:val="00485A5F"/>
    <w:rsid w:val="00486B2A"/>
    <w:rsid w:val="00487F21"/>
    <w:rsid w:val="004916A4"/>
    <w:rsid w:val="004977A7"/>
    <w:rsid w:val="004A030F"/>
    <w:rsid w:val="004A3AEE"/>
    <w:rsid w:val="004A43C7"/>
    <w:rsid w:val="004A6C80"/>
    <w:rsid w:val="004A7165"/>
    <w:rsid w:val="004A735B"/>
    <w:rsid w:val="004A74EF"/>
    <w:rsid w:val="004B03CA"/>
    <w:rsid w:val="004B0A8D"/>
    <w:rsid w:val="004B0ADF"/>
    <w:rsid w:val="004B1C5E"/>
    <w:rsid w:val="004B22C1"/>
    <w:rsid w:val="004B2CC1"/>
    <w:rsid w:val="004B5584"/>
    <w:rsid w:val="004B5EEA"/>
    <w:rsid w:val="004C0E8E"/>
    <w:rsid w:val="004C18B4"/>
    <w:rsid w:val="004C3DB9"/>
    <w:rsid w:val="004C6215"/>
    <w:rsid w:val="004C6631"/>
    <w:rsid w:val="004C6AD9"/>
    <w:rsid w:val="004C7188"/>
    <w:rsid w:val="004C74F0"/>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3048"/>
    <w:rsid w:val="00523F4E"/>
    <w:rsid w:val="00525FA1"/>
    <w:rsid w:val="00527E67"/>
    <w:rsid w:val="00532333"/>
    <w:rsid w:val="00533654"/>
    <w:rsid w:val="00535CAA"/>
    <w:rsid w:val="00536193"/>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FC0"/>
    <w:rsid w:val="00567CF8"/>
    <w:rsid w:val="0057095D"/>
    <w:rsid w:val="0057379A"/>
    <w:rsid w:val="00574C57"/>
    <w:rsid w:val="00576DFC"/>
    <w:rsid w:val="00576E85"/>
    <w:rsid w:val="00577760"/>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BE"/>
    <w:rsid w:val="005D65A6"/>
    <w:rsid w:val="005E124F"/>
    <w:rsid w:val="005E4FA5"/>
    <w:rsid w:val="005E555C"/>
    <w:rsid w:val="005E70C5"/>
    <w:rsid w:val="005F1BF0"/>
    <w:rsid w:val="005F2A8F"/>
    <w:rsid w:val="005F3604"/>
    <w:rsid w:val="005F5466"/>
    <w:rsid w:val="005F6076"/>
    <w:rsid w:val="005F6431"/>
    <w:rsid w:val="005F7CCF"/>
    <w:rsid w:val="00602E16"/>
    <w:rsid w:val="00606134"/>
    <w:rsid w:val="006074D8"/>
    <w:rsid w:val="006128A4"/>
    <w:rsid w:val="006144FA"/>
    <w:rsid w:val="0061454E"/>
    <w:rsid w:val="00616FAF"/>
    <w:rsid w:val="00620AF4"/>
    <w:rsid w:val="00622141"/>
    <w:rsid w:val="00622359"/>
    <w:rsid w:val="00623071"/>
    <w:rsid w:val="00630922"/>
    <w:rsid w:val="006337D1"/>
    <w:rsid w:val="006338E9"/>
    <w:rsid w:val="006366A0"/>
    <w:rsid w:val="00636D2B"/>
    <w:rsid w:val="00637581"/>
    <w:rsid w:val="006401E3"/>
    <w:rsid w:val="00640B9F"/>
    <w:rsid w:val="0064183D"/>
    <w:rsid w:val="00641B11"/>
    <w:rsid w:val="00641B69"/>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04F0"/>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6909"/>
    <w:rsid w:val="006B0231"/>
    <w:rsid w:val="006B1745"/>
    <w:rsid w:val="006B3DC2"/>
    <w:rsid w:val="006B78E2"/>
    <w:rsid w:val="006C1445"/>
    <w:rsid w:val="006C208B"/>
    <w:rsid w:val="006C463E"/>
    <w:rsid w:val="006C4C98"/>
    <w:rsid w:val="006C539B"/>
    <w:rsid w:val="006C55D5"/>
    <w:rsid w:val="006C579B"/>
    <w:rsid w:val="006C7478"/>
    <w:rsid w:val="006D13B7"/>
    <w:rsid w:val="006E2D22"/>
    <w:rsid w:val="006E36B5"/>
    <w:rsid w:val="006E6949"/>
    <w:rsid w:val="006E764B"/>
    <w:rsid w:val="006F1067"/>
    <w:rsid w:val="006F2A5E"/>
    <w:rsid w:val="006F3415"/>
    <w:rsid w:val="006F357D"/>
    <w:rsid w:val="006F403D"/>
    <w:rsid w:val="006F40B1"/>
    <w:rsid w:val="006F48FD"/>
    <w:rsid w:val="00700187"/>
    <w:rsid w:val="00700517"/>
    <w:rsid w:val="00700C30"/>
    <w:rsid w:val="00700D75"/>
    <w:rsid w:val="00703EC9"/>
    <w:rsid w:val="00704B97"/>
    <w:rsid w:val="007063C7"/>
    <w:rsid w:val="007073E7"/>
    <w:rsid w:val="00710280"/>
    <w:rsid w:val="00710C98"/>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7A0C"/>
    <w:rsid w:val="00777E17"/>
    <w:rsid w:val="00780DBF"/>
    <w:rsid w:val="007848F1"/>
    <w:rsid w:val="0078542B"/>
    <w:rsid w:val="00786B29"/>
    <w:rsid w:val="00790095"/>
    <w:rsid w:val="00792FEE"/>
    <w:rsid w:val="00793F36"/>
    <w:rsid w:val="007944DE"/>
    <w:rsid w:val="00795A19"/>
    <w:rsid w:val="00795AA4"/>
    <w:rsid w:val="0079616F"/>
    <w:rsid w:val="007A1033"/>
    <w:rsid w:val="007A1072"/>
    <w:rsid w:val="007A1139"/>
    <w:rsid w:val="007A14BB"/>
    <w:rsid w:val="007A1E85"/>
    <w:rsid w:val="007B054B"/>
    <w:rsid w:val="007B2299"/>
    <w:rsid w:val="007B34D9"/>
    <w:rsid w:val="007B3FC8"/>
    <w:rsid w:val="007B5976"/>
    <w:rsid w:val="007C192B"/>
    <w:rsid w:val="007C1B56"/>
    <w:rsid w:val="007C3457"/>
    <w:rsid w:val="007C38EF"/>
    <w:rsid w:val="007C3C1D"/>
    <w:rsid w:val="007C4C9B"/>
    <w:rsid w:val="007C4D25"/>
    <w:rsid w:val="007C618C"/>
    <w:rsid w:val="007D1ACF"/>
    <w:rsid w:val="007D1EED"/>
    <w:rsid w:val="007D2107"/>
    <w:rsid w:val="007D272C"/>
    <w:rsid w:val="007D2FA0"/>
    <w:rsid w:val="007E2571"/>
    <w:rsid w:val="007E4510"/>
    <w:rsid w:val="007E4864"/>
    <w:rsid w:val="007E4A30"/>
    <w:rsid w:val="007F38F2"/>
    <w:rsid w:val="007F3CA0"/>
    <w:rsid w:val="007F3D57"/>
    <w:rsid w:val="007F5627"/>
    <w:rsid w:val="0080074E"/>
    <w:rsid w:val="008026F9"/>
    <w:rsid w:val="00805AB8"/>
    <w:rsid w:val="00805CB4"/>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40D4"/>
    <w:rsid w:val="008377F6"/>
    <w:rsid w:val="008379ED"/>
    <w:rsid w:val="00842921"/>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BD1"/>
    <w:rsid w:val="00871658"/>
    <w:rsid w:val="00872DE1"/>
    <w:rsid w:val="0087464F"/>
    <w:rsid w:val="00880FEA"/>
    <w:rsid w:val="00883AE2"/>
    <w:rsid w:val="0088428B"/>
    <w:rsid w:val="0089208C"/>
    <w:rsid w:val="00893ADD"/>
    <w:rsid w:val="008971E2"/>
    <w:rsid w:val="008A07F2"/>
    <w:rsid w:val="008A1C1F"/>
    <w:rsid w:val="008A1F12"/>
    <w:rsid w:val="008A393E"/>
    <w:rsid w:val="008A3DF0"/>
    <w:rsid w:val="008A411B"/>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47F2"/>
    <w:rsid w:val="008E4A58"/>
    <w:rsid w:val="008E54FB"/>
    <w:rsid w:val="008E6051"/>
    <w:rsid w:val="008E760E"/>
    <w:rsid w:val="008F08CB"/>
    <w:rsid w:val="008F0DD1"/>
    <w:rsid w:val="008F296E"/>
    <w:rsid w:val="008F4169"/>
    <w:rsid w:val="008F62C2"/>
    <w:rsid w:val="008F6CC3"/>
    <w:rsid w:val="008F7825"/>
    <w:rsid w:val="00901193"/>
    <w:rsid w:val="0090223B"/>
    <w:rsid w:val="00903A85"/>
    <w:rsid w:val="00906EE2"/>
    <w:rsid w:val="00907541"/>
    <w:rsid w:val="00910D15"/>
    <w:rsid w:val="00911A75"/>
    <w:rsid w:val="00912DFA"/>
    <w:rsid w:val="00913388"/>
    <w:rsid w:val="009154D2"/>
    <w:rsid w:val="009168B1"/>
    <w:rsid w:val="00920818"/>
    <w:rsid w:val="0092187B"/>
    <w:rsid w:val="00923460"/>
    <w:rsid w:val="00926778"/>
    <w:rsid w:val="009300E4"/>
    <w:rsid w:val="009317EE"/>
    <w:rsid w:val="00934B0C"/>
    <w:rsid w:val="00935850"/>
    <w:rsid w:val="0093745C"/>
    <w:rsid w:val="00943357"/>
    <w:rsid w:val="00946F6C"/>
    <w:rsid w:val="00947DED"/>
    <w:rsid w:val="00953C2E"/>
    <w:rsid w:val="0095430A"/>
    <w:rsid w:val="00955508"/>
    <w:rsid w:val="00955B83"/>
    <w:rsid w:val="0095698B"/>
    <w:rsid w:val="009625CF"/>
    <w:rsid w:val="009643F3"/>
    <w:rsid w:val="00964764"/>
    <w:rsid w:val="00965591"/>
    <w:rsid w:val="0096636E"/>
    <w:rsid w:val="009671F3"/>
    <w:rsid w:val="00970279"/>
    <w:rsid w:val="009708E7"/>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294C"/>
    <w:rsid w:val="00993224"/>
    <w:rsid w:val="00993CB7"/>
    <w:rsid w:val="0099420D"/>
    <w:rsid w:val="009946ED"/>
    <w:rsid w:val="009965F3"/>
    <w:rsid w:val="00996753"/>
    <w:rsid w:val="00996FBD"/>
    <w:rsid w:val="009A07C4"/>
    <w:rsid w:val="009A1A67"/>
    <w:rsid w:val="009A2568"/>
    <w:rsid w:val="009A59C0"/>
    <w:rsid w:val="009A6D30"/>
    <w:rsid w:val="009A79D6"/>
    <w:rsid w:val="009B324B"/>
    <w:rsid w:val="009B4084"/>
    <w:rsid w:val="009B5F3E"/>
    <w:rsid w:val="009B6C0E"/>
    <w:rsid w:val="009B73D0"/>
    <w:rsid w:val="009C0C11"/>
    <w:rsid w:val="009C462D"/>
    <w:rsid w:val="009C4C1A"/>
    <w:rsid w:val="009C5871"/>
    <w:rsid w:val="009C70D0"/>
    <w:rsid w:val="009D2044"/>
    <w:rsid w:val="009D2E76"/>
    <w:rsid w:val="009D38FF"/>
    <w:rsid w:val="009D61D9"/>
    <w:rsid w:val="009D67BC"/>
    <w:rsid w:val="009E097A"/>
    <w:rsid w:val="009E0C54"/>
    <w:rsid w:val="009E2463"/>
    <w:rsid w:val="009E2E5E"/>
    <w:rsid w:val="009E310A"/>
    <w:rsid w:val="009E4EE0"/>
    <w:rsid w:val="009E61BE"/>
    <w:rsid w:val="009E7C40"/>
    <w:rsid w:val="009F0864"/>
    <w:rsid w:val="009F1A0E"/>
    <w:rsid w:val="009F2000"/>
    <w:rsid w:val="009F343D"/>
    <w:rsid w:val="009F44E7"/>
    <w:rsid w:val="009F4D29"/>
    <w:rsid w:val="009F5C93"/>
    <w:rsid w:val="009F76E1"/>
    <w:rsid w:val="00A00F0D"/>
    <w:rsid w:val="00A045AC"/>
    <w:rsid w:val="00A058DB"/>
    <w:rsid w:val="00A05B45"/>
    <w:rsid w:val="00A064D0"/>
    <w:rsid w:val="00A12833"/>
    <w:rsid w:val="00A16430"/>
    <w:rsid w:val="00A21621"/>
    <w:rsid w:val="00A24052"/>
    <w:rsid w:val="00A2477C"/>
    <w:rsid w:val="00A24BB9"/>
    <w:rsid w:val="00A250B2"/>
    <w:rsid w:val="00A266D7"/>
    <w:rsid w:val="00A26FC7"/>
    <w:rsid w:val="00A27AE9"/>
    <w:rsid w:val="00A3141F"/>
    <w:rsid w:val="00A32053"/>
    <w:rsid w:val="00A331BB"/>
    <w:rsid w:val="00A34720"/>
    <w:rsid w:val="00A35FFE"/>
    <w:rsid w:val="00A377B7"/>
    <w:rsid w:val="00A378C7"/>
    <w:rsid w:val="00A431F3"/>
    <w:rsid w:val="00A47CCC"/>
    <w:rsid w:val="00A50F29"/>
    <w:rsid w:val="00A51E69"/>
    <w:rsid w:val="00A53D2B"/>
    <w:rsid w:val="00A55FB0"/>
    <w:rsid w:val="00A57EE1"/>
    <w:rsid w:val="00A60B70"/>
    <w:rsid w:val="00A621CF"/>
    <w:rsid w:val="00A62E58"/>
    <w:rsid w:val="00A652A6"/>
    <w:rsid w:val="00A65309"/>
    <w:rsid w:val="00A67E9D"/>
    <w:rsid w:val="00A70457"/>
    <w:rsid w:val="00A706A7"/>
    <w:rsid w:val="00A73A74"/>
    <w:rsid w:val="00A74278"/>
    <w:rsid w:val="00A74524"/>
    <w:rsid w:val="00A83853"/>
    <w:rsid w:val="00A9134B"/>
    <w:rsid w:val="00A9647D"/>
    <w:rsid w:val="00A96B07"/>
    <w:rsid w:val="00A97B53"/>
    <w:rsid w:val="00AA160A"/>
    <w:rsid w:val="00AA1FC0"/>
    <w:rsid w:val="00AA7966"/>
    <w:rsid w:val="00AA7EEF"/>
    <w:rsid w:val="00AB115E"/>
    <w:rsid w:val="00AB5EBA"/>
    <w:rsid w:val="00AB6284"/>
    <w:rsid w:val="00AB6BC5"/>
    <w:rsid w:val="00AC047B"/>
    <w:rsid w:val="00AC0516"/>
    <w:rsid w:val="00AC167C"/>
    <w:rsid w:val="00AC3520"/>
    <w:rsid w:val="00AC6525"/>
    <w:rsid w:val="00AC6A6D"/>
    <w:rsid w:val="00AD0AFA"/>
    <w:rsid w:val="00AD0D4D"/>
    <w:rsid w:val="00AD11F4"/>
    <w:rsid w:val="00AD283B"/>
    <w:rsid w:val="00AD2DFD"/>
    <w:rsid w:val="00AD3302"/>
    <w:rsid w:val="00AD38D4"/>
    <w:rsid w:val="00AD46E3"/>
    <w:rsid w:val="00AE2A45"/>
    <w:rsid w:val="00AE2BF9"/>
    <w:rsid w:val="00AE42E2"/>
    <w:rsid w:val="00AE4DFA"/>
    <w:rsid w:val="00AE55FB"/>
    <w:rsid w:val="00AE565D"/>
    <w:rsid w:val="00AE6EE5"/>
    <w:rsid w:val="00AE7526"/>
    <w:rsid w:val="00AE758A"/>
    <w:rsid w:val="00AF005D"/>
    <w:rsid w:val="00AF1EA7"/>
    <w:rsid w:val="00AF2471"/>
    <w:rsid w:val="00AF2558"/>
    <w:rsid w:val="00AF4683"/>
    <w:rsid w:val="00B00175"/>
    <w:rsid w:val="00B00375"/>
    <w:rsid w:val="00B0334A"/>
    <w:rsid w:val="00B03F7E"/>
    <w:rsid w:val="00B0474F"/>
    <w:rsid w:val="00B04C15"/>
    <w:rsid w:val="00B07982"/>
    <w:rsid w:val="00B14624"/>
    <w:rsid w:val="00B150CC"/>
    <w:rsid w:val="00B15959"/>
    <w:rsid w:val="00B179AD"/>
    <w:rsid w:val="00B17F50"/>
    <w:rsid w:val="00B210EA"/>
    <w:rsid w:val="00B2176B"/>
    <w:rsid w:val="00B2343D"/>
    <w:rsid w:val="00B27019"/>
    <w:rsid w:val="00B27873"/>
    <w:rsid w:val="00B30004"/>
    <w:rsid w:val="00B33317"/>
    <w:rsid w:val="00B3460C"/>
    <w:rsid w:val="00B357B6"/>
    <w:rsid w:val="00B36319"/>
    <w:rsid w:val="00B369CD"/>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2FCC"/>
    <w:rsid w:val="00B74D68"/>
    <w:rsid w:val="00B769AE"/>
    <w:rsid w:val="00B773B5"/>
    <w:rsid w:val="00B776AD"/>
    <w:rsid w:val="00B80029"/>
    <w:rsid w:val="00B80FDE"/>
    <w:rsid w:val="00B82A17"/>
    <w:rsid w:val="00B838F6"/>
    <w:rsid w:val="00B83A91"/>
    <w:rsid w:val="00B84B89"/>
    <w:rsid w:val="00B903C2"/>
    <w:rsid w:val="00B94F5D"/>
    <w:rsid w:val="00B95E75"/>
    <w:rsid w:val="00B96D80"/>
    <w:rsid w:val="00B97574"/>
    <w:rsid w:val="00BA5286"/>
    <w:rsid w:val="00BA53ED"/>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30119"/>
    <w:rsid w:val="00C30752"/>
    <w:rsid w:val="00C30D5C"/>
    <w:rsid w:val="00C324AD"/>
    <w:rsid w:val="00C3489D"/>
    <w:rsid w:val="00C359A4"/>
    <w:rsid w:val="00C35BE3"/>
    <w:rsid w:val="00C36F28"/>
    <w:rsid w:val="00C376E4"/>
    <w:rsid w:val="00C424A1"/>
    <w:rsid w:val="00C436F7"/>
    <w:rsid w:val="00C4372C"/>
    <w:rsid w:val="00C44320"/>
    <w:rsid w:val="00C45D21"/>
    <w:rsid w:val="00C46115"/>
    <w:rsid w:val="00C4651E"/>
    <w:rsid w:val="00C47141"/>
    <w:rsid w:val="00C509A4"/>
    <w:rsid w:val="00C50FA0"/>
    <w:rsid w:val="00C55370"/>
    <w:rsid w:val="00C56554"/>
    <w:rsid w:val="00C60C46"/>
    <w:rsid w:val="00C6183A"/>
    <w:rsid w:val="00C6246C"/>
    <w:rsid w:val="00C629F0"/>
    <w:rsid w:val="00C6427B"/>
    <w:rsid w:val="00C649C2"/>
    <w:rsid w:val="00C65547"/>
    <w:rsid w:val="00C70434"/>
    <w:rsid w:val="00C72698"/>
    <w:rsid w:val="00C74069"/>
    <w:rsid w:val="00C7487B"/>
    <w:rsid w:val="00C767CF"/>
    <w:rsid w:val="00C76DDE"/>
    <w:rsid w:val="00C8103E"/>
    <w:rsid w:val="00C8191A"/>
    <w:rsid w:val="00C82227"/>
    <w:rsid w:val="00C8276E"/>
    <w:rsid w:val="00C85BF7"/>
    <w:rsid w:val="00C90203"/>
    <w:rsid w:val="00C91064"/>
    <w:rsid w:val="00C91248"/>
    <w:rsid w:val="00C919D2"/>
    <w:rsid w:val="00C946FA"/>
    <w:rsid w:val="00C94AA5"/>
    <w:rsid w:val="00CA0BC4"/>
    <w:rsid w:val="00CA339B"/>
    <w:rsid w:val="00CA39AE"/>
    <w:rsid w:val="00CA3D49"/>
    <w:rsid w:val="00CA40B5"/>
    <w:rsid w:val="00CA45CE"/>
    <w:rsid w:val="00CA5403"/>
    <w:rsid w:val="00CA5868"/>
    <w:rsid w:val="00CA5AA1"/>
    <w:rsid w:val="00CA5B15"/>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DCB"/>
    <w:rsid w:val="00D03E6A"/>
    <w:rsid w:val="00D05634"/>
    <w:rsid w:val="00D05E28"/>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6DB9"/>
    <w:rsid w:val="00D31089"/>
    <w:rsid w:val="00D3259B"/>
    <w:rsid w:val="00D342F3"/>
    <w:rsid w:val="00D40E3B"/>
    <w:rsid w:val="00D4201B"/>
    <w:rsid w:val="00D425BA"/>
    <w:rsid w:val="00D42EC7"/>
    <w:rsid w:val="00D43380"/>
    <w:rsid w:val="00D45420"/>
    <w:rsid w:val="00D4561D"/>
    <w:rsid w:val="00D46273"/>
    <w:rsid w:val="00D51A0B"/>
    <w:rsid w:val="00D528C4"/>
    <w:rsid w:val="00D5454C"/>
    <w:rsid w:val="00D57285"/>
    <w:rsid w:val="00D5745D"/>
    <w:rsid w:val="00D57568"/>
    <w:rsid w:val="00D63140"/>
    <w:rsid w:val="00D63F63"/>
    <w:rsid w:val="00D64199"/>
    <w:rsid w:val="00D6585E"/>
    <w:rsid w:val="00D73A1E"/>
    <w:rsid w:val="00D82643"/>
    <w:rsid w:val="00D826B0"/>
    <w:rsid w:val="00D8342F"/>
    <w:rsid w:val="00D84F5A"/>
    <w:rsid w:val="00D907B8"/>
    <w:rsid w:val="00D91DCE"/>
    <w:rsid w:val="00D9586A"/>
    <w:rsid w:val="00D959FE"/>
    <w:rsid w:val="00D96E34"/>
    <w:rsid w:val="00DA2789"/>
    <w:rsid w:val="00DA3892"/>
    <w:rsid w:val="00DA473D"/>
    <w:rsid w:val="00DB291A"/>
    <w:rsid w:val="00DC1DF1"/>
    <w:rsid w:val="00DC1EA1"/>
    <w:rsid w:val="00DC2AD3"/>
    <w:rsid w:val="00DC38A3"/>
    <w:rsid w:val="00DD0F2B"/>
    <w:rsid w:val="00DD20F1"/>
    <w:rsid w:val="00DD2F4D"/>
    <w:rsid w:val="00DD3259"/>
    <w:rsid w:val="00DD60D2"/>
    <w:rsid w:val="00DE0BBF"/>
    <w:rsid w:val="00DE0E46"/>
    <w:rsid w:val="00DE1604"/>
    <w:rsid w:val="00DE21D1"/>
    <w:rsid w:val="00DE2BA7"/>
    <w:rsid w:val="00DE3B37"/>
    <w:rsid w:val="00DE46AE"/>
    <w:rsid w:val="00DF0431"/>
    <w:rsid w:val="00DF4854"/>
    <w:rsid w:val="00DF5E15"/>
    <w:rsid w:val="00DF706F"/>
    <w:rsid w:val="00DF747E"/>
    <w:rsid w:val="00E021B8"/>
    <w:rsid w:val="00E028F2"/>
    <w:rsid w:val="00E03629"/>
    <w:rsid w:val="00E05405"/>
    <w:rsid w:val="00E1146A"/>
    <w:rsid w:val="00E13A75"/>
    <w:rsid w:val="00E13EF0"/>
    <w:rsid w:val="00E16B8F"/>
    <w:rsid w:val="00E2168A"/>
    <w:rsid w:val="00E23D0B"/>
    <w:rsid w:val="00E24014"/>
    <w:rsid w:val="00E274F6"/>
    <w:rsid w:val="00E27DC3"/>
    <w:rsid w:val="00E27F1B"/>
    <w:rsid w:val="00E301B8"/>
    <w:rsid w:val="00E31673"/>
    <w:rsid w:val="00E32147"/>
    <w:rsid w:val="00E325ED"/>
    <w:rsid w:val="00E344AB"/>
    <w:rsid w:val="00E34B6A"/>
    <w:rsid w:val="00E37122"/>
    <w:rsid w:val="00E412E1"/>
    <w:rsid w:val="00E417F0"/>
    <w:rsid w:val="00E42F55"/>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50B5"/>
    <w:rsid w:val="00E760E2"/>
    <w:rsid w:val="00E776BB"/>
    <w:rsid w:val="00E827FD"/>
    <w:rsid w:val="00E82BC7"/>
    <w:rsid w:val="00E83801"/>
    <w:rsid w:val="00E878D6"/>
    <w:rsid w:val="00E93783"/>
    <w:rsid w:val="00E94954"/>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81D"/>
    <w:rsid w:val="00EF25B2"/>
    <w:rsid w:val="00EF3013"/>
    <w:rsid w:val="00EF35AA"/>
    <w:rsid w:val="00EF3841"/>
    <w:rsid w:val="00F05DD5"/>
    <w:rsid w:val="00F063C9"/>
    <w:rsid w:val="00F1150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2628"/>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5D9E"/>
    <w:rsid w:val="00F67AD8"/>
    <w:rsid w:val="00F70A08"/>
    <w:rsid w:val="00F70A3A"/>
    <w:rsid w:val="00F71A29"/>
    <w:rsid w:val="00F7218D"/>
    <w:rsid w:val="00F7227E"/>
    <w:rsid w:val="00F77310"/>
    <w:rsid w:val="00F7794F"/>
    <w:rsid w:val="00F80C68"/>
    <w:rsid w:val="00F81141"/>
    <w:rsid w:val="00F81A7C"/>
    <w:rsid w:val="00F84263"/>
    <w:rsid w:val="00F86DA0"/>
    <w:rsid w:val="00F87DBE"/>
    <w:rsid w:val="00F9102F"/>
    <w:rsid w:val="00F9174A"/>
    <w:rsid w:val="00F91A74"/>
    <w:rsid w:val="00F945CB"/>
    <w:rsid w:val="00F94849"/>
    <w:rsid w:val="00F95EB1"/>
    <w:rsid w:val="00F96411"/>
    <w:rsid w:val="00FA1A29"/>
    <w:rsid w:val="00FA3A13"/>
    <w:rsid w:val="00FA40D0"/>
    <w:rsid w:val="00FA6D7B"/>
    <w:rsid w:val="00FA7582"/>
    <w:rsid w:val="00FB077F"/>
    <w:rsid w:val="00FB1799"/>
    <w:rsid w:val="00FB2425"/>
    <w:rsid w:val="00FB2D16"/>
    <w:rsid w:val="00FB6A1C"/>
    <w:rsid w:val="00FC1CD5"/>
    <w:rsid w:val="00FC208C"/>
    <w:rsid w:val="00FC2D34"/>
    <w:rsid w:val="00FC2D7E"/>
    <w:rsid w:val="00FC4B43"/>
    <w:rsid w:val="00FD070D"/>
    <w:rsid w:val="00FD0EF3"/>
    <w:rsid w:val="00FD0FBC"/>
    <w:rsid w:val="00FD1B7D"/>
    <w:rsid w:val="00FD29AD"/>
    <w:rsid w:val="00FD2D61"/>
    <w:rsid w:val="00FD3A94"/>
    <w:rsid w:val="00FD4403"/>
    <w:rsid w:val="00FD5A08"/>
    <w:rsid w:val="00FD7B03"/>
    <w:rsid w:val="00FD7EE3"/>
    <w:rsid w:val="00FE06B0"/>
    <w:rsid w:val="00FE1257"/>
    <w:rsid w:val="00FE3157"/>
    <w:rsid w:val="00FE3174"/>
    <w:rsid w:val="00FE3FBC"/>
    <w:rsid w:val="00FE52A3"/>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wealthmanag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wealthmanag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March 31</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231-44B3-BF12-AC0CF34476A8}"/>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Sheet1!$B$2:$B$3</c:f>
              <c:numCache>
                <c:formatCode>0.0</c:formatCode>
                <c:ptCount val="2"/>
                <c:pt idx="0">
                  <c:v>3.7</c:v>
                </c:pt>
                <c:pt idx="1">
                  <c:v>-4.5999999999999996</c:v>
                </c:pt>
              </c:numCache>
            </c:numRef>
          </c:val>
          <c:extLst>
            <c:ext xmlns:c16="http://schemas.microsoft.com/office/drawing/2014/chart" uri="{C3380CC4-5D6E-409C-BE32-E72D297353CC}">
              <c16:uniqueId val="{00000002-8231-44B3-BF12-AC0CF34476A8}"/>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31-44B3-BF12-AC0CF34476A8}"/>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Sheet1!$C$2:$C$3</c:f>
              <c:numCache>
                <c:formatCode>0.0</c:formatCode>
                <c:ptCount val="2"/>
                <c:pt idx="0" formatCode="General">
                  <c:v>0.8</c:v>
                </c:pt>
                <c:pt idx="1">
                  <c:v>-5.8</c:v>
                </c:pt>
              </c:numCache>
            </c:numRef>
          </c:val>
          <c:extLst>
            <c:ext xmlns:c16="http://schemas.microsoft.com/office/drawing/2014/chart" uri="{C3380CC4-5D6E-409C-BE32-E72D297353CC}">
              <c16:uniqueId val="{00000005-8231-44B3-BF12-AC0CF34476A8}"/>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31-44B3-BF12-AC0CF34476A8}"/>
                </c:ext>
              </c:extLst>
            </c:dLbl>
            <c:dLbl>
              <c:idx val="1"/>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Sheet1!$D$2:$D$3</c:f>
              <c:numCache>
                <c:formatCode>0.0</c:formatCode>
                <c:ptCount val="2"/>
                <c:pt idx="0" formatCode="#,##0.0">
                  <c:v>-2.2000000000000002</c:v>
                </c:pt>
                <c:pt idx="1">
                  <c:v>-6.9</c:v>
                </c:pt>
              </c:numCache>
            </c:numRef>
          </c:val>
          <c:extLst>
            <c:ext xmlns:c16="http://schemas.microsoft.com/office/drawing/2014/chart" uri="{C3380CC4-5D6E-409C-BE32-E72D297353CC}">
              <c16:uniqueId val="{00000008-8231-44B3-BF12-AC0CF34476A8}"/>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31-44B3-BF12-AC0CF34476A8}"/>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Sheet1!$E$2:$E$3</c:f>
              <c:numCache>
                <c:formatCode>0.0</c:formatCode>
                <c:ptCount val="2"/>
                <c:pt idx="0">
                  <c:v>-2.8</c:v>
                </c:pt>
                <c:pt idx="1">
                  <c:v>-5.9</c:v>
                </c:pt>
              </c:numCache>
            </c:numRef>
          </c:val>
          <c:extLst>
            <c:ext xmlns:c16="http://schemas.microsoft.com/office/drawing/2014/chart" uri="{C3380CC4-5D6E-409C-BE32-E72D297353CC}">
              <c16:uniqueId val="{0000000B-8231-44B3-BF12-AC0CF34476A8}"/>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31-44B3-BF12-AC0CF34476A8}"/>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Sheet1!$F$2:$F$3</c:f>
              <c:numCache>
                <c:formatCode>0.0</c:formatCode>
                <c:ptCount val="2"/>
                <c:pt idx="0">
                  <c:v>-3.2</c:v>
                </c:pt>
                <c:pt idx="1">
                  <c:v>-6.1</c:v>
                </c:pt>
              </c:numCache>
            </c:numRef>
          </c:val>
          <c:extLst>
            <c:ext xmlns:c16="http://schemas.microsoft.com/office/drawing/2014/chart" uri="{C3380CC4-5D6E-409C-BE32-E72D297353CC}">
              <c16:uniqueId val="{0000000E-8231-44B3-BF12-AC0CF34476A8}"/>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231-44B3-BF12-AC0CF34476A8}"/>
                </c:ext>
              </c:extLst>
            </c:dLbl>
            <c:dLbl>
              <c:idx val="1"/>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Sheet1!$G$2:$G$3</c:f>
              <c:numCache>
                <c:formatCode>0.0</c:formatCode>
                <c:ptCount val="2"/>
                <c:pt idx="0">
                  <c:v>-2.2999999999999998</c:v>
                </c:pt>
                <c:pt idx="1">
                  <c:v>-9.1999999999999993</c:v>
                </c:pt>
              </c:numCache>
            </c:numRef>
          </c:val>
          <c:extLst>
            <c:ext xmlns:c16="http://schemas.microsoft.com/office/drawing/2014/chart" uri="{C3380CC4-5D6E-409C-BE32-E72D297353CC}">
              <c16:uniqueId val="{00000011-8231-44B3-BF12-AC0CF34476A8}"/>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March 31,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72-44F7-9E5E-9909EE094D4A}"/>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Sheet1!$B$2:$B$3</c:f>
              <c:numCache>
                <c:formatCode>0.0</c:formatCode>
                <c:ptCount val="2"/>
                <c:pt idx="0">
                  <c:v>0.11999999999999988</c:v>
                </c:pt>
                <c:pt idx="1">
                  <c:v>-5.66</c:v>
                </c:pt>
              </c:numCache>
            </c:numRef>
          </c:val>
          <c:extLst>
            <c:ext xmlns:c16="http://schemas.microsoft.com/office/drawing/2014/chart" uri="{C3380CC4-5D6E-409C-BE32-E72D297353CC}">
              <c16:uniqueId val="{00000002-7172-44F7-9E5E-9909EE094D4A}"/>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2-44F7-9E5E-9909EE094D4A}"/>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Sheet1!$C$2:$C$3</c:f>
              <c:numCache>
                <c:formatCode>0.0</c:formatCode>
                <c:ptCount val="2"/>
                <c:pt idx="0">
                  <c:v>2.2000000000000002</c:v>
                </c:pt>
                <c:pt idx="1">
                  <c:v>-5.3</c:v>
                </c:pt>
              </c:numCache>
            </c:numRef>
          </c:val>
          <c:extLst>
            <c:ext xmlns:c16="http://schemas.microsoft.com/office/drawing/2014/chart" uri="{C3380CC4-5D6E-409C-BE32-E72D297353CC}">
              <c16:uniqueId val="{00000005-7172-44F7-9E5E-9909EE094D4A}"/>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72-44F7-9E5E-9909EE094D4A}"/>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Sheet1!$D$2:$D$3</c:f>
              <c:numCache>
                <c:formatCode>0.0</c:formatCode>
                <c:ptCount val="2"/>
                <c:pt idx="0">
                  <c:v>-3</c:v>
                </c:pt>
                <c:pt idx="1">
                  <c:v>-6.2</c:v>
                </c:pt>
              </c:numCache>
            </c:numRef>
          </c:val>
          <c:extLst>
            <c:ext xmlns:c16="http://schemas.microsoft.com/office/drawing/2014/chart" uri="{C3380CC4-5D6E-409C-BE32-E72D297353CC}">
              <c16:uniqueId val="{00000008-7172-44F7-9E5E-9909EE094D4A}"/>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72-44F7-9E5E-9909EE094D4A}"/>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Sheet1!$E$2:$E$3</c:f>
              <c:numCache>
                <c:formatCode>0.0</c:formatCode>
                <c:ptCount val="2"/>
                <c:pt idx="0">
                  <c:v>7</c:v>
                </c:pt>
                <c:pt idx="1">
                  <c:v>-5.3</c:v>
                </c:pt>
              </c:numCache>
            </c:numRef>
          </c:val>
          <c:extLst>
            <c:ext xmlns:c16="http://schemas.microsoft.com/office/drawing/2014/chart" uri="{C3380CC4-5D6E-409C-BE32-E72D297353CC}">
              <c16:uniqueId val="{0000000B-7172-44F7-9E5E-9909EE094D4A}"/>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172-44F7-9E5E-9909EE094D4A}"/>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Sheet1!$F$2:$F$3</c:f>
              <c:numCache>
                <c:formatCode>0.0</c:formatCode>
                <c:ptCount val="2"/>
                <c:pt idx="0">
                  <c:v>8.6</c:v>
                </c:pt>
                <c:pt idx="1">
                  <c:v>25.5</c:v>
                </c:pt>
              </c:numCache>
            </c:numRef>
          </c:val>
          <c:extLst>
            <c:ext xmlns:c16="http://schemas.microsoft.com/office/drawing/2014/chart" uri="{C3380CC4-5D6E-409C-BE32-E72D297353CC}">
              <c16:uniqueId val="{0000000E-7172-44F7-9E5E-9909EE094D4A}"/>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72-44F7-9E5E-9909EE094D4A}"/>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Mar-22</c:v>
                </c:pt>
                <c:pt idx="1">
                  <c:v>Year to Date</c:v>
                </c:pt>
              </c:strCache>
            </c:strRef>
          </c:cat>
          <c:val>
            <c:numRef>
              <c:f>Sheet1!$G$2:$G$3</c:f>
              <c:numCache>
                <c:formatCode>0.0</c:formatCode>
                <c:ptCount val="2"/>
                <c:pt idx="0">
                  <c:v>2.7</c:v>
                </c:pt>
                <c:pt idx="1">
                  <c:v>6.6</c:v>
                </c:pt>
              </c:numCache>
            </c:numRef>
          </c:val>
          <c:extLst>
            <c:ext xmlns:c16="http://schemas.microsoft.com/office/drawing/2014/chart" uri="{C3380CC4-5D6E-409C-BE32-E72D297353CC}">
              <c16:uniqueId val="{00000011-7172-44F7-9E5E-9909EE094D4A}"/>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1" ma:contentTypeDescription="Create a new document." ma:contentTypeScope="" ma:versionID="192d9a45ff029d484e5ed0a8a098b1e7">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e81792524a29150d1eacdc5c540b452c"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3.xml><?xml version="1.0" encoding="utf-8"?>
<ds:datastoreItem xmlns:ds="http://schemas.openxmlformats.org/officeDocument/2006/customXml" ds:itemID="{BDC6034A-BFD8-49CA-B900-FCC8A549A310}">
  <ds:schemaRefs>
    <ds:schemaRef ds:uri="http://schemas.openxmlformats.org/officeDocument/2006/bibliography"/>
  </ds:schemaRefs>
</ds:datastoreItem>
</file>

<file path=customXml/itemProps4.xml><?xml version="1.0" encoding="utf-8"?>
<ds:datastoreItem xmlns:ds="http://schemas.openxmlformats.org/officeDocument/2006/customXml" ds:itemID="{DA4BE9AC-0E0D-47B3-B9F9-DF73420F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2019-11-05T19:19:00Z</cp:lastPrinted>
  <dcterms:created xsi:type="dcterms:W3CDTF">2022-04-06T20:53:00Z</dcterms:created>
  <dcterms:modified xsi:type="dcterms:W3CDTF">2022-04-06T20:53:00Z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