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b/>
          <w:color w:val="0070C0"/>
          <w:sz w:val="20"/>
          <w:szCs w:val="20"/>
        </w:rPr>
        <w:id w:val="1609467124"/>
        <w:showingPlcHdr/>
        <w:picture/>
      </w:sdtPr>
      <w:sdtEndPr/>
      <w:sdtContent>
        <w:p w14:paraId="0CC3231F" w14:textId="47E849E2" w:rsidR="004B1C5E" w:rsidRDefault="007A1E85" w:rsidP="00996FBD">
          <w:pPr>
            <w:spacing w:after="0"/>
            <w:ind w:left="-720" w:right="-720"/>
            <w:rPr>
              <w:rFonts w:ascii="Arial" w:hAnsi="Arial" w:cs="Arial"/>
              <w:b/>
              <w:color w:val="0070C0"/>
              <w:sz w:val="20"/>
              <w:szCs w:val="20"/>
            </w:rPr>
          </w:pPr>
          <w:r>
            <w:rPr>
              <w:rFonts w:ascii="Arial" w:hAnsi="Arial" w:cs="Arial"/>
              <w:b/>
              <w:noProof/>
              <w:color w:val="0070C0"/>
              <w:sz w:val="20"/>
              <w:szCs w:val="20"/>
            </w:rPr>
            <w:drawing>
              <wp:anchor distT="0" distB="0" distL="114300" distR="114300" simplePos="0" relativeHeight="251667456" behindDoc="1" locked="1" layoutInCell="1" allowOverlap="1" wp14:anchorId="26CF89A4" wp14:editId="5A4C3752">
                <wp:simplePos x="0" y="0"/>
                <wp:positionH relativeFrom="page">
                  <wp:posOffset>5486400</wp:posOffset>
                </wp:positionH>
                <wp:positionV relativeFrom="page">
                  <wp:posOffset>640080</wp:posOffset>
                </wp:positionV>
                <wp:extent cx="1830071" cy="914400"/>
                <wp:effectExtent l="0" t="0" r="0" b="0"/>
                <wp:wrapTight wrapText="bothSides">
                  <wp:wrapPolygon edited="0">
                    <wp:start x="0" y="0"/>
                    <wp:lineTo x="0" y="21150"/>
                    <wp:lineTo x="21360" y="21150"/>
                    <wp:lineTo x="21360" y="0"/>
                    <wp:lineTo x="0" y="0"/>
                  </wp:wrapPolygon>
                </wp:wrapTight>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0071"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35272551" w14:textId="1121D204" w:rsidR="004B1C5E" w:rsidRDefault="004B1C5E" w:rsidP="00996FBD">
      <w:pPr>
        <w:spacing w:after="0"/>
        <w:ind w:left="-720" w:right="-720"/>
        <w:rPr>
          <w:rFonts w:ascii="Arial" w:hAnsi="Arial" w:cs="Arial"/>
          <w:b/>
          <w:color w:val="0070C0"/>
          <w:sz w:val="20"/>
          <w:szCs w:val="20"/>
        </w:rPr>
      </w:pPr>
    </w:p>
    <w:p w14:paraId="6EDD6CB0" w14:textId="14478B61" w:rsidR="004B1C5E" w:rsidRDefault="004B1C5E" w:rsidP="00996FBD">
      <w:pPr>
        <w:spacing w:after="0"/>
        <w:ind w:left="-720" w:right="-720"/>
        <w:rPr>
          <w:rFonts w:ascii="Arial" w:hAnsi="Arial" w:cs="Arial"/>
          <w:b/>
          <w:color w:val="0070C0"/>
          <w:sz w:val="20"/>
          <w:szCs w:val="20"/>
        </w:rPr>
      </w:pPr>
    </w:p>
    <w:p w14:paraId="3F9F7D45" w14:textId="09623574" w:rsidR="004B1C5E" w:rsidRDefault="004B1C5E" w:rsidP="00996FBD">
      <w:pPr>
        <w:spacing w:after="0"/>
        <w:ind w:left="-720" w:right="-720"/>
        <w:rPr>
          <w:rFonts w:ascii="Arial" w:hAnsi="Arial" w:cs="Arial"/>
          <w:b/>
          <w:color w:val="0070C0"/>
          <w:sz w:val="20"/>
          <w:szCs w:val="20"/>
        </w:rPr>
      </w:pPr>
    </w:p>
    <w:p w14:paraId="59F92E0E" w14:textId="00284864" w:rsidR="004B1C5E" w:rsidRDefault="004B1C5E" w:rsidP="00996FBD">
      <w:pPr>
        <w:spacing w:after="0"/>
        <w:ind w:left="-720" w:right="-720"/>
        <w:rPr>
          <w:rFonts w:ascii="Arial" w:hAnsi="Arial" w:cs="Arial"/>
          <w:b/>
          <w:color w:val="0070C0"/>
          <w:sz w:val="20"/>
          <w:szCs w:val="20"/>
        </w:rPr>
      </w:pPr>
    </w:p>
    <w:p w14:paraId="26EE1523" w14:textId="77777777" w:rsidR="004A3AEE" w:rsidRPr="00FB2425" w:rsidRDefault="004A3AEE" w:rsidP="004A3AEE">
      <w:pPr>
        <w:spacing w:after="0"/>
        <w:ind w:left="1440" w:right="-360"/>
        <w:rPr>
          <w:rFonts w:ascii="Arial" w:hAnsi="Arial" w:cs="Arial"/>
          <w:b/>
          <w:color w:val="037EBB"/>
          <w:szCs w:val="20"/>
        </w:rPr>
      </w:pPr>
      <w:r>
        <w:rPr>
          <w:noProof/>
        </w:rPr>
        <w:drawing>
          <wp:anchor distT="0" distB="0" distL="114300" distR="114300" simplePos="0" relativeHeight="251683840" behindDoc="0" locked="0" layoutInCell="1" allowOverlap="1" wp14:anchorId="4158C2F5" wp14:editId="24DA2F50">
            <wp:simplePos x="0" y="0"/>
            <wp:positionH relativeFrom="column">
              <wp:posOffset>933450</wp:posOffset>
            </wp:positionH>
            <wp:positionV relativeFrom="page">
              <wp:posOffset>2171700</wp:posOffset>
            </wp:positionV>
            <wp:extent cx="5181600" cy="2752725"/>
            <wp:effectExtent l="0" t="0" r="0" b="9525"/>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7D272C">
        <w:rPr>
          <w:rFonts w:ascii="Arial" w:hAnsi="Arial" w:cs="Arial"/>
          <w:b/>
          <w:noProof/>
          <w:color w:val="3B3838" w:themeColor="background2" w:themeShade="40"/>
          <w:sz w:val="21"/>
          <w:szCs w:val="20"/>
        </w:rPr>
        <w:drawing>
          <wp:anchor distT="0" distB="0" distL="114300" distR="114300" simplePos="0" relativeHeight="251682816" behindDoc="0" locked="0" layoutInCell="1" allowOverlap="1" wp14:anchorId="6A761DC7" wp14:editId="50614E4F">
            <wp:simplePos x="0" y="0"/>
            <wp:positionH relativeFrom="column">
              <wp:posOffset>-174625</wp:posOffset>
            </wp:positionH>
            <wp:positionV relativeFrom="paragraph">
              <wp:posOffset>68580</wp:posOffset>
            </wp:positionV>
            <wp:extent cx="558182" cy="658368"/>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58182" cy="658368"/>
                    </a:xfrm>
                    <a:prstGeom prst="rect">
                      <a:avLst/>
                    </a:prstGeom>
                  </pic:spPr>
                </pic:pic>
              </a:graphicData>
            </a:graphic>
            <wp14:sizeRelH relativeFrom="page">
              <wp14:pctWidth>0</wp14:pctWidth>
            </wp14:sizeRelH>
            <wp14:sizeRelV relativeFrom="page">
              <wp14:pctHeight>0</wp14:pctHeight>
            </wp14:sizeRelV>
          </wp:anchor>
        </w:drawing>
      </w:r>
      <w:r w:rsidRPr="007D272C">
        <w:rPr>
          <w:rFonts w:ascii="Arial" w:hAnsi="Arial" w:cs="Arial"/>
          <w:b/>
          <w:color w:val="037EBB"/>
          <w:sz w:val="24"/>
          <w:szCs w:val="20"/>
        </w:rPr>
        <w:t>Market Review</w:t>
      </w:r>
    </w:p>
    <w:p w14:paraId="16ADB117" w14:textId="77777777" w:rsidR="004A3AEE" w:rsidRPr="002815AB" w:rsidRDefault="004A3AEE" w:rsidP="004A3AEE">
      <w:pPr>
        <w:spacing w:after="0"/>
        <w:ind w:left="1440" w:right="-360"/>
        <w:rPr>
          <w:rFonts w:ascii="Arial" w:hAnsi="Arial" w:cs="Arial"/>
          <w:b/>
          <w:color w:val="3B3838" w:themeColor="background2" w:themeShade="40"/>
          <w:sz w:val="20"/>
          <w:szCs w:val="20"/>
        </w:rPr>
      </w:pPr>
      <w:r w:rsidRPr="003127F9">
        <w:rPr>
          <w:rFonts w:ascii="Arial" w:hAnsi="Arial" w:cs="Arial"/>
          <w:color w:val="767171" w:themeColor="background2" w:themeShade="80"/>
          <w:sz w:val="18"/>
          <w:szCs w:val="18"/>
        </w:rPr>
        <w:t>Source:  Zephyr Style Advisor</w:t>
      </w:r>
    </w:p>
    <w:p w14:paraId="206F7CE0" w14:textId="77777777" w:rsidR="004A3AEE" w:rsidRPr="00525FA1" w:rsidRDefault="004A3AEE" w:rsidP="004A3AEE">
      <w:pPr>
        <w:spacing w:after="0"/>
        <w:ind w:left="1440" w:right="-360"/>
        <w:rPr>
          <w:rFonts w:ascii="Arial" w:hAnsi="Arial" w:cs="Arial"/>
          <w:b/>
          <w:color w:val="3B3838" w:themeColor="background2" w:themeShade="40"/>
          <w:sz w:val="20"/>
          <w:szCs w:val="20"/>
        </w:rPr>
      </w:pPr>
    </w:p>
    <w:p w14:paraId="13EFF16C" w14:textId="2C8E000C" w:rsidR="00EC2AC8" w:rsidRDefault="00170A3E" w:rsidP="00EC2AC8">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Record high inflation, rising interest rates</w:t>
      </w:r>
      <w:r w:rsidR="00C33325">
        <w:rPr>
          <w:rFonts w:ascii="Arial" w:hAnsi="Arial" w:cs="Arial"/>
          <w:color w:val="3B3838" w:themeColor="background2" w:themeShade="40"/>
          <w:sz w:val="20"/>
          <w:szCs w:val="20"/>
        </w:rPr>
        <w:t>,</w:t>
      </w:r>
      <w:r>
        <w:rPr>
          <w:rFonts w:ascii="Arial" w:hAnsi="Arial" w:cs="Arial"/>
          <w:color w:val="3B3838" w:themeColor="background2" w:themeShade="40"/>
          <w:sz w:val="20"/>
          <w:szCs w:val="20"/>
        </w:rPr>
        <w:t xml:space="preserve"> and recession fears led equities lower</w:t>
      </w:r>
      <w:r w:rsidR="0062502E">
        <w:rPr>
          <w:rFonts w:ascii="Arial" w:hAnsi="Arial" w:cs="Arial"/>
          <w:color w:val="3B3838" w:themeColor="background2" w:themeShade="40"/>
          <w:sz w:val="20"/>
          <w:szCs w:val="20"/>
        </w:rPr>
        <w:t xml:space="preserve"> in </w:t>
      </w:r>
      <w:r w:rsidR="00C96816">
        <w:rPr>
          <w:rFonts w:ascii="Arial" w:hAnsi="Arial" w:cs="Arial"/>
          <w:color w:val="3B3838" w:themeColor="background2" w:themeShade="40"/>
          <w:sz w:val="20"/>
          <w:szCs w:val="20"/>
        </w:rPr>
        <w:t xml:space="preserve">June.  </w:t>
      </w:r>
      <w:r w:rsidR="002A235D">
        <w:rPr>
          <w:rFonts w:ascii="Arial" w:hAnsi="Arial" w:cs="Arial"/>
          <w:color w:val="3B3838" w:themeColor="background2" w:themeShade="40"/>
          <w:sz w:val="20"/>
          <w:szCs w:val="20"/>
        </w:rPr>
        <w:t>Emerging markets (-6.6%)</w:t>
      </w:r>
      <w:r w:rsidR="0061471B">
        <w:rPr>
          <w:rFonts w:ascii="Arial" w:hAnsi="Arial" w:cs="Arial"/>
          <w:color w:val="3B3838" w:themeColor="background2" w:themeShade="40"/>
          <w:sz w:val="20"/>
          <w:szCs w:val="20"/>
        </w:rPr>
        <w:t xml:space="preserve">, </w:t>
      </w:r>
      <w:r>
        <w:rPr>
          <w:rFonts w:ascii="Arial" w:hAnsi="Arial" w:cs="Arial"/>
          <w:color w:val="3B3838" w:themeColor="background2" w:themeShade="40"/>
          <w:sz w:val="20"/>
          <w:szCs w:val="20"/>
        </w:rPr>
        <w:t xml:space="preserve">outperformed </w:t>
      </w:r>
      <w:r w:rsidR="002A235D">
        <w:rPr>
          <w:rFonts w:ascii="Arial" w:hAnsi="Arial" w:cs="Arial"/>
          <w:color w:val="3B3838" w:themeColor="background2" w:themeShade="40"/>
          <w:sz w:val="20"/>
          <w:szCs w:val="20"/>
        </w:rPr>
        <w:t xml:space="preserve">both US (-8.3%) and international </w:t>
      </w:r>
      <w:r w:rsidR="0011194D">
        <w:rPr>
          <w:rFonts w:ascii="Arial" w:hAnsi="Arial" w:cs="Arial"/>
          <w:color w:val="3B3838" w:themeColor="background2" w:themeShade="40"/>
          <w:sz w:val="20"/>
          <w:szCs w:val="20"/>
        </w:rPr>
        <w:t>equities</w:t>
      </w:r>
      <w:r w:rsidR="002A235D">
        <w:rPr>
          <w:rFonts w:ascii="Arial" w:hAnsi="Arial" w:cs="Arial"/>
          <w:color w:val="3B3838" w:themeColor="background2" w:themeShade="40"/>
          <w:sz w:val="20"/>
          <w:szCs w:val="20"/>
        </w:rPr>
        <w:t xml:space="preserve"> (-9.3%)</w:t>
      </w:r>
      <w:r w:rsidR="001061F5">
        <w:rPr>
          <w:rFonts w:ascii="Arial" w:hAnsi="Arial" w:cs="Arial"/>
          <w:color w:val="3B3838" w:themeColor="background2" w:themeShade="40"/>
          <w:sz w:val="20"/>
          <w:szCs w:val="20"/>
        </w:rPr>
        <w:t xml:space="preserve"> during the month</w:t>
      </w:r>
      <w:r w:rsidR="001535ED">
        <w:rPr>
          <w:rFonts w:ascii="Arial" w:hAnsi="Arial" w:cs="Arial"/>
          <w:color w:val="3B3838" w:themeColor="background2" w:themeShade="40"/>
          <w:sz w:val="20"/>
          <w:szCs w:val="20"/>
        </w:rPr>
        <w:t xml:space="preserve">. </w:t>
      </w:r>
      <w:r w:rsidR="00B861C1">
        <w:rPr>
          <w:rFonts w:ascii="Arial" w:hAnsi="Arial" w:cs="Arial"/>
          <w:color w:val="3B3838" w:themeColor="background2" w:themeShade="40"/>
          <w:sz w:val="20"/>
          <w:szCs w:val="20"/>
        </w:rPr>
        <w:t xml:space="preserve">Within emerging markets, Chinese equities </w:t>
      </w:r>
      <w:r>
        <w:rPr>
          <w:rFonts w:ascii="Arial" w:hAnsi="Arial" w:cs="Arial"/>
          <w:color w:val="3B3838" w:themeColor="background2" w:themeShade="40"/>
          <w:sz w:val="20"/>
          <w:szCs w:val="20"/>
        </w:rPr>
        <w:t>gained</w:t>
      </w:r>
      <w:r w:rsidR="00B861C1">
        <w:rPr>
          <w:rFonts w:ascii="Arial" w:hAnsi="Arial" w:cs="Arial"/>
          <w:color w:val="3B3838" w:themeColor="background2" w:themeShade="40"/>
          <w:sz w:val="20"/>
          <w:szCs w:val="20"/>
        </w:rPr>
        <w:t xml:space="preserve"> 6.6%</w:t>
      </w:r>
      <w:r w:rsidR="008F4A95">
        <w:rPr>
          <w:rFonts w:ascii="Arial" w:hAnsi="Arial" w:cs="Arial"/>
          <w:color w:val="3B3838" w:themeColor="background2" w:themeShade="40"/>
          <w:sz w:val="20"/>
          <w:szCs w:val="20"/>
        </w:rPr>
        <w:t xml:space="preserve"> as </w:t>
      </w:r>
      <w:r>
        <w:rPr>
          <w:rFonts w:ascii="Arial" w:hAnsi="Arial" w:cs="Arial"/>
          <w:color w:val="3B3838" w:themeColor="background2" w:themeShade="40"/>
          <w:sz w:val="20"/>
          <w:szCs w:val="20"/>
        </w:rPr>
        <w:t>COVID</w:t>
      </w:r>
      <w:r w:rsidRPr="009628C0">
        <w:rPr>
          <w:rFonts w:ascii="Arial" w:hAnsi="Arial" w:cs="Arial"/>
          <w:color w:val="3B3838" w:themeColor="background2" w:themeShade="40"/>
          <w:sz w:val="20"/>
          <w:szCs w:val="20"/>
        </w:rPr>
        <w:t xml:space="preserve"> </w:t>
      </w:r>
      <w:r>
        <w:rPr>
          <w:rFonts w:ascii="Arial" w:hAnsi="Arial" w:cs="Arial"/>
          <w:color w:val="3B3838" w:themeColor="background2" w:themeShade="40"/>
          <w:sz w:val="20"/>
          <w:szCs w:val="20"/>
        </w:rPr>
        <w:t>restrictions</w:t>
      </w:r>
      <w:r w:rsidR="009628C0">
        <w:rPr>
          <w:rFonts w:ascii="Arial" w:hAnsi="Arial" w:cs="Arial"/>
          <w:color w:val="3B3838" w:themeColor="background2" w:themeShade="40"/>
          <w:sz w:val="20"/>
          <w:szCs w:val="20"/>
        </w:rPr>
        <w:t xml:space="preserve"> were gradually eased</w:t>
      </w:r>
      <w:r w:rsidR="00D0100C">
        <w:rPr>
          <w:rFonts w:ascii="Arial" w:hAnsi="Arial" w:cs="Arial"/>
          <w:color w:val="3B3838" w:themeColor="background2" w:themeShade="40"/>
          <w:sz w:val="20"/>
          <w:szCs w:val="20"/>
        </w:rPr>
        <w:t>.</w:t>
      </w:r>
      <w:r w:rsidR="009628C0">
        <w:rPr>
          <w:rStyle w:val="EndnoteReference"/>
          <w:rFonts w:ascii="Arial" w:hAnsi="Arial" w:cs="Arial"/>
          <w:color w:val="3B3838" w:themeColor="background2" w:themeShade="40"/>
          <w:sz w:val="20"/>
          <w:szCs w:val="20"/>
        </w:rPr>
        <w:endnoteReference w:id="1"/>
      </w:r>
      <w:r w:rsidR="008F4A95">
        <w:rPr>
          <w:rFonts w:ascii="Arial" w:hAnsi="Arial" w:cs="Arial"/>
          <w:color w:val="3B3838" w:themeColor="background2" w:themeShade="40"/>
          <w:sz w:val="20"/>
          <w:szCs w:val="20"/>
        </w:rPr>
        <w:t xml:space="preserve"> </w:t>
      </w:r>
      <w:r>
        <w:rPr>
          <w:rFonts w:ascii="Arial" w:hAnsi="Arial" w:cs="Arial"/>
          <w:color w:val="3B3838" w:themeColor="background2" w:themeShade="40"/>
          <w:sz w:val="20"/>
          <w:szCs w:val="20"/>
        </w:rPr>
        <w:t>US equities</w:t>
      </w:r>
      <w:r w:rsidR="0062502E">
        <w:rPr>
          <w:rFonts w:ascii="Arial" w:hAnsi="Arial" w:cs="Arial"/>
          <w:color w:val="3B3838" w:themeColor="background2" w:themeShade="40"/>
          <w:sz w:val="20"/>
          <w:szCs w:val="20"/>
        </w:rPr>
        <w:t xml:space="preserve"> </w:t>
      </w:r>
      <w:r w:rsidR="00E312DA">
        <w:rPr>
          <w:rFonts w:ascii="Arial" w:hAnsi="Arial" w:cs="Arial"/>
          <w:color w:val="3B3838" w:themeColor="background2" w:themeShade="40"/>
          <w:sz w:val="20"/>
          <w:szCs w:val="20"/>
        </w:rPr>
        <w:t>officially entered a bear market in June</w:t>
      </w:r>
      <w:r>
        <w:rPr>
          <w:rFonts w:ascii="Arial" w:hAnsi="Arial" w:cs="Arial"/>
          <w:color w:val="3B3838" w:themeColor="background2" w:themeShade="40"/>
          <w:sz w:val="20"/>
          <w:szCs w:val="20"/>
        </w:rPr>
        <w:t xml:space="preserve"> as </w:t>
      </w:r>
      <w:r w:rsidR="00D0100C">
        <w:rPr>
          <w:rFonts w:ascii="Arial" w:hAnsi="Arial" w:cs="Arial"/>
          <w:color w:val="3B3838" w:themeColor="background2" w:themeShade="40"/>
          <w:sz w:val="20"/>
          <w:szCs w:val="20"/>
        </w:rPr>
        <w:t xml:space="preserve">the market </w:t>
      </w:r>
      <w:r>
        <w:rPr>
          <w:rFonts w:ascii="Arial" w:hAnsi="Arial" w:cs="Arial"/>
          <w:color w:val="3B3838" w:themeColor="background2" w:themeShade="40"/>
          <w:sz w:val="20"/>
          <w:szCs w:val="20"/>
        </w:rPr>
        <w:t xml:space="preserve">fell 20% from its </w:t>
      </w:r>
      <w:r w:rsidR="00053DFF">
        <w:rPr>
          <w:rFonts w:ascii="Arial" w:hAnsi="Arial" w:cs="Arial"/>
          <w:color w:val="3B3838" w:themeColor="background2" w:themeShade="40"/>
          <w:sz w:val="20"/>
          <w:szCs w:val="20"/>
        </w:rPr>
        <w:t>January 2022 peak</w:t>
      </w:r>
      <w:r w:rsidR="00D0100C">
        <w:rPr>
          <w:rFonts w:ascii="Arial" w:hAnsi="Arial" w:cs="Arial"/>
          <w:color w:val="3B3838" w:themeColor="background2" w:themeShade="40"/>
          <w:sz w:val="20"/>
          <w:szCs w:val="20"/>
        </w:rPr>
        <w:t>.</w:t>
      </w:r>
      <w:r w:rsidR="00E0729B">
        <w:rPr>
          <w:rStyle w:val="EndnoteReference"/>
          <w:rFonts w:ascii="Arial" w:hAnsi="Arial" w:cs="Arial"/>
          <w:color w:val="3B3838" w:themeColor="background2" w:themeShade="40"/>
          <w:sz w:val="20"/>
          <w:szCs w:val="20"/>
        </w:rPr>
        <w:endnoteReference w:id="2"/>
      </w:r>
      <w:r w:rsidR="00E312DA">
        <w:rPr>
          <w:rFonts w:ascii="Arial" w:hAnsi="Arial" w:cs="Arial"/>
          <w:color w:val="3B3838" w:themeColor="background2" w:themeShade="40"/>
          <w:sz w:val="20"/>
          <w:szCs w:val="20"/>
        </w:rPr>
        <w:t xml:space="preserve"> </w:t>
      </w:r>
      <w:r w:rsidR="00053DFF">
        <w:rPr>
          <w:rFonts w:ascii="Arial" w:hAnsi="Arial" w:cs="Arial"/>
          <w:color w:val="3B3838" w:themeColor="background2" w:themeShade="40"/>
          <w:sz w:val="20"/>
          <w:szCs w:val="20"/>
        </w:rPr>
        <w:t>While 2022 has been challenging</w:t>
      </w:r>
      <w:r w:rsidR="001535ED">
        <w:rPr>
          <w:rFonts w:ascii="Arial" w:hAnsi="Arial" w:cs="Arial"/>
          <w:color w:val="3B3838" w:themeColor="background2" w:themeShade="40"/>
          <w:sz w:val="20"/>
          <w:szCs w:val="20"/>
        </w:rPr>
        <w:t>,</w:t>
      </w:r>
      <w:r w:rsidR="00E312DA">
        <w:rPr>
          <w:rFonts w:ascii="Arial" w:hAnsi="Arial" w:cs="Arial"/>
          <w:color w:val="3B3838" w:themeColor="background2" w:themeShade="40"/>
          <w:sz w:val="20"/>
          <w:szCs w:val="20"/>
        </w:rPr>
        <w:t xml:space="preserve"> </w:t>
      </w:r>
      <w:r w:rsidR="003B3C6E">
        <w:rPr>
          <w:rFonts w:ascii="Arial" w:hAnsi="Arial" w:cs="Arial"/>
          <w:color w:val="3B3838" w:themeColor="background2" w:themeShade="40"/>
          <w:sz w:val="20"/>
          <w:szCs w:val="20"/>
        </w:rPr>
        <w:t>US</w:t>
      </w:r>
      <w:r w:rsidR="00E312DA">
        <w:rPr>
          <w:rFonts w:ascii="Arial" w:hAnsi="Arial" w:cs="Arial"/>
          <w:color w:val="3B3838" w:themeColor="background2" w:themeShade="40"/>
          <w:sz w:val="20"/>
          <w:szCs w:val="20"/>
        </w:rPr>
        <w:t xml:space="preserve"> dividend stocks have </w:t>
      </w:r>
      <w:r w:rsidR="00053DFF">
        <w:rPr>
          <w:rFonts w:ascii="Arial" w:hAnsi="Arial" w:cs="Arial"/>
          <w:color w:val="3B3838" w:themeColor="background2" w:themeShade="40"/>
          <w:sz w:val="20"/>
          <w:szCs w:val="20"/>
        </w:rPr>
        <w:t>suffered the least</w:t>
      </w:r>
      <w:r w:rsidR="009277B5">
        <w:rPr>
          <w:rFonts w:ascii="Arial" w:hAnsi="Arial" w:cs="Arial"/>
          <w:color w:val="3B3838" w:themeColor="background2" w:themeShade="40"/>
          <w:sz w:val="20"/>
          <w:szCs w:val="20"/>
        </w:rPr>
        <w:t>, down 6.7%</w:t>
      </w:r>
      <w:r w:rsidR="00E312DA">
        <w:rPr>
          <w:rFonts w:ascii="Arial" w:hAnsi="Arial" w:cs="Arial"/>
          <w:color w:val="3B3838" w:themeColor="background2" w:themeShade="40"/>
          <w:sz w:val="20"/>
          <w:szCs w:val="20"/>
        </w:rPr>
        <w:t xml:space="preserve"> year</w:t>
      </w:r>
      <w:r w:rsidR="00D0100C">
        <w:rPr>
          <w:rFonts w:ascii="Arial" w:hAnsi="Arial" w:cs="Arial"/>
          <w:color w:val="3B3838" w:themeColor="background2" w:themeShade="40"/>
          <w:sz w:val="20"/>
          <w:szCs w:val="20"/>
        </w:rPr>
        <w:t>-</w:t>
      </w:r>
      <w:r w:rsidR="00E312DA">
        <w:rPr>
          <w:rFonts w:ascii="Arial" w:hAnsi="Arial" w:cs="Arial"/>
          <w:color w:val="3B3838" w:themeColor="background2" w:themeShade="40"/>
          <w:sz w:val="20"/>
          <w:szCs w:val="20"/>
        </w:rPr>
        <w:t>to</w:t>
      </w:r>
      <w:r w:rsidR="00D0100C">
        <w:rPr>
          <w:rFonts w:ascii="Arial" w:hAnsi="Arial" w:cs="Arial"/>
          <w:color w:val="3B3838" w:themeColor="background2" w:themeShade="40"/>
          <w:sz w:val="20"/>
          <w:szCs w:val="20"/>
        </w:rPr>
        <w:t>-</w:t>
      </w:r>
      <w:r w:rsidR="00E312DA">
        <w:rPr>
          <w:rFonts w:ascii="Arial" w:hAnsi="Arial" w:cs="Arial"/>
          <w:color w:val="3B3838" w:themeColor="background2" w:themeShade="40"/>
          <w:sz w:val="20"/>
          <w:szCs w:val="20"/>
        </w:rPr>
        <w:t>date</w:t>
      </w:r>
      <w:r w:rsidR="00053DFF">
        <w:rPr>
          <w:rFonts w:ascii="Arial" w:hAnsi="Arial" w:cs="Arial"/>
          <w:color w:val="3B3838" w:themeColor="background2" w:themeShade="40"/>
          <w:sz w:val="20"/>
          <w:szCs w:val="20"/>
        </w:rPr>
        <w:t xml:space="preserve"> as investors have leaned into higher</w:t>
      </w:r>
      <w:r w:rsidR="00FC5430">
        <w:rPr>
          <w:rFonts w:ascii="Arial" w:hAnsi="Arial" w:cs="Arial"/>
          <w:color w:val="3B3838" w:themeColor="background2" w:themeShade="40"/>
          <w:sz w:val="20"/>
          <w:szCs w:val="20"/>
        </w:rPr>
        <w:t>-</w:t>
      </w:r>
      <w:r w:rsidR="00053DFF">
        <w:rPr>
          <w:rFonts w:ascii="Arial" w:hAnsi="Arial" w:cs="Arial"/>
          <w:color w:val="3B3838" w:themeColor="background2" w:themeShade="40"/>
          <w:sz w:val="20"/>
          <w:szCs w:val="20"/>
        </w:rPr>
        <w:t>quality names amid the uncertainty</w:t>
      </w:r>
      <w:r w:rsidR="00E312DA">
        <w:rPr>
          <w:rFonts w:ascii="Arial" w:hAnsi="Arial" w:cs="Arial"/>
          <w:color w:val="3B3838" w:themeColor="background2" w:themeShade="40"/>
          <w:sz w:val="20"/>
          <w:szCs w:val="20"/>
        </w:rPr>
        <w:t xml:space="preserve">. </w:t>
      </w:r>
      <w:r w:rsidR="001535ED">
        <w:rPr>
          <w:rFonts w:ascii="Arial" w:hAnsi="Arial" w:cs="Arial"/>
          <w:color w:val="3B3838" w:themeColor="background2" w:themeShade="40"/>
          <w:sz w:val="20"/>
          <w:szCs w:val="20"/>
        </w:rPr>
        <w:t xml:space="preserve"> </w:t>
      </w:r>
    </w:p>
    <w:p w14:paraId="13D5F95B" w14:textId="77777777" w:rsidR="00F876C4" w:rsidRPr="00E55DE2" w:rsidRDefault="00F876C4" w:rsidP="00EC2AC8">
      <w:pPr>
        <w:spacing w:after="0"/>
        <w:ind w:left="1440" w:right="-360"/>
        <w:rPr>
          <w:rFonts w:ascii="Arial" w:hAnsi="Arial" w:cs="Arial"/>
          <w:color w:val="3B3838" w:themeColor="background2" w:themeShade="40"/>
          <w:sz w:val="20"/>
          <w:szCs w:val="20"/>
        </w:rPr>
      </w:pPr>
    </w:p>
    <w:p w14:paraId="3A95E4DE" w14:textId="1FEC0545" w:rsidR="006D1378" w:rsidRDefault="004A3AEE" w:rsidP="006D1378">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Within the S&amp;P 500</w:t>
      </w:r>
      <w:r w:rsidR="00EC2AC8">
        <w:rPr>
          <w:rFonts w:ascii="Arial" w:hAnsi="Arial" w:cs="Arial"/>
          <w:color w:val="3B3838" w:themeColor="background2" w:themeShade="40"/>
          <w:sz w:val="20"/>
          <w:szCs w:val="20"/>
        </w:rPr>
        <w:t>,</w:t>
      </w:r>
      <w:r w:rsidR="00FE2680">
        <w:rPr>
          <w:rFonts w:ascii="Arial" w:hAnsi="Arial" w:cs="Arial"/>
          <w:color w:val="3B3838" w:themeColor="background2" w:themeShade="40"/>
          <w:sz w:val="20"/>
          <w:szCs w:val="20"/>
        </w:rPr>
        <w:t xml:space="preserve"> </w:t>
      </w:r>
      <w:r w:rsidR="00B0228B">
        <w:rPr>
          <w:rFonts w:ascii="Arial" w:hAnsi="Arial" w:cs="Arial"/>
          <w:color w:val="3B3838" w:themeColor="background2" w:themeShade="40"/>
          <w:sz w:val="20"/>
          <w:szCs w:val="20"/>
        </w:rPr>
        <w:t>all sectors were down in June.</w:t>
      </w:r>
      <w:r w:rsidR="00FE2680">
        <w:rPr>
          <w:rFonts w:ascii="Arial" w:hAnsi="Arial" w:cs="Arial"/>
          <w:color w:val="3B3838" w:themeColor="background2" w:themeShade="40"/>
          <w:sz w:val="20"/>
          <w:szCs w:val="20"/>
        </w:rPr>
        <w:t xml:space="preserve"> </w:t>
      </w:r>
      <w:r w:rsidR="00170A3E">
        <w:rPr>
          <w:rFonts w:ascii="Arial" w:hAnsi="Arial" w:cs="Arial"/>
          <w:color w:val="3B3838" w:themeColor="background2" w:themeShade="40"/>
          <w:sz w:val="20"/>
          <w:szCs w:val="20"/>
        </w:rPr>
        <w:t xml:space="preserve">Defensive sectors like </w:t>
      </w:r>
      <w:r w:rsidR="00B0228B">
        <w:rPr>
          <w:rFonts w:ascii="Arial" w:hAnsi="Arial" w:cs="Arial"/>
          <w:color w:val="3B3838" w:themeColor="background2" w:themeShade="40"/>
          <w:sz w:val="20"/>
          <w:szCs w:val="20"/>
        </w:rPr>
        <w:t xml:space="preserve">Consumer </w:t>
      </w:r>
      <w:r w:rsidR="001054EB">
        <w:rPr>
          <w:rFonts w:ascii="Arial" w:hAnsi="Arial" w:cs="Arial"/>
          <w:color w:val="3B3838" w:themeColor="background2" w:themeShade="40"/>
          <w:sz w:val="20"/>
          <w:szCs w:val="20"/>
        </w:rPr>
        <w:t>S</w:t>
      </w:r>
      <w:r w:rsidR="00B0228B">
        <w:rPr>
          <w:rFonts w:ascii="Arial" w:hAnsi="Arial" w:cs="Arial"/>
          <w:color w:val="3B3838" w:themeColor="background2" w:themeShade="40"/>
          <w:sz w:val="20"/>
          <w:szCs w:val="20"/>
        </w:rPr>
        <w:t xml:space="preserve">taples </w:t>
      </w:r>
      <w:r w:rsidR="001054EB">
        <w:rPr>
          <w:rFonts w:ascii="Arial" w:hAnsi="Arial" w:cs="Arial"/>
          <w:color w:val="3B3838" w:themeColor="background2" w:themeShade="40"/>
          <w:sz w:val="20"/>
          <w:szCs w:val="20"/>
        </w:rPr>
        <w:t>struggled the least</w:t>
      </w:r>
      <w:r w:rsidR="00C96816">
        <w:rPr>
          <w:rFonts w:ascii="Arial" w:hAnsi="Arial" w:cs="Arial"/>
          <w:color w:val="3B3838" w:themeColor="background2" w:themeShade="40"/>
          <w:sz w:val="20"/>
          <w:szCs w:val="20"/>
        </w:rPr>
        <w:t>, down 2.5%</w:t>
      </w:r>
      <w:r w:rsidR="0061471B">
        <w:rPr>
          <w:rFonts w:ascii="Arial" w:hAnsi="Arial" w:cs="Arial"/>
          <w:color w:val="3B3838" w:themeColor="background2" w:themeShade="40"/>
          <w:sz w:val="20"/>
          <w:szCs w:val="20"/>
        </w:rPr>
        <w:t>.</w:t>
      </w:r>
      <w:r w:rsidR="00527A5A">
        <w:rPr>
          <w:rFonts w:ascii="Arial" w:hAnsi="Arial" w:cs="Arial"/>
          <w:color w:val="3B3838" w:themeColor="background2" w:themeShade="40"/>
          <w:sz w:val="20"/>
          <w:szCs w:val="20"/>
        </w:rPr>
        <w:t xml:space="preserve"> </w:t>
      </w:r>
      <w:r w:rsidR="001054EB">
        <w:rPr>
          <w:rFonts w:ascii="Arial" w:hAnsi="Arial" w:cs="Arial"/>
          <w:color w:val="3B3838" w:themeColor="background2" w:themeShade="40"/>
          <w:sz w:val="20"/>
          <w:szCs w:val="20"/>
        </w:rPr>
        <w:t xml:space="preserve">Recession worries hurt the energy sector in June, which fell 16.8% but remains the best performer for the year. </w:t>
      </w:r>
      <w:r w:rsidRPr="00E55DE2">
        <w:rPr>
          <w:rFonts w:ascii="Arial" w:hAnsi="Arial" w:cs="Arial"/>
          <w:color w:val="3B3838" w:themeColor="background2" w:themeShade="40"/>
          <w:sz w:val="20"/>
          <w:szCs w:val="20"/>
        </w:rPr>
        <w:t>Reviewing equity styles</w:t>
      </w:r>
      <w:r w:rsidRPr="003D50A1">
        <w:rPr>
          <w:rFonts w:ascii="Arial" w:hAnsi="Arial" w:cs="Arial"/>
          <w:color w:val="3B3838" w:themeColor="background2" w:themeShade="40"/>
          <w:sz w:val="20"/>
          <w:szCs w:val="20"/>
        </w:rPr>
        <w:t xml:space="preserve">, </w:t>
      </w:r>
      <w:r w:rsidR="00B0228B">
        <w:rPr>
          <w:rFonts w:ascii="Arial" w:hAnsi="Arial" w:cs="Arial"/>
          <w:color w:val="3B3838" w:themeColor="background2" w:themeShade="40"/>
          <w:sz w:val="20"/>
          <w:szCs w:val="20"/>
        </w:rPr>
        <w:t>growth</w:t>
      </w:r>
      <w:r w:rsidR="00FE2680">
        <w:rPr>
          <w:rFonts w:ascii="Arial" w:hAnsi="Arial" w:cs="Arial"/>
          <w:color w:val="3B3838" w:themeColor="background2" w:themeShade="40"/>
          <w:sz w:val="20"/>
          <w:szCs w:val="20"/>
        </w:rPr>
        <w:t xml:space="preserve"> stocks</w:t>
      </w:r>
      <w:r w:rsidR="00A47A20">
        <w:rPr>
          <w:rFonts w:ascii="Arial" w:hAnsi="Arial" w:cs="Arial"/>
          <w:color w:val="3B3838" w:themeColor="background2" w:themeShade="40"/>
          <w:sz w:val="20"/>
          <w:szCs w:val="20"/>
        </w:rPr>
        <w:t xml:space="preserve"> </w:t>
      </w:r>
      <w:r w:rsidR="00B0228B">
        <w:rPr>
          <w:rFonts w:ascii="Arial" w:hAnsi="Arial" w:cs="Arial"/>
          <w:color w:val="3B3838" w:themeColor="background2" w:themeShade="40"/>
          <w:sz w:val="20"/>
          <w:szCs w:val="20"/>
        </w:rPr>
        <w:t>slightly outperformed value stock</w:t>
      </w:r>
      <w:r w:rsidR="002E2D0E">
        <w:rPr>
          <w:rFonts w:ascii="Arial" w:hAnsi="Arial" w:cs="Arial"/>
          <w:color w:val="3B3838" w:themeColor="background2" w:themeShade="40"/>
          <w:sz w:val="20"/>
          <w:szCs w:val="20"/>
        </w:rPr>
        <w:t>s</w:t>
      </w:r>
      <w:r w:rsidR="00B0228B">
        <w:rPr>
          <w:rFonts w:ascii="Arial" w:hAnsi="Arial" w:cs="Arial"/>
          <w:color w:val="3B3838" w:themeColor="background2" w:themeShade="40"/>
          <w:sz w:val="20"/>
          <w:szCs w:val="20"/>
        </w:rPr>
        <w:t xml:space="preserve"> this month.</w:t>
      </w:r>
      <w:r w:rsidR="00391512">
        <w:rPr>
          <w:rFonts w:ascii="Arial" w:hAnsi="Arial" w:cs="Arial"/>
          <w:color w:val="3B3838" w:themeColor="background2" w:themeShade="40"/>
          <w:sz w:val="20"/>
          <w:szCs w:val="20"/>
        </w:rPr>
        <w:t xml:space="preserve"> </w:t>
      </w:r>
      <w:r w:rsidR="0078608E">
        <w:rPr>
          <w:rFonts w:ascii="Arial" w:hAnsi="Arial" w:cs="Arial"/>
          <w:color w:val="3B3838" w:themeColor="background2" w:themeShade="40"/>
          <w:sz w:val="20"/>
          <w:szCs w:val="20"/>
        </w:rPr>
        <w:t xml:space="preserve">However, </w:t>
      </w:r>
      <w:r w:rsidR="002E2D0E">
        <w:rPr>
          <w:rFonts w:ascii="Arial" w:hAnsi="Arial" w:cs="Arial"/>
          <w:color w:val="3B3838" w:themeColor="background2" w:themeShade="40"/>
          <w:sz w:val="20"/>
          <w:szCs w:val="20"/>
        </w:rPr>
        <w:t>year-to-date</w:t>
      </w:r>
      <w:r w:rsidR="0078608E">
        <w:rPr>
          <w:rFonts w:ascii="Arial" w:hAnsi="Arial" w:cs="Arial"/>
          <w:color w:val="3B3838" w:themeColor="background2" w:themeShade="40"/>
          <w:sz w:val="20"/>
          <w:szCs w:val="20"/>
        </w:rPr>
        <w:t xml:space="preserve"> v</w:t>
      </w:r>
      <w:r w:rsidR="008F4A95">
        <w:rPr>
          <w:rFonts w:ascii="Arial" w:hAnsi="Arial" w:cs="Arial"/>
          <w:color w:val="3B3838" w:themeColor="background2" w:themeShade="40"/>
          <w:sz w:val="20"/>
          <w:szCs w:val="20"/>
        </w:rPr>
        <w:t>alue stocks have</w:t>
      </w:r>
      <w:r w:rsidR="00E0729B">
        <w:rPr>
          <w:rFonts w:ascii="Arial" w:hAnsi="Arial" w:cs="Arial"/>
          <w:color w:val="3B3838" w:themeColor="background2" w:themeShade="40"/>
          <w:sz w:val="20"/>
          <w:szCs w:val="20"/>
        </w:rPr>
        <w:t xml:space="preserve"> </w:t>
      </w:r>
      <w:r w:rsidR="008F4A95">
        <w:rPr>
          <w:rFonts w:ascii="Arial" w:hAnsi="Arial" w:cs="Arial"/>
          <w:color w:val="3B3838" w:themeColor="background2" w:themeShade="40"/>
          <w:sz w:val="20"/>
          <w:szCs w:val="20"/>
        </w:rPr>
        <w:t>outp</w:t>
      </w:r>
      <w:r w:rsidR="005D4C65">
        <w:rPr>
          <w:rFonts w:ascii="Arial" w:hAnsi="Arial" w:cs="Arial"/>
          <w:color w:val="3B3838" w:themeColor="background2" w:themeShade="40"/>
          <w:sz w:val="20"/>
          <w:szCs w:val="20"/>
        </w:rPr>
        <w:t>aced</w:t>
      </w:r>
      <w:r w:rsidR="008F4A95">
        <w:rPr>
          <w:rFonts w:ascii="Arial" w:hAnsi="Arial" w:cs="Arial"/>
          <w:color w:val="3B3838" w:themeColor="background2" w:themeShade="40"/>
          <w:sz w:val="20"/>
          <w:szCs w:val="20"/>
        </w:rPr>
        <w:t xml:space="preserve"> their growth counterparts</w:t>
      </w:r>
      <w:r w:rsidR="009628C0">
        <w:rPr>
          <w:rFonts w:ascii="Arial" w:hAnsi="Arial" w:cs="Arial"/>
          <w:color w:val="3B3838" w:themeColor="background2" w:themeShade="40"/>
          <w:sz w:val="20"/>
          <w:szCs w:val="20"/>
        </w:rPr>
        <w:t xml:space="preserve"> </w:t>
      </w:r>
      <w:r w:rsidR="00D53644">
        <w:rPr>
          <w:rFonts w:ascii="Arial" w:hAnsi="Arial" w:cs="Arial"/>
          <w:color w:val="3B3838" w:themeColor="background2" w:themeShade="40"/>
          <w:sz w:val="20"/>
          <w:szCs w:val="20"/>
        </w:rPr>
        <w:t xml:space="preserve">as large value has outperformed large growth by </w:t>
      </w:r>
      <w:r w:rsidR="00391512">
        <w:rPr>
          <w:rFonts w:ascii="Arial" w:hAnsi="Arial" w:cs="Arial"/>
          <w:color w:val="3B3838" w:themeColor="background2" w:themeShade="40"/>
          <w:sz w:val="20"/>
          <w:szCs w:val="20"/>
        </w:rPr>
        <w:t>over 15%.</w:t>
      </w:r>
    </w:p>
    <w:p w14:paraId="234CBCB8" w14:textId="2379DFC2" w:rsidR="00AE55FB" w:rsidRDefault="00AE55FB" w:rsidP="004A3AEE">
      <w:pPr>
        <w:spacing w:after="0"/>
        <w:ind w:left="1440" w:right="-360"/>
        <w:rPr>
          <w:rFonts w:ascii="Arial" w:hAnsi="Arial" w:cs="Arial"/>
          <w:color w:val="3B3838" w:themeColor="background2" w:themeShade="40"/>
          <w:sz w:val="20"/>
          <w:szCs w:val="20"/>
        </w:rPr>
      </w:pPr>
    </w:p>
    <w:p w14:paraId="51894E9B" w14:textId="6947F1CE" w:rsidR="00C946FA" w:rsidRDefault="00C7086E" w:rsidP="00074F9A">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Bonds once again struggled as the Fed raised</w:t>
      </w:r>
      <w:r w:rsidRPr="001535ED">
        <w:rPr>
          <w:rFonts w:ascii="Arial" w:hAnsi="Arial" w:cs="Arial"/>
          <w:color w:val="3B3838" w:themeColor="background2" w:themeShade="40"/>
          <w:sz w:val="20"/>
          <w:szCs w:val="20"/>
        </w:rPr>
        <w:t xml:space="preserve"> interest rate</w:t>
      </w:r>
      <w:r w:rsidR="00B64A72">
        <w:rPr>
          <w:rFonts w:ascii="Arial" w:hAnsi="Arial" w:cs="Arial"/>
          <w:color w:val="3B3838" w:themeColor="background2" w:themeShade="40"/>
          <w:sz w:val="20"/>
          <w:szCs w:val="20"/>
        </w:rPr>
        <w:t>s</w:t>
      </w:r>
      <w:r w:rsidRPr="001535ED">
        <w:rPr>
          <w:rFonts w:ascii="Arial" w:hAnsi="Arial" w:cs="Arial"/>
          <w:color w:val="3B3838" w:themeColor="background2" w:themeShade="40"/>
          <w:sz w:val="20"/>
          <w:szCs w:val="20"/>
        </w:rPr>
        <w:t xml:space="preserve"> by 75 b</w:t>
      </w:r>
      <w:r>
        <w:rPr>
          <w:rFonts w:ascii="Arial" w:hAnsi="Arial" w:cs="Arial"/>
          <w:color w:val="3B3838" w:themeColor="background2" w:themeShade="40"/>
          <w:sz w:val="20"/>
          <w:szCs w:val="20"/>
        </w:rPr>
        <w:t>ps</w:t>
      </w:r>
      <w:r w:rsidRPr="001535ED">
        <w:rPr>
          <w:rFonts w:ascii="Arial" w:hAnsi="Arial" w:cs="Arial"/>
          <w:color w:val="3B3838" w:themeColor="background2" w:themeShade="40"/>
          <w:sz w:val="20"/>
          <w:szCs w:val="20"/>
        </w:rPr>
        <w:t xml:space="preserve"> </w:t>
      </w:r>
      <w:r>
        <w:rPr>
          <w:rFonts w:ascii="Arial" w:hAnsi="Arial" w:cs="Arial"/>
          <w:color w:val="3B3838" w:themeColor="background2" w:themeShade="40"/>
          <w:sz w:val="20"/>
          <w:szCs w:val="20"/>
        </w:rPr>
        <w:t>during its June meeting, the</w:t>
      </w:r>
      <w:r w:rsidRPr="001535ED">
        <w:rPr>
          <w:rFonts w:ascii="Arial" w:hAnsi="Arial" w:cs="Arial"/>
          <w:color w:val="3B3838" w:themeColor="background2" w:themeShade="40"/>
          <w:sz w:val="20"/>
          <w:szCs w:val="20"/>
        </w:rPr>
        <w:t xml:space="preserve"> largest rate hike since 1994</w:t>
      </w:r>
      <w:r w:rsidR="00B64A72">
        <w:rPr>
          <w:rFonts w:ascii="Arial" w:hAnsi="Arial" w:cs="Arial"/>
          <w:color w:val="3B3838" w:themeColor="background2" w:themeShade="40"/>
          <w:sz w:val="20"/>
          <w:szCs w:val="20"/>
        </w:rPr>
        <w:t>.</w:t>
      </w:r>
      <w:r>
        <w:rPr>
          <w:rStyle w:val="EndnoteReference"/>
          <w:rFonts w:ascii="Arial" w:hAnsi="Arial" w:cs="Arial"/>
          <w:color w:val="3B3838" w:themeColor="background2" w:themeShade="40"/>
          <w:sz w:val="20"/>
          <w:szCs w:val="20"/>
        </w:rPr>
        <w:endnoteReference w:id="3"/>
      </w:r>
      <w:r>
        <w:rPr>
          <w:rFonts w:ascii="Arial" w:hAnsi="Arial" w:cs="Arial"/>
          <w:color w:val="3B3838" w:themeColor="background2" w:themeShade="40"/>
          <w:sz w:val="20"/>
          <w:szCs w:val="20"/>
        </w:rPr>
        <w:t xml:space="preserve"> </w:t>
      </w:r>
      <w:r w:rsidR="004B24FB">
        <w:rPr>
          <w:rFonts w:ascii="Arial" w:hAnsi="Arial" w:cs="Arial"/>
          <w:color w:val="3B3838" w:themeColor="background2" w:themeShade="40"/>
          <w:sz w:val="20"/>
          <w:szCs w:val="20"/>
        </w:rPr>
        <w:t xml:space="preserve">Within </w:t>
      </w:r>
      <w:r w:rsidR="002A235D">
        <w:rPr>
          <w:rFonts w:ascii="Arial" w:hAnsi="Arial" w:cs="Arial"/>
          <w:color w:val="3B3838" w:themeColor="background2" w:themeShade="40"/>
          <w:sz w:val="20"/>
          <w:szCs w:val="20"/>
        </w:rPr>
        <w:t>bonds,</w:t>
      </w:r>
      <w:r w:rsidR="00C44320">
        <w:rPr>
          <w:rFonts w:ascii="Arial" w:hAnsi="Arial" w:cs="Arial"/>
          <w:color w:val="3B3838" w:themeColor="background2" w:themeShade="40"/>
          <w:sz w:val="20"/>
          <w:szCs w:val="20"/>
        </w:rPr>
        <w:t xml:space="preserve"> </w:t>
      </w:r>
      <w:r w:rsidR="004757BC">
        <w:rPr>
          <w:rFonts w:ascii="Arial" w:hAnsi="Arial" w:cs="Arial"/>
          <w:color w:val="3B3838" w:themeColor="background2" w:themeShade="40"/>
          <w:sz w:val="20"/>
          <w:szCs w:val="20"/>
        </w:rPr>
        <w:t>US fixed income</w:t>
      </w:r>
      <w:r w:rsidR="00B0228B">
        <w:rPr>
          <w:rFonts w:ascii="Arial" w:hAnsi="Arial" w:cs="Arial"/>
          <w:color w:val="3B3838" w:themeColor="background2" w:themeShade="40"/>
          <w:sz w:val="20"/>
          <w:szCs w:val="20"/>
        </w:rPr>
        <w:t xml:space="preserve"> was down 1.6% in June</w:t>
      </w:r>
      <w:r w:rsidR="009628C0">
        <w:rPr>
          <w:rFonts w:ascii="Arial" w:hAnsi="Arial" w:cs="Arial"/>
          <w:color w:val="3B3838" w:themeColor="background2" w:themeShade="40"/>
          <w:sz w:val="20"/>
          <w:szCs w:val="20"/>
        </w:rPr>
        <w:t xml:space="preserve"> </w:t>
      </w:r>
      <w:r w:rsidR="00DE239C">
        <w:rPr>
          <w:rFonts w:ascii="Arial" w:hAnsi="Arial" w:cs="Arial"/>
          <w:color w:val="3B3838" w:themeColor="background2" w:themeShade="40"/>
          <w:sz w:val="20"/>
          <w:szCs w:val="20"/>
        </w:rPr>
        <w:t>followed</w:t>
      </w:r>
      <w:r w:rsidR="004757BC">
        <w:rPr>
          <w:rFonts w:ascii="Arial" w:hAnsi="Arial" w:cs="Arial"/>
          <w:color w:val="3B3838" w:themeColor="background2" w:themeShade="40"/>
          <w:sz w:val="20"/>
          <w:szCs w:val="20"/>
        </w:rPr>
        <w:t xml:space="preserve"> by</w:t>
      </w:r>
      <w:r w:rsidR="00776E82">
        <w:rPr>
          <w:rFonts w:ascii="Arial" w:hAnsi="Arial" w:cs="Arial"/>
          <w:color w:val="3B3838" w:themeColor="background2" w:themeShade="40"/>
          <w:sz w:val="20"/>
          <w:szCs w:val="20"/>
        </w:rPr>
        <w:t xml:space="preserve"> </w:t>
      </w:r>
      <w:r w:rsidR="00F12CB8">
        <w:rPr>
          <w:rFonts w:ascii="Arial" w:hAnsi="Arial" w:cs="Arial"/>
          <w:color w:val="3B3838" w:themeColor="background2" w:themeShade="40"/>
          <w:sz w:val="20"/>
          <w:szCs w:val="20"/>
        </w:rPr>
        <w:t>i</w:t>
      </w:r>
      <w:r w:rsidR="004757BC">
        <w:rPr>
          <w:rFonts w:ascii="Arial" w:hAnsi="Arial" w:cs="Arial"/>
          <w:color w:val="3B3838" w:themeColor="background2" w:themeShade="40"/>
          <w:sz w:val="20"/>
          <w:szCs w:val="20"/>
        </w:rPr>
        <w:t>nternational developed</w:t>
      </w:r>
      <w:r w:rsidR="00B0228B">
        <w:rPr>
          <w:rFonts w:ascii="Arial" w:hAnsi="Arial" w:cs="Arial"/>
          <w:color w:val="3B3838" w:themeColor="background2" w:themeShade="40"/>
          <w:sz w:val="20"/>
          <w:szCs w:val="20"/>
        </w:rPr>
        <w:t xml:space="preserve"> (-4.5%)</w:t>
      </w:r>
      <w:r w:rsidR="004B24FB">
        <w:rPr>
          <w:rFonts w:ascii="Arial" w:hAnsi="Arial" w:cs="Arial"/>
          <w:color w:val="3B3838" w:themeColor="background2" w:themeShade="40"/>
          <w:sz w:val="20"/>
          <w:szCs w:val="20"/>
        </w:rPr>
        <w:t xml:space="preserve"> </w:t>
      </w:r>
      <w:r w:rsidR="00B0228B">
        <w:rPr>
          <w:rFonts w:ascii="Arial" w:hAnsi="Arial" w:cs="Arial"/>
          <w:color w:val="3B3838" w:themeColor="background2" w:themeShade="40"/>
          <w:sz w:val="20"/>
          <w:szCs w:val="20"/>
        </w:rPr>
        <w:t xml:space="preserve">and emerging markets (-4.6%) </w:t>
      </w:r>
      <w:r w:rsidR="004B24FB">
        <w:rPr>
          <w:rFonts w:ascii="Arial" w:hAnsi="Arial" w:cs="Arial"/>
          <w:color w:val="3B3838" w:themeColor="background2" w:themeShade="40"/>
          <w:sz w:val="20"/>
          <w:szCs w:val="20"/>
        </w:rPr>
        <w:t>bonds</w:t>
      </w:r>
      <w:r w:rsidR="004757BC">
        <w:rPr>
          <w:rFonts w:ascii="Arial" w:hAnsi="Arial" w:cs="Arial"/>
          <w:color w:val="3B3838" w:themeColor="background2" w:themeShade="40"/>
          <w:sz w:val="20"/>
          <w:szCs w:val="20"/>
        </w:rPr>
        <w:t xml:space="preserve">. </w:t>
      </w:r>
      <w:r w:rsidR="00F12CB8">
        <w:rPr>
          <w:rFonts w:ascii="Arial" w:hAnsi="Arial" w:cs="Arial"/>
          <w:color w:val="3B3838" w:themeColor="background2" w:themeShade="40"/>
          <w:sz w:val="20"/>
          <w:szCs w:val="20"/>
        </w:rPr>
        <w:t>Across US bond</w:t>
      </w:r>
      <w:r w:rsidR="004A3AEE" w:rsidRPr="00E55DE2">
        <w:rPr>
          <w:rFonts w:ascii="Arial" w:hAnsi="Arial" w:cs="Arial"/>
          <w:color w:val="3B3838" w:themeColor="background2" w:themeShade="40"/>
          <w:sz w:val="20"/>
          <w:szCs w:val="20"/>
        </w:rPr>
        <w:t xml:space="preserve"> sectors</w:t>
      </w:r>
      <w:r w:rsidR="009161C8">
        <w:rPr>
          <w:rFonts w:ascii="Arial" w:hAnsi="Arial" w:cs="Arial"/>
          <w:color w:val="3B3838" w:themeColor="background2" w:themeShade="40"/>
          <w:sz w:val="20"/>
          <w:szCs w:val="20"/>
        </w:rPr>
        <w:t>,</w:t>
      </w:r>
      <w:r w:rsidR="006D1378">
        <w:rPr>
          <w:rFonts w:ascii="Arial" w:hAnsi="Arial" w:cs="Arial"/>
          <w:color w:val="3B3838" w:themeColor="background2" w:themeShade="40"/>
          <w:sz w:val="20"/>
          <w:szCs w:val="20"/>
        </w:rPr>
        <w:t xml:space="preserve"> </w:t>
      </w:r>
      <w:r w:rsidR="00B861C1">
        <w:rPr>
          <w:rFonts w:ascii="Arial" w:hAnsi="Arial" w:cs="Arial"/>
          <w:color w:val="3B3838" w:themeColor="background2" w:themeShade="40"/>
          <w:sz w:val="20"/>
          <w:szCs w:val="20"/>
        </w:rPr>
        <w:t xml:space="preserve">short treasuries (-0.1%) was the top performer, </w:t>
      </w:r>
      <w:r w:rsidR="0078287C">
        <w:rPr>
          <w:rFonts w:ascii="Arial" w:hAnsi="Arial" w:cs="Arial"/>
          <w:color w:val="3B3838" w:themeColor="background2" w:themeShade="40"/>
          <w:sz w:val="20"/>
          <w:szCs w:val="20"/>
        </w:rPr>
        <w:t xml:space="preserve">and </w:t>
      </w:r>
      <w:r w:rsidR="00B861C1">
        <w:rPr>
          <w:rFonts w:ascii="Arial" w:hAnsi="Arial" w:cs="Arial"/>
          <w:color w:val="3B3838" w:themeColor="background2" w:themeShade="40"/>
          <w:sz w:val="20"/>
          <w:szCs w:val="20"/>
        </w:rPr>
        <w:t>high yield (</w:t>
      </w:r>
      <w:r w:rsidR="00B861C1" w:rsidRPr="00B861C1">
        <w:rPr>
          <w:rFonts w:ascii="Arial" w:hAnsi="Arial" w:cs="Arial"/>
          <w:color w:val="3B3838" w:themeColor="background2" w:themeShade="40"/>
          <w:sz w:val="20"/>
          <w:szCs w:val="20"/>
        </w:rPr>
        <w:t>-6.7</w:t>
      </w:r>
      <w:r w:rsidR="00B861C1">
        <w:rPr>
          <w:rFonts w:ascii="Arial" w:hAnsi="Arial" w:cs="Arial"/>
          <w:color w:val="3B3838" w:themeColor="background2" w:themeShade="40"/>
          <w:sz w:val="20"/>
          <w:szCs w:val="20"/>
        </w:rPr>
        <w:t>%) was the largest drag</w:t>
      </w:r>
      <w:r w:rsidR="001054EB">
        <w:rPr>
          <w:rFonts w:ascii="Arial" w:hAnsi="Arial" w:cs="Arial"/>
          <w:color w:val="3B3838" w:themeColor="background2" w:themeShade="40"/>
          <w:sz w:val="20"/>
          <w:szCs w:val="20"/>
        </w:rPr>
        <w:t xml:space="preserve"> as recession fears caused flight to quality away from lower</w:t>
      </w:r>
      <w:r w:rsidR="00FC5430">
        <w:rPr>
          <w:rFonts w:ascii="Arial" w:hAnsi="Arial" w:cs="Arial"/>
          <w:color w:val="3B3838" w:themeColor="background2" w:themeShade="40"/>
          <w:sz w:val="20"/>
          <w:szCs w:val="20"/>
        </w:rPr>
        <w:t>-</w:t>
      </w:r>
      <w:r w:rsidR="001054EB">
        <w:rPr>
          <w:rFonts w:ascii="Arial" w:hAnsi="Arial" w:cs="Arial"/>
          <w:color w:val="3B3838" w:themeColor="background2" w:themeShade="40"/>
          <w:sz w:val="20"/>
          <w:szCs w:val="20"/>
        </w:rPr>
        <w:t>quality bonds</w:t>
      </w:r>
      <w:r w:rsidR="00527A5A">
        <w:rPr>
          <w:rFonts w:ascii="Arial" w:hAnsi="Arial" w:cs="Arial"/>
          <w:color w:val="3B3838" w:themeColor="background2" w:themeShade="40"/>
          <w:sz w:val="20"/>
          <w:szCs w:val="20"/>
        </w:rPr>
        <w:t>.</w:t>
      </w:r>
      <w:r w:rsidR="00B861C1">
        <w:rPr>
          <w:rFonts w:ascii="Arial" w:hAnsi="Arial" w:cs="Arial"/>
          <w:color w:val="3B3838" w:themeColor="background2" w:themeShade="40"/>
          <w:sz w:val="20"/>
          <w:szCs w:val="20"/>
        </w:rPr>
        <w:t xml:space="preserve">  </w:t>
      </w:r>
    </w:p>
    <w:p w14:paraId="1D08DDB8" w14:textId="77777777" w:rsidR="00F30A84" w:rsidRDefault="00F30A84" w:rsidP="00A57EE1">
      <w:pPr>
        <w:spacing w:after="0"/>
        <w:ind w:left="1440" w:right="-360"/>
        <w:rPr>
          <w:rFonts w:ascii="Arial" w:hAnsi="Arial" w:cs="Arial"/>
          <w:color w:val="3B3838" w:themeColor="background2" w:themeShade="40"/>
          <w:sz w:val="20"/>
          <w:szCs w:val="20"/>
        </w:rPr>
      </w:pPr>
    </w:p>
    <w:p w14:paraId="50E226DB" w14:textId="4E035202" w:rsidR="00455CB2" w:rsidRDefault="007B662A" w:rsidP="00A57EE1">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lastRenderedPageBreak/>
        <w:t>After a stellar run, t</w:t>
      </w:r>
      <w:r w:rsidR="00495C87">
        <w:rPr>
          <w:rFonts w:ascii="Arial" w:hAnsi="Arial" w:cs="Arial"/>
          <w:color w:val="3B3838" w:themeColor="background2" w:themeShade="40"/>
          <w:sz w:val="20"/>
          <w:szCs w:val="20"/>
        </w:rPr>
        <w:t>he b</w:t>
      </w:r>
      <w:r w:rsidR="00724C85">
        <w:rPr>
          <w:rFonts w:ascii="Arial" w:hAnsi="Arial" w:cs="Arial"/>
          <w:color w:val="3B3838" w:themeColor="background2" w:themeShade="40"/>
          <w:sz w:val="20"/>
          <w:szCs w:val="20"/>
        </w:rPr>
        <w:t xml:space="preserve">road </w:t>
      </w:r>
      <w:r w:rsidR="004757BC">
        <w:rPr>
          <w:rFonts w:ascii="Arial" w:hAnsi="Arial" w:cs="Arial"/>
          <w:color w:val="3B3838" w:themeColor="background2" w:themeShade="40"/>
          <w:sz w:val="20"/>
          <w:szCs w:val="20"/>
        </w:rPr>
        <w:t>c</w:t>
      </w:r>
      <w:r w:rsidR="004A3AEE" w:rsidRPr="00E55DE2">
        <w:rPr>
          <w:rFonts w:ascii="Arial" w:hAnsi="Arial" w:cs="Arial"/>
          <w:color w:val="3B3838" w:themeColor="background2" w:themeShade="40"/>
          <w:sz w:val="20"/>
          <w:szCs w:val="20"/>
        </w:rPr>
        <w:t>ommodit</w:t>
      </w:r>
      <w:r w:rsidR="00495C87">
        <w:rPr>
          <w:rFonts w:ascii="Arial" w:hAnsi="Arial" w:cs="Arial"/>
          <w:color w:val="3B3838" w:themeColor="background2" w:themeShade="40"/>
          <w:sz w:val="20"/>
          <w:szCs w:val="20"/>
        </w:rPr>
        <w:t>y index</w:t>
      </w:r>
      <w:r w:rsidR="004A3AEE" w:rsidRPr="00E55DE2">
        <w:rPr>
          <w:rFonts w:ascii="Arial" w:hAnsi="Arial" w:cs="Arial"/>
          <w:color w:val="3B3838" w:themeColor="background2" w:themeShade="40"/>
          <w:sz w:val="20"/>
          <w:szCs w:val="20"/>
        </w:rPr>
        <w:t xml:space="preserve"> </w:t>
      </w:r>
      <w:r>
        <w:rPr>
          <w:rFonts w:ascii="Arial" w:hAnsi="Arial" w:cs="Arial"/>
          <w:color w:val="3B3838" w:themeColor="background2" w:themeShade="40"/>
          <w:sz w:val="20"/>
          <w:szCs w:val="20"/>
        </w:rPr>
        <w:t>fell</w:t>
      </w:r>
      <w:r w:rsidR="004014FA">
        <w:rPr>
          <w:rFonts w:ascii="Arial" w:hAnsi="Arial" w:cs="Arial"/>
          <w:color w:val="3B3838" w:themeColor="background2" w:themeShade="40"/>
          <w:sz w:val="20"/>
          <w:szCs w:val="20"/>
        </w:rPr>
        <w:t xml:space="preserve"> </w:t>
      </w:r>
      <w:r>
        <w:rPr>
          <w:rFonts w:ascii="Arial" w:hAnsi="Arial" w:cs="Arial"/>
          <w:color w:val="3B3838" w:themeColor="background2" w:themeShade="40"/>
          <w:sz w:val="20"/>
          <w:szCs w:val="20"/>
        </w:rPr>
        <w:t>10.8% in June</w:t>
      </w:r>
      <w:r w:rsidR="00A226E8">
        <w:rPr>
          <w:rFonts w:ascii="Arial" w:hAnsi="Arial" w:cs="Arial"/>
          <w:color w:val="3B3838" w:themeColor="background2" w:themeShade="40"/>
          <w:sz w:val="20"/>
          <w:szCs w:val="20"/>
        </w:rPr>
        <w:t xml:space="preserve">. </w:t>
      </w:r>
      <w:r>
        <w:rPr>
          <w:rFonts w:ascii="Arial" w:hAnsi="Arial" w:cs="Arial"/>
          <w:color w:val="3B3838" w:themeColor="background2" w:themeShade="40"/>
          <w:sz w:val="20"/>
          <w:szCs w:val="20"/>
        </w:rPr>
        <w:t>All major components in the index were down for the month. Energy, which was consistently a</w:t>
      </w:r>
      <w:r w:rsidR="00A226E8">
        <w:rPr>
          <w:rFonts w:ascii="Arial" w:hAnsi="Arial" w:cs="Arial"/>
          <w:color w:val="3B3838" w:themeColor="background2" w:themeShade="40"/>
          <w:sz w:val="20"/>
          <w:szCs w:val="20"/>
        </w:rPr>
        <w:t xml:space="preserve"> </w:t>
      </w:r>
      <w:r w:rsidR="00495C87">
        <w:rPr>
          <w:rFonts w:ascii="Arial" w:hAnsi="Arial" w:cs="Arial"/>
          <w:color w:val="3B3838" w:themeColor="background2" w:themeShade="40"/>
          <w:sz w:val="20"/>
          <w:szCs w:val="20"/>
        </w:rPr>
        <w:t>top</w:t>
      </w:r>
      <w:r w:rsidR="00A226E8">
        <w:rPr>
          <w:rFonts w:ascii="Arial" w:hAnsi="Arial" w:cs="Arial"/>
          <w:color w:val="3B3838" w:themeColor="background2" w:themeShade="40"/>
          <w:sz w:val="20"/>
          <w:szCs w:val="20"/>
        </w:rPr>
        <w:t xml:space="preserve"> </w:t>
      </w:r>
      <w:r w:rsidR="00495C87">
        <w:rPr>
          <w:rFonts w:ascii="Arial" w:hAnsi="Arial" w:cs="Arial"/>
          <w:color w:val="3B3838" w:themeColor="background2" w:themeShade="40"/>
          <w:sz w:val="20"/>
          <w:szCs w:val="20"/>
        </w:rPr>
        <w:t>contributor to the index</w:t>
      </w:r>
      <w:r w:rsidR="00A226E8">
        <w:rPr>
          <w:rFonts w:ascii="Arial" w:hAnsi="Arial" w:cs="Arial"/>
          <w:color w:val="3B3838" w:themeColor="background2" w:themeShade="40"/>
          <w:sz w:val="20"/>
          <w:szCs w:val="20"/>
        </w:rPr>
        <w:t xml:space="preserve">, </w:t>
      </w:r>
      <w:r>
        <w:rPr>
          <w:rFonts w:ascii="Arial" w:hAnsi="Arial" w:cs="Arial"/>
          <w:color w:val="3B3838" w:themeColor="background2" w:themeShade="40"/>
          <w:sz w:val="20"/>
          <w:szCs w:val="20"/>
        </w:rPr>
        <w:t xml:space="preserve">fell </w:t>
      </w:r>
      <w:r w:rsidR="006223C9">
        <w:rPr>
          <w:rFonts w:ascii="Arial" w:hAnsi="Arial" w:cs="Arial"/>
          <w:color w:val="3B3838" w:themeColor="background2" w:themeShade="40"/>
          <w:sz w:val="20"/>
          <w:szCs w:val="20"/>
        </w:rPr>
        <w:t xml:space="preserve">by </w:t>
      </w:r>
      <w:r>
        <w:rPr>
          <w:rFonts w:ascii="Arial" w:hAnsi="Arial" w:cs="Arial"/>
          <w:color w:val="3B3838" w:themeColor="background2" w:themeShade="40"/>
          <w:sz w:val="20"/>
          <w:szCs w:val="20"/>
        </w:rPr>
        <w:t>14.6% in June</w:t>
      </w:r>
      <w:r w:rsidR="00FA0E34">
        <w:rPr>
          <w:rFonts w:ascii="Arial" w:hAnsi="Arial" w:cs="Arial"/>
          <w:color w:val="3B3838" w:themeColor="background2" w:themeShade="40"/>
          <w:sz w:val="20"/>
          <w:szCs w:val="20"/>
        </w:rPr>
        <w:t xml:space="preserve"> over recession fears</w:t>
      </w:r>
      <w:r>
        <w:rPr>
          <w:rFonts w:ascii="Arial" w:hAnsi="Arial" w:cs="Arial"/>
          <w:color w:val="3B3838" w:themeColor="background2" w:themeShade="40"/>
          <w:sz w:val="20"/>
          <w:szCs w:val="20"/>
        </w:rPr>
        <w:t>. However, energy is still up</w:t>
      </w:r>
      <w:r w:rsidR="00A226E8">
        <w:rPr>
          <w:rFonts w:ascii="Arial" w:hAnsi="Arial" w:cs="Arial"/>
          <w:color w:val="3B3838" w:themeColor="background2" w:themeShade="40"/>
          <w:sz w:val="20"/>
          <w:szCs w:val="20"/>
        </w:rPr>
        <w:t xml:space="preserve"> </w:t>
      </w:r>
      <w:r>
        <w:rPr>
          <w:rFonts w:ascii="Arial" w:hAnsi="Arial" w:cs="Arial"/>
          <w:color w:val="3B3838" w:themeColor="background2" w:themeShade="40"/>
          <w:sz w:val="20"/>
          <w:szCs w:val="20"/>
        </w:rPr>
        <w:t>58.3%</w:t>
      </w:r>
      <w:r w:rsidR="00A226E8">
        <w:rPr>
          <w:rFonts w:ascii="Arial" w:hAnsi="Arial" w:cs="Arial"/>
          <w:color w:val="3B3838" w:themeColor="background2" w:themeShade="40"/>
          <w:sz w:val="20"/>
          <w:szCs w:val="20"/>
        </w:rPr>
        <w:t xml:space="preserve"> for the year</w:t>
      </w:r>
      <w:r w:rsidR="006013B0">
        <w:rPr>
          <w:rFonts w:ascii="Arial" w:hAnsi="Arial" w:cs="Arial"/>
          <w:color w:val="3B3838" w:themeColor="background2" w:themeShade="40"/>
          <w:sz w:val="20"/>
          <w:szCs w:val="20"/>
        </w:rPr>
        <w:t>.</w:t>
      </w:r>
      <w:r w:rsidR="00192E8F">
        <w:rPr>
          <w:rFonts w:ascii="Arial" w:hAnsi="Arial" w:cs="Arial"/>
          <w:color w:val="3B3838" w:themeColor="background2" w:themeShade="40"/>
          <w:sz w:val="20"/>
          <w:szCs w:val="20"/>
        </w:rPr>
        <w:t xml:space="preserve"> </w:t>
      </w:r>
      <w:r w:rsidR="001D528D">
        <w:rPr>
          <w:rFonts w:ascii="Arial" w:hAnsi="Arial" w:cs="Arial"/>
          <w:color w:val="3B3838" w:themeColor="background2" w:themeShade="40"/>
          <w:sz w:val="20"/>
          <w:szCs w:val="20"/>
        </w:rPr>
        <w:t xml:space="preserve">Gold </w:t>
      </w:r>
      <w:r w:rsidR="00A226E8">
        <w:rPr>
          <w:rFonts w:ascii="Arial" w:hAnsi="Arial" w:cs="Arial"/>
          <w:color w:val="3B3838" w:themeColor="background2" w:themeShade="40"/>
          <w:sz w:val="20"/>
          <w:szCs w:val="20"/>
        </w:rPr>
        <w:t xml:space="preserve">continued to struggle in </w:t>
      </w:r>
      <w:r>
        <w:rPr>
          <w:rFonts w:ascii="Arial" w:hAnsi="Arial" w:cs="Arial"/>
          <w:color w:val="3B3838" w:themeColor="background2" w:themeShade="40"/>
          <w:sz w:val="20"/>
          <w:szCs w:val="20"/>
        </w:rPr>
        <w:t>June</w:t>
      </w:r>
      <w:r w:rsidR="001D528D">
        <w:rPr>
          <w:rFonts w:ascii="Arial" w:hAnsi="Arial" w:cs="Arial"/>
          <w:color w:val="3B3838" w:themeColor="background2" w:themeShade="40"/>
          <w:sz w:val="20"/>
          <w:szCs w:val="20"/>
        </w:rPr>
        <w:t xml:space="preserve"> </w:t>
      </w:r>
      <w:r w:rsidR="004014FA">
        <w:rPr>
          <w:rFonts w:ascii="Arial" w:hAnsi="Arial" w:cs="Arial"/>
          <w:color w:val="3B3838" w:themeColor="background2" w:themeShade="40"/>
          <w:sz w:val="20"/>
          <w:szCs w:val="20"/>
        </w:rPr>
        <w:t xml:space="preserve">and fell </w:t>
      </w:r>
      <w:r w:rsidR="00E0729B">
        <w:rPr>
          <w:rFonts w:ascii="Arial" w:hAnsi="Arial" w:cs="Arial"/>
          <w:color w:val="3B3838" w:themeColor="background2" w:themeShade="40"/>
          <w:sz w:val="20"/>
          <w:szCs w:val="20"/>
        </w:rPr>
        <w:t xml:space="preserve">by </w:t>
      </w:r>
      <w:r>
        <w:rPr>
          <w:rFonts w:ascii="Arial" w:hAnsi="Arial" w:cs="Arial"/>
          <w:color w:val="3B3838" w:themeColor="background2" w:themeShade="40"/>
          <w:sz w:val="20"/>
          <w:szCs w:val="20"/>
        </w:rPr>
        <w:t>2.1</w:t>
      </w:r>
      <w:r w:rsidR="00D25D66">
        <w:rPr>
          <w:rFonts w:ascii="Arial" w:hAnsi="Arial" w:cs="Arial"/>
          <w:color w:val="3B3838" w:themeColor="background2" w:themeShade="40"/>
          <w:sz w:val="20"/>
          <w:szCs w:val="20"/>
        </w:rPr>
        <w:t xml:space="preserve">%. </w:t>
      </w:r>
      <w:r w:rsidR="001D528D">
        <w:rPr>
          <w:rFonts w:ascii="Arial" w:hAnsi="Arial" w:cs="Arial"/>
          <w:color w:val="3B3838" w:themeColor="background2" w:themeShade="40"/>
          <w:sz w:val="20"/>
          <w:szCs w:val="20"/>
        </w:rPr>
        <w:t xml:space="preserve">The US dollar </w:t>
      </w:r>
      <w:r>
        <w:rPr>
          <w:rFonts w:ascii="Arial" w:hAnsi="Arial" w:cs="Arial"/>
          <w:color w:val="3B3838" w:themeColor="background2" w:themeShade="40"/>
          <w:sz w:val="20"/>
          <w:szCs w:val="20"/>
        </w:rPr>
        <w:t>bounced</w:t>
      </w:r>
      <w:r w:rsidR="00A226E8">
        <w:rPr>
          <w:rFonts w:ascii="Arial" w:hAnsi="Arial" w:cs="Arial"/>
          <w:color w:val="3B3838" w:themeColor="background2" w:themeShade="40"/>
          <w:sz w:val="20"/>
          <w:szCs w:val="20"/>
        </w:rPr>
        <w:t xml:space="preserve"> back this</w:t>
      </w:r>
      <w:r w:rsidR="001D528D">
        <w:rPr>
          <w:rFonts w:ascii="Arial" w:hAnsi="Arial" w:cs="Arial"/>
          <w:color w:val="3B3838" w:themeColor="background2" w:themeShade="40"/>
          <w:sz w:val="20"/>
          <w:szCs w:val="20"/>
        </w:rPr>
        <w:t xml:space="preserve"> month</w:t>
      </w:r>
      <w:r w:rsidR="00495C87">
        <w:rPr>
          <w:rFonts w:ascii="Arial" w:hAnsi="Arial" w:cs="Arial"/>
          <w:color w:val="3B3838" w:themeColor="background2" w:themeShade="40"/>
          <w:sz w:val="20"/>
          <w:szCs w:val="20"/>
        </w:rPr>
        <w:t xml:space="preserve"> and </w:t>
      </w:r>
      <w:r>
        <w:rPr>
          <w:rFonts w:ascii="Arial" w:hAnsi="Arial" w:cs="Arial"/>
          <w:color w:val="3B3838" w:themeColor="background2" w:themeShade="40"/>
          <w:sz w:val="20"/>
          <w:szCs w:val="20"/>
        </w:rPr>
        <w:t>returned 2.8% and is now up 9.1% for the year.</w:t>
      </w:r>
      <w:r w:rsidR="00E0729B">
        <w:rPr>
          <w:rFonts w:ascii="Arial" w:hAnsi="Arial" w:cs="Arial"/>
          <w:color w:val="3B3838" w:themeColor="background2" w:themeShade="40"/>
          <w:sz w:val="20"/>
          <w:szCs w:val="20"/>
        </w:rPr>
        <w:t xml:space="preserve"> Rising interest rates have been a key factor to the strong performance of the US dollar</w:t>
      </w:r>
      <w:r w:rsidR="00E326AB">
        <w:rPr>
          <w:rFonts w:ascii="Arial" w:hAnsi="Arial" w:cs="Arial"/>
          <w:color w:val="3B3838" w:themeColor="background2" w:themeShade="40"/>
          <w:sz w:val="20"/>
          <w:szCs w:val="20"/>
        </w:rPr>
        <w:t>.</w:t>
      </w:r>
      <w:r w:rsidR="00E0729B">
        <w:rPr>
          <w:rStyle w:val="EndnoteReference"/>
          <w:rFonts w:ascii="Arial" w:hAnsi="Arial" w:cs="Arial"/>
          <w:color w:val="3B3838" w:themeColor="background2" w:themeShade="40"/>
          <w:sz w:val="20"/>
          <w:szCs w:val="20"/>
        </w:rPr>
        <w:endnoteReference w:id="4"/>
      </w:r>
    </w:p>
    <w:p w14:paraId="3C492FB7" w14:textId="1699823C" w:rsidR="00710280" w:rsidRDefault="00455CB2" w:rsidP="00C946FA">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 xml:space="preserve">  </w:t>
      </w:r>
      <w:r w:rsidR="00500609">
        <w:rPr>
          <w:rFonts w:ascii="Arial" w:hAnsi="Arial" w:cs="Arial"/>
          <w:color w:val="3B3838" w:themeColor="background2" w:themeShade="40"/>
          <w:sz w:val="20"/>
          <w:szCs w:val="20"/>
        </w:rPr>
        <w:t xml:space="preserve"> </w:t>
      </w:r>
      <w:r w:rsidR="004A3AEE" w:rsidRPr="00E55DE2">
        <w:rPr>
          <w:rFonts w:ascii="Arial" w:hAnsi="Arial" w:cs="Arial"/>
          <w:color w:val="3B3838" w:themeColor="background2" w:themeShade="40"/>
          <w:sz w:val="20"/>
          <w:szCs w:val="20"/>
        </w:rPr>
        <w:t xml:space="preserve"> </w:t>
      </w:r>
    </w:p>
    <w:p w14:paraId="6CC0A689" w14:textId="34A7A13C" w:rsidR="004A3AEE" w:rsidRDefault="004A3AEE" w:rsidP="00E95E1E">
      <w:pPr>
        <w:spacing w:after="0"/>
        <w:ind w:left="1440" w:right="-360"/>
        <w:rPr>
          <w:rFonts w:ascii="Arial" w:hAnsi="Arial" w:cs="Arial"/>
          <w:color w:val="3B3838" w:themeColor="background2" w:themeShade="40"/>
          <w:sz w:val="20"/>
          <w:szCs w:val="20"/>
        </w:rPr>
      </w:pPr>
      <w:r w:rsidRPr="000753AC">
        <w:rPr>
          <w:rFonts w:ascii="Arial" w:hAnsi="Arial" w:cs="Arial"/>
          <w:color w:val="3B3838" w:themeColor="background2" w:themeShade="40"/>
          <w:sz w:val="20"/>
          <w:szCs w:val="20"/>
        </w:rPr>
        <w:t>Relative to a globally balanced (60/40) equity/bond index, allocations to</w:t>
      </w:r>
      <w:r w:rsidR="00E95E1E">
        <w:rPr>
          <w:rFonts w:ascii="Arial" w:hAnsi="Arial" w:cs="Arial"/>
          <w:color w:val="3B3838" w:themeColor="background2" w:themeShade="40"/>
          <w:sz w:val="20"/>
          <w:szCs w:val="20"/>
        </w:rPr>
        <w:t xml:space="preserve"> </w:t>
      </w:r>
      <w:r w:rsidR="00E95E1E" w:rsidRPr="000753AC">
        <w:rPr>
          <w:rFonts w:ascii="Arial" w:hAnsi="Arial" w:cs="Arial"/>
          <w:color w:val="3B3838" w:themeColor="background2" w:themeShade="40"/>
          <w:sz w:val="20"/>
          <w:szCs w:val="20"/>
        </w:rPr>
        <w:t xml:space="preserve">global </w:t>
      </w:r>
      <w:r w:rsidR="00E95E1E">
        <w:rPr>
          <w:rFonts w:ascii="Arial" w:hAnsi="Arial" w:cs="Arial"/>
          <w:color w:val="3B3838" w:themeColor="background2" w:themeShade="40"/>
          <w:sz w:val="20"/>
          <w:szCs w:val="20"/>
        </w:rPr>
        <w:t>bonds</w:t>
      </w:r>
      <w:r w:rsidR="00E95E1E" w:rsidRPr="000753AC">
        <w:rPr>
          <w:rFonts w:ascii="Arial" w:hAnsi="Arial" w:cs="Arial"/>
          <w:color w:val="3B3838" w:themeColor="background2" w:themeShade="40"/>
          <w:sz w:val="20"/>
          <w:szCs w:val="20"/>
        </w:rPr>
        <w:t xml:space="preserve"> </w:t>
      </w:r>
      <w:r w:rsidR="00E95E1E">
        <w:rPr>
          <w:rFonts w:ascii="Arial" w:hAnsi="Arial" w:cs="Arial"/>
          <w:color w:val="3B3838" w:themeColor="background2" w:themeShade="40"/>
          <w:sz w:val="20"/>
          <w:szCs w:val="20"/>
        </w:rPr>
        <w:t xml:space="preserve">and </w:t>
      </w:r>
      <w:r w:rsidR="007B662A">
        <w:rPr>
          <w:rFonts w:ascii="Arial" w:hAnsi="Arial" w:cs="Arial"/>
          <w:color w:val="3B3838" w:themeColor="background2" w:themeShade="40"/>
          <w:sz w:val="20"/>
          <w:szCs w:val="20"/>
        </w:rPr>
        <w:t>gold</w:t>
      </w:r>
      <w:r w:rsidR="00E95E1E">
        <w:rPr>
          <w:rFonts w:ascii="Arial" w:hAnsi="Arial" w:cs="Arial"/>
          <w:color w:val="3B3838" w:themeColor="background2" w:themeShade="40"/>
          <w:sz w:val="20"/>
          <w:szCs w:val="20"/>
        </w:rPr>
        <w:t xml:space="preserve"> </w:t>
      </w:r>
      <w:r w:rsidRPr="000753AC">
        <w:rPr>
          <w:rFonts w:ascii="Arial" w:hAnsi="Arial" w:cs="Arial"/>
          <w:color w:val="3B3838" w:themeColor="background2" w:themeShade="40"/>
          <w:sz w:val="20"/>
          <w:szCs w:val="20"/>
        </w:rPr>
        <w:t>helped</w:t>
      </w:r>
      <w:r w:rsidR="00E326AB">
        <w:rPr>
          <w:rFonts w:ascii="Arial" w:hAnsi="Arial" w:cs="Arial"/>
          <w:color w:val="3B3838" w:themeColor="background2" w:themeShade="40"/>
          <w:sz w:val="20"/>
          <w:szCs w:val="20"/>
        </w:rPr>
        <w:t>,</w:t>
      </w:r>
      <w:r w:rsidRPr="000753AC">
        <w:rPr>
          <w:rFonts w:ascii="Arial" w:hAnsi="Arial" w:cs="Arial"/>
          <w:color w:val="3B3838" w:themeColor="background2" w:themeShade="40"/>
          <w:sz w:val="20"/>
          <w:szCs w:val="20"/>
        </w:rPr>
        <w:t xml:space="preserve"> while</w:t>
      </w:r>
      <w:r w:rsidR="00A8769F">
        <w:rPr>
          <w:rFonts w:ascii="Arial" w:hAnsi="Arial" w:cs="Arial"/>
          <w:color w:val="3B3838" w:themeColor="background2" w:themeShade="40"/>
          <w:sz w:val="20"/>
          <w:szCs w:val="20"/>
        </w:rPr>
        <w:t xml:space="preserve"> </w:t>
      </w:r>
      <w:r w:rsidR="00A8769F" w:rsidRPr="000753AC">
        <w:rPr>
          <w:rFonts w:ascii="Arial" w:hAnsi="Arial" w:cs="Arial"/>
          <w:color w:val="3B3838" w:themeColor="background2" w:themeShade="40"/>
          <w:sz w:val="20"/>
          <w:szCs w:val="20"/>
        </w:rPr>
        <w:t xml:space="preserve">global </w:t>
      </w:r>
      <w:r w:rsidR="00A8769F">
        <w:rPr>
          <w:rFonts w:ascii="Arial" w:hAnsi="Arial" w:cs="Arial"/>
          <w:color w:val="3B3838" w:themeColor="background2" w:themeShade="40"/>
          <w:sz w:val="20"/>
          <w:szCs w:val="20"/>
        </w:rPr>
        <w:t>equities</w:t>
      </w:r>
      <w:r w:rsidR="007B662A">
        <w:rPr>
          <w:rFonts w:ascii="Arial" w:hAnsi="Arial" w:cs="Arial"/>
          <w:color w:val="3B3838" w:themeColor="background2" w:themeShade="40"/>
          <w:sz w:val="20"/>
          <w:szCs w:val="20"/>
        </w:rPr>
        <w:t>, commodities,</w:t>
      </w:r>
      <w:r w:rsidR="00E95E1E">
        <w:rPr>
          <w:rFonts w:ascii="Arial" w:hAnsi="Arial" w:cs="Arial"/>
          <w:color w:val="3B3838" w:themeColor="background2" w:themeShade="40"/>
          <w:sz w:val="20"/>
          <w:szCs w:val="20"/>
        </w:rPr>
        <w:t xml:space="preserve"> and </w:t>
      </w:r>
      <w:r w:rsidR="00E95E1E" w:rsidRPr="000753AC">
        <w:rPr>
          <w:rFonts w:ascii="Arial" w:hAnsi="Arial" w:cs="Arial"/>
          <w:color w:val="3B3838" w:themeColor="background2" w:themeShade="40"/>
          <w:sz w:val="20"/>
          <w:szCs w:val="20"/>
        </w:rPr>
        <w:t xml:space="preserve">US REITs </w:t>
      </w:r>
      <w:r w:rsidR="00F30A84">
        <w:rPr>
          <w:rFonts w:ascii="Arial" w:hAnsi="Arial" w:cs="Arial"/>
          <w:color w:val="3B3838" w:themeColor="background2" w:themeShade="40"/>
          <w:sz w:val="20"/>
          <w:szCs w:val="20"/>
        </w:rPr>
        <w:t>hurt.</w:t>
      </w:r>
    </w:p>
    <w:p w14:paraId="7D90D726" w14:textId="007DA034" w:rsidR="006A7C3D" w:rsidRPr="006F399C" w:rsidRDefault="00C37952" w:rsidP="00E95E1E">
      <w:pPr>
        <w:spacing w:after="0"/>
        <w:ind w:left="1440" w:right="-360"/>
        <w:rPr>
          <w:rFonts w:ascii="Arial" w:hAnsi="Arial" w:cs="Arial"/>
          <w:color w:val="3B3838" w:themeColor="background2" w:themeShade="40"/>
          <w:sz w:val="20"/>
          <w:szCs w:val="20"/>
        </w:rPr>
      </w:pPr>
      <w:r>
        <w:rPr>
          <w:noProof/>
        </w:rPr>
        <w:drawing>
          <wp:anchor distT="0" distB="0" distL="114300" distR="114300" simplePos="0" relativeHeight="251681792" behindDoc="0" locked="0" layoutInCell="1" allowOverlap="1" wp14:anchorId="4005FF92" wp14:editId="2CC811D3">
            <wp:simplePos x="0" y="0"/>
            <wp:positionH relativeFrom="margin">
              <wp:posOffset>927100</wp:posOffset>
            </wp:positionH>
            <wp:positionV relativeFrom="page">
              <wp:posOffset>2715895</wp:posOffset>
            </wp:positionV>
            <wp:extent cx="5271770" cy="2680335"/>
            <wp:effectExtent l="0" t="0" r="5080" b="5715"/>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35C1D6F2" w14:textId="47F4F82B" w:rsidR="004A3AEE" w:rsidRDefault="004A3AEE" w:rsidP="004A3AEE">
      <w:pPr>
        <w:autoSpaceDE w:val="0"/>
        <w:autoSpaceDN w:val="0"/>
        <w:spacing w:after="0"/>
        <w:ind w:right="-360"/>
        <w:rPr>
          <w:rFonts w:ascii="Arial" w:hAnsi="Arial" w:cs="Arial"/>
          <w:color w:val="7F7F7F" w:themeColor="text1" w:themeTint="80"/>
          <w:sz w:val="18"/>
          <w:szCs w:val="18"/>
        </w:rPr>
      </w:pPr>
    </w:p>
    <w:p w14:paraId="685FE172" w14:textId="0755C048" w:rsidR="004A3AEE" w:rsidRPr="00706956" w:rsidRDefault="004A3AEE" w:rsidP="004A3AEE">
      <w:pPr>
        <w:autoSpaceDE w:val="0"/>
        <w:autoSpaceDN w:val="0"/>
        <w:spacing w:after="0"/>
        <w:ind w:left="1470" w:right="-360" w:firstLine="14"/>
        <w:rPr>
          <w:rFonts w:ascii="Arial" w:hAnsi="Arial" w:cs="Arial"/>
          <w:noProof/>
          <w:color w:val="3B3838" w:themeColor="background2" w:themeShade="40"/>
          <w:sz w:val="20"/>
          <w:szCs w:val="20"/>
        </w:rPr>
      </w:pPr>
      <w:r w:rsidRPr="005C2C8A">
        <w:rPr>
          <w:rFonts w:ascii="Arial" w:hAnsi="Arial" w:cs="Arial"/>
          <w:color w:val="7F7F7F" w:themeColor="text1" w:themeTint="80"/>
          <w:sz w:val="18"/>
          <w:szCs w:val="18"/>
        </w:rPr>
        <w:t>Source:  Zephyr Style Advisor</w:t>
      </w:r>
    </w:p>
    <w:p w14:paraId="246DE4C5" w14:textId="4F20C24C" w:rsidR="004A3AEE" w:rsidRDefault="004A3AEE" w:rsidP="00996FBD">
      <w:pPr>
        <w:spacing w:after="0"/>
        <w:ind w:left="-720" w:right="-720"/>
        <w:rPr>
          <w:rFonts w:ascii="Arial" w:hAnsi="Arial" w:cs="Arial"/>
          <w:b/>
          <w:color w:val="0070C0"/>
          <w:sz w:val="20"/>
          <w:szCs w:val="20"/>
        </w:rPr>
      </w:pPr>
    </w:p>
    <w:p w14:paraId="11D790A0" w14:textId="0FB2A954" w:rsidR="00C946FA" w:rsidRDefault="00C946FA" w:rsidP="004C18B4">
      <w:pPr>
        <w:autoSpaceDE w:val="0"/>
        <w:autoSpaceDN w:val="0"/>
        <w:spacing w:after="0"/>
        <w:ind w:right="-360"/>
        <w:rPr>
          <w:rFonts w:ascii="Arial" w:hAnsi="Arial" w:cs="Arial"/>
          <w:color w:val="343433"/>
          <w:sz w:val="21"/>
        </w:rPr>
      </w:pPr>
    </w:p>
    <w:p w14:paraId="2118F804" w14:textId="7FD105A2" w:rsidR="00996FBD" w:rsidRDefault="00B5385F" w:rsidP="000E5F02">
      <w:pPr>
        <w:autoSpaceDE w:val="0"/>
        <w:autoSpaceDN w:val="0"/>
        <w:spacing w:after="0"/>
        <w:ind w:right="-360" w:hanging="540"/>
        <w:rPr>
          <w:rFonts w:ascii="Arial" w:hAnsi="Arial" w:cs="Arial"/>
          <w:color w:val="343433"/>
          <w:sz w:val="21"/>
        </w:rPr>
      </w:pPr>
      <w:r w:rsidRPr="0040163B">
        <w:rPr>
          <w:rFonts w:ascii="Arial" w:hAnsi="Arial" w:cs="Arial"/>
          <w:color w:val="343433"/>
          <w:sz w:val="21"/>
        </w:rPr>
        <w:t>DEFINITIONS</w:t>
      </w:r>
    </w:p>
    <w:p w14:paraId="05719B78" w14:textId="6C45B662" w:rsidR="008C20D8" w:rsidRDefault="008C20D8" w:rsidP="000E5F02">
      <w:pPr>
        <w:autoSpaceDE w:val="0"/>
        <w:autoSpaceDN w:val="0"/>
        <w:spacing w:after="0"/>
        <w:ind w:right="-360" w:hanging="540"/>
        <w:rPr>
          <w:rFonts w:ascii="Arial" w:hAnsi="Arial" w:cs="Arial"/>
          <w:color w:val="343433"/>
          <w:sz w:val="21"/>
        </w:rPr>
      </w:pPr>
    </w:p>
    <w:tbl>
      <w:tblPr>
        <w:tblW w:w="10656" w:type="dxa"/>
        <w:tblInd w:w="-630" w:type="dxa"/>
        <w:tblLayout w:type="fixed"/>
        <w:tblCellMar>
          <w:left w:w="101" w:type="dxa"/>
          <w:right w:w="101" w:type="dxa"/>
        </w:tblCellMar>
        <w:tblLook w:val="04A0" w:firstRow="1" w:lastRow="0" w:firstColumn="1" w:lastColumn="0" w:noHBand="0" w:noVBand="1"/>
      </w:tblPr>
      <w:tblGrid>
        <w:gridCol w:w="1654"/>
        <w:gridCol w:w="1929"/>
        <w:gridCol w:w="3490"/>
        <w:gridCol w:w="3583"/>
      </w:tblGrid>
      <w:tr w:rsidR="008C20D8" w:rsidRPr="00567CF8" w14:paraId="78D2843B" w14:textId="77777777" w:rsidTr="002C32BB">
        <w:trPr>
          <w:trHeight w:val="264"/>
        </w:trPr>
        <w:tc>
          <w:tcPr>
            <w:tcW w:w="1654" w:type="dxa"/>
            <w:tcBorders>
              <w:top w:val="nil"/>
              <w:left w:val="nil"/>
              <w:bottom w:val="nil"/>
              <w:right w:val="nil"/>
            </w:tcBorders>
            <w:shd w:val="clear" w:color="auto" w:fill="auto"/>
            <w:noWrap/>
            <w:vAlign w:val="bottom"/>
            <w:hideMark/>
          </w:tcPr>
          <w:p w14:paraId="480F9592" w14:textId="77777777" w:rsidR="008C20D8" w:rsidRPr="00567CF8" w:rsidRDefault="008C20D8" w:rsidP="002C32BB">
            <w:pPr>
              <w:spacing w:after="0" w:line="240" w:lineRule="auto"/>
              <w:rPr>
                <w:rFonts w:ascii="Arial" w:hAnsi="Arial" w:cs="Arial"/>
                <w:b/>
                <w:bCs/>
                <w:color w:val="000000"/>
                <w:sz w:val="18"/>
                <w:szCs w:val="18"/>
              </w:rPr>
            </w:pPr>
            <w:bookmarkStart w:id="0" w:name="_Hlk52777023"/>
            <w:r w:rsidRPr="00567CF8">
              <w:rPr>
                <w:rFonts w:ascii="Arial" w:hAnsi="Arial" w:cs="Arial"/>
                <w:b/>
                <w:bCs/>
                <w:color w:val="000000"/>
                <w:sz w:val="18"/>
                <w:szCs w:val="18"/>
              </w:rPr>
              <w:t>Asset Class</w:t>
            </w:r>
          </w:p>
        </w:tc>
        <w:tc>
          <w:tcPr>
            <w:tcW w:w="1929" w:type="dxa"/>
            <w:tcBorders>
              <w:top w:val="nil"/>
              <w:left w:val="nil"/>
              <w:bottom w:val="nil"/>
              <w:right w:val="nil"/>
            </w:tcBorders>
            <w:shd w:val="clear" w:color="auto" w:fill="auto"/>
            <w:noWrap/>
            <w:vAlign w:val="bottom"/>
            <w:hideMark/>
          </w:tcPr>
          <w:p w14:paraId="18E9D8A9" w14:textId="77777777" w:rsidR="008C20D8" w:rsidRPr="00567CF8" w:rsidRDefault="008C20D8" w:rsidP="002C32BB">
            <w:pPr>
              <w:spacing w:after="0" w:line="240" w:lineRule="auto"/>
              <w:rPr>
                <w:rFonts w:ascii="Arial" w:hAnsi="Arial" w:cs="Arial"/>
                <w:b/>
                <w:bCs/>
                <w:color w:val="000000"/>
                <w:sz w:val="18"/>
                <w:szCs w:val="18"/>
              </w:rPr>
            </w:pPr>
            <w:r w:rsidRPr="00567CF8">
              <w:rPr>
                <w:rFonts w:ascii="Arial" w:hAnsi="Arial" w:cs="Arial"/>
                <w:b/>
                <w:bCs/>
                <w:color w:val="000000"/>
                <w:sz w:val="18"/>
                <w:szCs w:val="18"/>
              </w:rPr>
              <w:t>Index</w:t>
            </w:r>
          </w:p>
        </w:tc>
        <w:tc>
          <w:tcPr>
            <w:tcW w:w="7073" w:type="dxa"/>
            <w:gridSpan w:val="2"/>
            <w:tcBorders>
              <w:top w:val="nil"/>
              <w:left w:val="nil"/>
              <w:bottom w:val="nil"/>
              <w:right w:val="nil"/>
            </w:tcBorders>
            <w:shd w:val="clear" w:color="auto" w:fill="auto"/>
            <w:noWrap/>
            <w:vAlign w:val="bottom"/>
            <w:hideMark/>
          </w:tcPr>
          <w:p w14:paraId="5E297DF8" w14:textId="77777777" w:rsidR="008C20D8" w:rsidRPr="00567CF8" w:rsidRDefault="008C20D8" w:rsidP="002C32BB">
            <w:pPr>
              <w:spacing w:after="0" w:line="240" w:lineRule="auto"/>
              <w:rPr>
                <w:rFonts w:ascii="Arial" w:hAnsi="Arial" w:cs="Arial"/>
                <w:b/>
                <w:bCs/>
                <w:color w:val="000000"/>
                <w:sz w:val="18"/>
                <w:szCs w:val="18"/>
              </w:rPr>
            </w:pPr>
            <w:r w:rsidRPr="00567CF8">
              <w:rPr>
                <w:rFonts w:ascii="Arial" w:hAnsi="Arial" w:cs="Arial"/>
                <w:b/>
                <w:bCs/>
                <w:color w:val="000000"/>
                <w:sz w:val="18"/>
                <w:szCs w:val="18"/>
              </w:rPr>
              <w:t>Definition</w:t>
            </w:r>
          </w:p>
        </w:tc>
      </w:tr>
      <w:tr w:rsidR="008C20D8" w:rsidRPr="00567CF8" w14:paraId="7123EA5F" w14:textId="77777777" w:rsidTr="002C32BB">
        <w:trPr>
          <w:trHeight w:val="636"/>
        </w:trPr>
        <w:tc>
          <w:tcPr>
            <w:tcW w:w="1654" w:type="dxa"/>
            <w:tcBorders>
              <w:top w:val="nil"/>
              <w:left w:val="nil"/>
              <w:bottom w:val="nil"/>
              <w:right w:val="nil"/>
            </w:tcBorders>
            <w:shd w:val="clear" w:color="auto" w:fill="auto"/>
            <w:hideMark/>
          </w:tcPr>
          <w:p w14:paraId="3F27D647"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US Equity</w:t>
            </w:r>
          </w:p>
        </w:tc>
        <w:tc>
          <w:tcPr>
            <w:tcW w:w="1929" w:type="dxa"/>
            <w:tcBorders>
              <w:top w:val="nil"/>
              <w:left w:val="nil"/>
              <w:bottom w:val="nil"/>
              <w:right w:val="nil"/>
            </w:tcBorders>
            <w:shd w:val="clear" w:color="auto" w:fill="auto"/>
            <w:hideMark/>
          </w:tcPr>
          <w:p w14:paraId="76542B98"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S&amp;P 500</w:t>
            </w:r>
          </w:p>
        </w:tc>
        <w:tc>
          <w:tcPr>
            <w:tcW w:w="7073" w:type="dxa"/>
            <w:gridSpan w:val="2"/>
            <w:tcBorders>
              <w:top w:val="nil"/>
              <w:left w:val="nil"/>
              <w:bottom w:val="nil"/>
              <w:right w:val="nil"/>
            </w:tcBorders>
            <w:shd w:val="clear" w:color="auto" w:fill="auto"/>
            <w:hideMark/>
          </w:tcPr>
          <w:p w14:paraId="16196334" w14:textId="77777777" w:rsidR="008C20D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 xml:space="preserve">measures the performance of 500 leading companies in the U.S.  Constituents generally have a market-cap above $5 billion and represent approximately 80% of the investable market. </w:t>
            </w:r>
          </w:p>
          <w:p w14:paraId="66FF7477" w14:textId="77777777" w:rsidR="008C20D8" w:rsidRPr="00567CF8" w:rsidRDefault="008C20D8" w:rsidP="002C32BB">
            <w:pPr>
              <w:spacing w:after="0" w:line="240" w:lineRule="auto"/>
              <w:rPr>
                <w:rFonts w:ascii="Arial" w:hAnsi="Arial" w:cs="Arial"/>
                <w:color w:val="000000"/>
                <w:sz w:val="18"/>
                <w:szCs w:val="18"/>
              </w:rPr>
            </w:pPr>
          </w:p>
        </w:tc>
      </w:tr>
      <w:tr w:rsidR="008C20D8" w:rsidRPr="00567CF8" w14:paraId="6A4B2CC6" w14:textId="77777777" w:rsidTr="002C32BB">
        <w:trPr>
          <w:trHeight w:val="384"/>
        </w:trPr>
        <w:tc>
          <w:tcPr>
            <w:tcW w:w="1654" w:type="dxa"/>
            <w:tcBorders>
              <w:top w:val="nil"/>
              <w:left w:val="nil"/>
              <w:bottom w:val="nil"/>
              <w:right w:val="nil"/>
            </w:tcBorders>
            <w:shd w:val="clear" w:color="auto" w:fill="auto"/>
            <w:hideMark/>
          </w:tcPr>
          <w:p w14:paraId="09E322FF"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Global Equity</w:t>
            </w:r>
          </w:p>
        </w:tc>
        <w:tc>
          <w:tcPr>
            <w:tcW w:w="1929" w:type="dxa"/>
            <w:tcBorders>
              <w:top w:val="nil"/>
              <w:left w:val="nil"/>
              <w:bottom w:val="nil"/>
              <w:right w:val="nil"/>
            </w:tcBorders>
            <w:shd w:val="clear" w:color="auto" w:fill="auto"/>
            <w:hideMark/>
          </w:tcPr>
          <w:p w14:paraId="69C23413"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 xml:space="preserve">MSCI ACWI </w:t>
            </w:r>
          </w:p>
        </w:tc>
        <w:tc>
          <w:tcPr>
            <w:tcW w:w="7073" w:type="dxa"/>
            <w:gridSpan w:val="2"/>
            <w:tcBorders>
              <w:top w:val="nil"/>
              <w:left w:val="nil"/>
              <w:bottom w:val="nil"/>
              <w:right w:val="nil"/>
            </w:tcBorders>
            <w:shd w:val="clear" w:color="auto" w:fill="auto"/>
            <w:hideMark/>
          </w:tcPr>
          <w:p w14:paraId="5A54B9E2" w14:textId="77777777" w:rsidR="008C20D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 xml:space="preserve">measures large- and mid-cap equity performance of developed and emerging markets.  Represents approximately 85% of the global equity investment universe. </w:t>
            </w:r>
          </w:p>
          <w:p w14:paraId="7F6BEC0A" w14:textId="77777777" w:rsidR="008C20D8" w:rsidRPr="00567CF8" w:rsidRDefault="008C20D8" w:rsidP="002C32BB">
            <w:pPr>
              <w:spacing w:after="0" w:line="240" w:lineRule="auto"/>
              <w:rPr>
                <w:rFonts w:ascii="Arial" w:hAnsi="Arial" w:cs="Arial"/>
                <w:color w:val="000000"/>
                <w:sz w:val="18"/>
                <w:szCs w:val="18"/>
              </w:rPr>
            </w:pPr>
          </w:p>
        </w:tc>
      </w:tr>
      <w:tr w:rsidR="008C20D8" w:rsidRPr="00567CF8" w14:paraId="74E2C9A5" w14:textId="77777777" w:rsidTr="002C32BB">
        <w:trPr>
          <w:trHeight w:val="537"/>
        </w:trPr>
        <w:tc>
          <w:tcPr>
            <w:tcW w:w="1654" w:type="dxa"/>
            <w:tcBorders>
              <w:top w:val="nil"/>
              <w:left w:val="nil"/>
              <w:bottom w:val="nil"/>
              <w:right w:val="nil"/>
            </w:tcBorders>
            <w:shd w:val="clear" w:color="auto" w:fill="auto"/>
            <w:hideMark/>
          </w:tcPr>
          <w:p w14:paraId="61018C8F"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International Developed Equity</w:t>
            </w:r>
          </w:p>
        </w:tc>
        <w:tc>
          <w:tcPr>
            <w:tcW w:w="1929" w:type="dxa"/>
            <w:tcBorders>
              <w:top w:val="nil"/>
              <w:left w:val="nil"/>
              <w:bottom w:val="nil"/>
              <w:right w:val="nil"/>
            </w:tcBorders>
            <w:shd w:val="clear" w:color="auto" w:fill="auto"/>
            <w:hideMark/>
          </w:tcPr>
          <w:p w14:paraId="137A219E"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MSCI EAFE</w:t>
            </w:r>
          </w:p>
        </w:tc>
        <w:tc>
          <w:tcPr>
            <w:tcW w:w="7073" w:type="dxa"/>
            <w:gridSpan w:val="2"/>
            <w:tcBorders>
              <w:top w:val="nil"/>
              <w:left w:val="nil"/>
              <w:bottom w:val="nil"/>
              <w:right w:val="nil"/>
            </w:tcBorders>
            <w:shd w:val="clear" w:color="auto" w:fill="auto"/>
            <w:hideMark/>
          </w:tcPr>
          <w:p w14:paraId="4F6871CE"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measures the equity performance of countries considered to represent developed markets, excluding the U.S. and Canada.</w:t>
            </w:r>
          </w:p>
        </w:tc>
      </w:tr>
      <w:tr w:rsidR="008C20D8" w:rsidRPr="00567CF8" w14:paraId="67629128" w14:textId="77777777" w:rsidTr="002C32BB">
        <w:trPr>
          <w:trHeight w:val="546"/>
        </w:trPr>
        <w:tc>
          <w:tcPr>
            <w:tcW w:w="1654" w:type="dxa"/>
            <w:tcBorders>
              <w:top w:val="nil"/>
              <w:left w:val="nil"/>
              <w:bottom w:val="nil"/>
              <w:right w:val="nil"/>
            </w:tcBorders>
            <w:shd w:val="clear" w:color="auto" w:fill="auto"/>
            <w:hideMark/>
          </w:tcPr>
          <w:p w14:paraId="3B5EA8AA"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Emerging Markets (EM) Equity</w:t>
            </w:r>
          </w:p>
        </w:tc>
        <w:tc>
          <w:tcPr>
            <w:tcW w:w="1929" w:type="dxa"/>
            <w:tcBorders>
              <w:top w:val="nil"/>
              <w:left w:val="nil"/>
              <w:bottom w:val="nil"/>
              <w:right w:val="nil"/>
            </w:tcBorders>
            <w:shd w:val="clear" w:color="auto" w:fill="auto"/>
            <w:hideMark/>
          </w:tcPr>
          <w:p w14:paraId="397966FD" w14:textId="77777777" w:rsidR="008C20D8" w:rsidRPr="00567CF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MSCI Emerging Markets</w:t>
            </w:r>
          </w:p>
        </w:tc>
        <w:tc>
          <w:tcPr>
            <w:tcW w:w="7073" w:type="dxa"/>
            <w:gridSpan w:val="2"/>
            <w:tcBorders>
              <w:top w:val="nil"/>
              <w:left w:val="nil"/>
              <w:bottom w:val="nil"/>
              <w:right w:val="nil"/>
            </w:tcBorders>
            <w:shd w:val="clear" w:color="auto" w:fill="auto"/>
            <w:hideMark/>
          </w:tcPr>
          <w:p w14:paraId="0170BA9A" w14:textId="77777777" w:rsidR="008C20D8" w:rsidRDefault="008C20D8" w:rsidP="002C32BB">
            <w:pPr>
              <w:spacing w:after="0" w:line="240" w:lineRule="auto"/>
              <w:rPr>
                <w:rFonts w:ascii="Arial" w:hAnsi="Arial" w:cs="Arial"/>
                <w:color w:val="000000"/>
                <w:sz w:val="18"/>
                <w:szCs w:val="18"/>
              </w:rPr>
            </w:pPr>
            <w:r w:rsidRPr="00567CF8">
              <w:rPr>
                <w:rFonts w:ascii="Arial" w:hAnsi="Arial" w:cs="Arial"/>
                <w:color w:val="000000"/>
                <w:sz w:val="18"/>
                <w:szCs w:val="18"/>
              </w:rPr>
              <w:t xml:space="preserve">measures the equity market performance of countries considered to represent emerging markets. </w:t>
            </w:r>
          </w:p>
          <w:p w14:paraId="5CB34C62" w14:textId="77777777" w:rsidR="008C20D8" w:rsidRDefault="008C20D8" w:rsidP="002C32BB">
            <w:pPr>
              <w:spacing w:after="0" w:line="240" w:lineRule="auto"/>
              <w:rPr>
                <w:rFonts w:ascii="Arial" w:hAnsi="Arial" w:cs="Arial"/>
                <w:color w:val="000000"/>
                <w:sz w:val="18"/>
                <w:szCs w:val="18"/>
              </w:rPr>
            </w:pPr>
          </w:p>
          <w:p w14:paraId="65862C68" w14:textId="77777777" w:rsidR="008C20D8" w:rsidRPr="00567CF8" w:rsidRDefault="008C20D8" w:rsidP="002C32BB">
            <w:pPr>
              <w:spacing w:after="0" w:line="240" w:lineRule="auto"/>
              <w:rPr>
                <w:rFonts w:ascii="Arial" w:hAnsi="Arial" w:cs="Arial"/>
                <w:color w:val="000000"/>
                <w:sz w:val="18"/>
                <w:szCs w:val="18"/>
              </w:rPr>
            </w:pPr>
          </w:p>
        </w:tc>
      </w:tr>
      <w:tr w:rsidR="008C20D8" w:rsidRPr="00567CF8" w14:paraId="61FDAAEF" w14:textId="77777777" w:rsidTr="002C32BB">
        <w:trPr>
          <w:gridAfter w:val="1"/>
          <w:wAfter w:w="3583" w:type="dxa"/>
          <w:trHeight w:val="78"/>
        </w:trPr>
        <w:tc>
          <w:tcPr>
            <w:tcW w:w="7073" w:type="dxa"/>
            <w:gridSpan w:val="3"/>
            <w:tcBorders>
              <w:top w:val="nil"/>
              <w:left w:val="nil"/>
              <w:bottom w:val="nil"/>
              <w:right w:val="nil"/>
            </w:tcBorders>
            <w:shd w:val="clear" w:color="auto" w:fill="auto"/>
          </w:tcPr>
          <w:p w14:paraId="4B67A3A4" w14:textId="77777777" w:rsidR="008C20D8" w:rsidRPr="00567CF8" w:rsidRDefault="008C20D8" w:rsidP="002C32BB">
            <w:pPr>
              <w:spacing w:after="0" w:line="240" w:lineRule="auto"/>
              <w:rPr>
                <w:rFonts w:ascii="Arial" w:hAnsi="Arial" w:cs="Arial"/>
                <w:color w:val="000000"/>
                <w:sz w:val="18"/>
                <w:szCs w:val="18"/>
              </w:rPr>
            </w:pPr>
          </w:p>
        </w:tc>
      </w:tr>
      <w:tr w:rsidR="008C20D8" w:rsidRPr="00844036" w14:paraId="4065824F" w14:textId="77777777" w:rsidTr="002C32BB">
        <w:trPr>
          <w:trHeight w:val="1791"/>
        </w:trPr>
        <w:tc>
          <w:tcPr>
            <w:tcW w:w="10656" w:type="dxa"/>
            <w:gridSpan w:val="4"/>
            <w:tcBorders>
              <w:top w:val="nil"/>
              <w:left w:val="nil"/>
              <w:right w:val="nil"/>
            </w:tcBorders>
            <w:shd w:val="clear" w:color="auto" w:fill="auto"/>
          </w:tcPr>
          <w:tbl>
            <w:tblPr>
              <w:tblW w:w="10346" w:type="dxa"/>
              <w:tblLayout w:type="fixed"/>
              <w:tblLook w:val="04A0" w:firstRow="1" w:lastRow="0" w:firstColumn="1" w:lastColumn="0" w:noHBand="0" w:noVBand="1"/>
            </w:tblPr>
            <w:tblGrid>
              <w:gridCol w:w="1610"/>
              <w:gridCol w:w="1853"/>
              <w:gridCol w:w="6883"/>
            </w:tblGrid>
            <w:tr w:rsidR="008C20D8" w:rsidRPr="0078287C" w14:paraId="60667CEC" w14:textId="77777777" w:rsidTr="002E23C4">
              <w:trPr>
                <w:trHeight w:val="569"/>
              </w:trPr>
              <w:tc>
                <w:tcPr>
                  <w:tcW w:w="1610" w:type="dxa"/>
                  <w:tcBorders>
                    <w:top w:val="nil"/>
                    <w:left w:val="nil"/>
                    <w:bottom w:val="nil"/>
                    <w:right w:val="nil"/>
                  </w:tcBorders>
                  <w:shd w:val="clear" w:color="auto" w:fill="auto"/>
                </w:tcPr>
                <w:p w14:paraId="5B93834A" w14:textId="77777777" w:rsidR="008C20D8" w:rsidRPr="0078287C" w:rsidRDefault="008C20D8" w:rsidP="002C32BB">
                  <w:pPr>
                    <w:spacing w:after="0" w:line="240" w:lineRule="auto"/>
                    <w:rPr>
                      <w:rFonts w:ascii="Arial" w:hAnsi="Arial" w:cs="Arial"/>
                      <w:color w:val="000000"/>
                      <w:sz w:val="18"/>
                      <w:szCs w:val="18"/>
                    </w:rPr>
                  </w:pPr>
                  <w:r w:rsidRPr="0078287C">
                    <w:rPr>
                      <w:rFonts w:ascii="Arial" w:hAnsi="Arial" w:cs="Arial"/>
                      <w:color w:val="000000"/>
                      <w:sz w:val="18"/>
                      <w:szCs w:val="18"/>
                    </w:rPr>
                    <w:lastRenderedPageBreak/>
                    <w:t>Global Fixed Income</w:t>
                  </w:r>
                </w:p>
              </w:tc>
              <w:tc>
                <w:tcPr>
                  <w:tcW w:w="1853" w:type="dxa"/>
                  <w:tcBorders>
                    <w:top w:val="nil"/>
                    <w:left w:val="nil"/>
                    <w:bottom w:val="nil"/>
                    <w:right w:val="nil"/>
                  </w:tcBorders>
                  <w:shd w:val="clear" w:color="auto" w:fill="auto"/>
                </w:tcPr>
                <w:p w14:paraId="4520A060" w14:textId="77777777" w:rsidR="008C20D8" w:rsidRPr="0078287C" w:rsidRDefault="008C20D8" w:rsidP="002C32BB">
                  <w:pPr>
                    <w:spacing w:after="0" w:line="240" w:lineRule="auto"/>
                    <w:rPr>
                      <w:rFonts w:ascii="Arial" w:hAnsi="Arial" w:cs="Arial"/>
                      <w:color w:val="000000"/>
                      <w:sz w:val="18"/>
                      <w:szCs w:val="18"/>
                    </w:rPr>
                  </w:pPr>
                  <w:r w:rsidRPr="0078287C">
                    <w:rPr>
                      <w:rFonts w:ascii="Arial" w:hAnsi="Arial" w:cs="Arial"/>
                      <w:color w:val="000000"/>
                      <w:sz w:val="18"/>
                      <w:szCs w:val="18"/>
                    </w:rPr>
                    <w:t>Bloomberg Global Aggregate</w:t>
                  </w:r>
                </w:p>
              </w:tc>
              <w:tc>
                <w:tcPr>
                  <w:tcW w:w="6883" w:type="dxa"/>
                  <w:tcBorders>
                    <w:top w:val="nil"/>
                    <w:left w:val="nil"/>
                    <w:bottom w:val="nil"/>
                    <w:right w:val="nil"/>
                  </w:tcBorders>
                  <w:shd w:val="clear" w:color="auto" w:fill="auto"/>
                </w:tcPr>
                <w:p w14:paraId="0FB54B55" w14:textId="77777777" w:rsidR="008C20D8" w:rsidRPr="0078287C" w:rsidRDefault="008C20D8" w:rsidP="002C32BB">
                  <w:pPr>
                    <w:spacing w:after="0" w:line="240" w:lineRule="auto"/>
                    <w:rPr>
                      <w:rFonts w:ascii="Arial" w:hAnsi="Arial" w:cs="Arial"/>
                      <w:color w:val="000000"/>
                      <w:sz w:val="18"/>
                      <w:szCs w:val="18"/>
                    </w:rPr>
                  </w:pPr>
                  <w:r w:rsidRPr="0078287C">
                    <w:rPr>
                      <w:rFonts w:ascii="Arial" w:hAnsi="Arial" w:cs="Arial"/>
                      <w:color w:val="000000"/>
                      <w:sz w:val="18"/>
                      <w:szCs w:val="18"/>
                    </w:rPr>
                    <w:t xml:space="preserve">measures the performance of global, investment-grade debt from 24 local currency markets.  This benchmark includes treasury, government-related, </w:t>
                  </w:r>
                  <w:proofErr w:type="gramStart"/>
                  <w:r w:rsidRPr="0078287C">
                    <w:rPr>
                      <w:rFonts w:ascii="Arial" w:hAnsi="Arial" w:cs="Arial"/>
                      <w:color w:val="000000"/>
                      <w:sz w:val="18"/>
                      <w:szCs w:val="18"/>
                    </w:rPr>
                    <w:t>corporate</w:t>
                  </w:r>
                  <w:proofErr w:type="gramEnd"/>
                  <w:r w:rsidRPr="0078287C">
                    <w:rPr>
                      <w:rFonts w:ascii="Arial" w:hAnsi="Arial" w:cs="Arial"/>
                      <w:color w:val="000000"/>
                      <w:sz w:val="18"/>
                      <w:szCs w:val="18"/>
                    </w:rPr>
                    <w:t xml:space="preserve"> and securitized fixed-rate bonds from both developed and emerging markets issuers.</w:t>
                  </w:r>
                </w:p>
                <w:p w14:paraId="3917C828" w14:textId="77777777" w:rsidR="008C20D8" w:rsidRPr="0078287C" w:rsidRDefault="008C20D8" w:rsidP="002C32BB">
                  <w:pPr>
                    <w:spacing w:after="0" w:line="240" w:lineRule="auto"/>
                    <w:rPr>
                      <w:rFonts w:ascii="Arial" w:hAnsi="Arial" w:cs="Arial"/>
                      <w:color w:val="000000"/>
                      <w:sz w:val="18"/>
                      <w:szCs w:val="18"/>
                    </w:rPr>
                  </w:pPr>
                </w:p>
              </w:tc>
            </w:tr>
            <w:tr w:rsidR="008C20D8" w:rsidRPr="0078287C" w14:paraId="3FB88B55" w14:textId="77777777" w:rsidTr="002E23C4">
              <w:trPr>
                <w:trHeight w:val="698"/>
              </w:trPr>
              <w:tc>
                <w:tcPr>
                  <w:tcW w:w="1610" w:type="dxa"/>
                  <w:tcBorders>
                    <w:top w:val="nil"/>
                    <w:left w:val="nil"/>
                    <w:bottom w:val="nil"/>
                    <w:right w:val="nil"/>
                  </w:tcBorders>
                  <w:shd w:val="clear" w:color="auto" w:fill="auto"/>
                </w:tcPr>
                <w:p w14:paraId="56D35422" w14:textId="77777777" w:rsidR="008C20D8" w:rsidRPr="0078287C" w:rsidRDefault="008C20D8" w:rsidP="002C32BB">
                  <w:pPr>
                    <w:spacing w:after="0" w:line="240" w:lineRule="auto"/>
                    <w:rPr>
                      <w:rFonts w:ascii="Arial" w:hAnsi="Arial" w:cs="Arial"/>
                      <w:color w:val="000000"/>
                      <w:sz w:val="18"/>
                      <w:szCs w:val="18"/>
                    </w:rPr>
                  </w:pPr>
                  <w:r w:rsidRPr="0078287C">
                    <w:rPr>
                      <w:rFonts w:ascii="Arial" w:hAnsi="Arial" w:cs="Arial"/>
                      <w:color w:val="000000"/>
                      <w:sz w:val="18"/>
                      <w:szCs w:val="18"/>
                    </w:rPr>
                    <w:t>US Fixed Income</w:t>
                  </w:r>
                </w:p>
              </w:tc>
              <w:tc>
                <w:tcPr>
                  <w:tcW w:w="1853" w:type="dxa"/>
                  <w:tcBorders>
                    <w:top w:val="nil"/>
                    <w:left w:val="nil"/>
                    <w:bottom w:val="nil"/>
                    <w:right w:val="nil"/>
                  </w:tcBorders>
                  <w:shd w:val="clear" w:color="auto" w:fill="auto"/>
                </w:tcPr>
                <w:p w14:paraId="044F737F" w14:textId="77777777" w:rsidR="008C20D8" w:rsidRPr="0078287C" w:rsidRDefault="008C20D8" w:rsidP="002C32BB">
                  <w:pPr>
                    <w:spacing w:after="0" w:line="240" w:lineRule="auto"/>
                    <w:rPr>
                      <w:rFonts w:ascii="Arial" w:hAnsi="Arial" w:cs="Arial"/>
                      <w:color w:val="000000"/>
                      <w:sz w:val="18"/>
                      <w:szCs w:val="18"/>
                    </w:rPr>
                  </w:pPr>
                  <w:r w:rsidRPr="0078287C">
                    <w:rPr>
                      <w:rFonts w:ascii="Arial" w:hAnsi="Arial" w:cs="Arial"/>
                      <w:color w:val="000000"/>
                      <w:sz w:val="18"/>
                      <w:szCs w:val="18"/>
                    </w:rPr>
                    <w:t>Bloomberg US Aggregate</w:t>
                  </w:r>
                </w:p>
              </w:tc>
              <w:tc>
                <w:tcPr>
                  <w:tcW w:w="6883" w:type="dxa"/>
                  <w:tcBorders>
                    <w:top w:val="nil"/>
                    <w:left w:val="nil"/>
                    <w:bottom w:val="nil"/>
                    <w:right w:val="nil"/>
                  </w:tcBorders>
                  <w:shd w:val="clear" w:color="auto" w:fill="auto"/>
                </w:tcPr>
                <w:p w14:paraId="770E8C20" w14:textId="77777777" w:rsidR="008C20D8" w:rsidRPr="0078287C" w:rsidRDefault="008C20D8" w:rsidP="002C32BB">
                  <w:pPr>
                    <w:spacing w:after="0" w:line="240" w:lineRule="auto"/>
                    <w:rPr>
                      <w:rFonts w:ascii="Arial" w:hAnsi="Arial" w:cs="Arial"/>
                      <w:color w:val="000000"/>
                      <w:sz w:val="18"/>
                      <w:szCs w:val="18"/>
                    </w:rPr>
                  </w:pPr>
                  <w:r w:rsidRPr="0078287C">
                    <w:rPr>
                      <w:rFonts w:ascii="Arial" w:hAnsi="Arial" w:cs="Arial"/>
                      <w:color w:val="000000"/>
                      <w:sz w:val="18"/>
                      <w:szCs w:val="18"/>
                    </w:rPr>
                    <w:t>measures the performance of USD-denominated, investment-grade, fixed-rate taxable bond market of SEC-registered securities.  The index includes Treasury bonds, Government-related Corporate, MBS (agency fixed-rate and hybrid ARM pass-throughs), ABS and CMBS sectors.</w:t>
                  </w:r>
                </w:p>
                <w:p w14:paraId="0422A249" w14:textId="77777777" w:rsidR="008C20D8" w:rsidRPr="0078287C" w:rsidRDefault="008C20D8" w:rsidP="002C32BB">
                  <w:pPr>
                    <w:spacing w:after="0" w:line="240" w:lineRule="auto"/>
                    <w:rPr>
                      <w:rFonts w:ascii="Arial" w:hAnsi="Arial" w:cs="Arial"/>
                      <w:color w:val="000000"/>
                      <w:sz w:val="18"/>
                      <w:szCs w:val="18"/>
                      <w:highlight w:val="yellow"/>
                    </w:rPr>
                  </w:pPr>
                </w:p>
              </w:tc>
            </w:tr>
            <w:tr w:rsidR="008C20D8" w:rsidRPr="0078287C" w14:paraId="111C636E" w14:textId="77777777" w:rsidTr="002E23C4">
              <w:trPr>
                <w:trHeight w:val="698"/>
              </w:trPr>
              <w:tc>
                <w:tcPr>
                  <w:tcW w:w="1610" w:type="dxa"/>
                  <w:tcBorders>
                    <w:top w:val="nil"/>
                    <w:left w:val="nil"/>
                    <w:bottom w:val="nil"/>
                    <w:right w:val="nil"/>
                  </w:tcBorders>
                  <w:shd w:val="clear" w:color="auto" w:fill="auto"/>
                </w:tcPr>
                <w:p w14:paraId="25C61A4A" w14:textId="77777777" w:rsidR="008C20D8" w:rsidRPr="0078287C" w:rsidRDefault="008C20D8" w:rsidP="002C32BB">
                  <w:pPr>
                    <w:spacing w:after="0" w:line="240" w:lineRule="auto"/>
                    <w:rPr>
                      <w:rFonts w:ascii="Arial" w:hAnsi="Arial" w:cs="Arial"/>
                      <w:color w:val="000000"/>
                      <w:sz w:val="18"/>
                      <w:szCs w:val="18"/>
                    </w:rPr>
                  </w:pPr>
                  <w:r w:rsidRPr="0078287C">
                    <w:rPr>
                      <w:rFonts w:ascii="Arial" w:hAnsi="Arial" w:cs="Arial"/>
                      <w:color w:val="000000"/>
                      <w:sz w:val="18"/>
                      <w:szCs w:val="18"/>
                    </w:rPr>
                    <w:t>US Long Treasuries</w:t>
                  </w:r>
                </w:p>
              </w:tc>
              <w:tc>
                <w:tcPr>
                  <w:tcW w:w="1853" w:type="dxa"/>
                  <w:tcBorders>
                    <w:top w:val="nil"/>
                    <w:left w:val="nil"/>
                    <w:bottom w:val="nil"/>
                    <w:right w:val="nil"/>
                  </w:tcBorders>
                  <w:shd w:val="clear" w:color="auto" w:fill="auto"/>
                </w:tcPr>
                <w:p w14:paraId="3BEB5DA1" w14:textId="77777777" w:rsidR="008C20D8" w:rsidRPr="0078287C" w:rsidRDefault="008C20D8" w:rsidP="002C32BB">
                  <w:pPr>
                    <w:spacing w:after="0" w:line="240" w:lineRule="auto"/>
                    <w:rPr>
                      <w:rFonts w:ascii="Arial" w:hAnsi="Arial" w:cs="Arial"/>
                      <w:color w:val="000000"/>
                      <w:sz w:val="18"/>
                      <w:szCs w:val="18"/>
                    </w:rPr>
                  </w:pPr>
                  <w:r w:rsidRPr="0078287C">
                    <w:rPr>
                      <w:rFonts w:ascii="Arial" w:hAnsi="Arial" w:cs="Arial"/>
                      <w:color w:val="000000"/>
                      <w:sz w:val="18"/>
                      <w:szCs w:val="18"/>
                    </w:rPr>
                    <w:t>Bloomberg US Treasury Long</w:t>
                  </w:r>
                </w:p>
              </w:tc>
              <w:tc>
                <w:tcPr>
                  <w:tcW w:w="6883" w:type="dxa"/>
                  <w:tcBorders>
                    <w:top w:val="nil"/>
                    <w:left w:val="nil"/>
                    <w:bottom w:val="nil"/>
                    <w:right w:val="nil"/>
                  </w:tcBorders>
                  <w:shd w:val="clear" w:color="auto" w:fill="auto"/>
                </w:tcPr>
                <w:p w14:paraId="4F73ADAC" w14:textId="77777777" w:rsidR="008C20D8" w:rsidRPr="0078287C" w:rsidRDefault="008C20D8" w:rsidP="002C32BB">
                  <w:pPr>
                    <w:spacing w:after="0" w:line="240" w:lineRule="auto"/>
                    <w:rPr>
                      <w:rFonts w:ascii="Arial" w:hAnsi="Arial" w:cs="Arial"/>
                      <w:color w:val="000000"/>
                      <w:sz w:val="18"/>
                      <w:szCs w:val="18"/>
                    </w:rPr>
                  </w:pPr>
                  <w:r w:rsidRPr="0078287C">
                    <w:rPr>
                      <w:rFonts w:ascii="Arial" w:hAnsi="Arial" w:cs="Arial"/>
                      <w:color w:val="000000"/>
                      <w:sz w:val="18"/>
                      <w:szCs w:val="18"/>
                    </w:rPr>
                    <w:t>measures the performance of long-term US Treasury bonds, including all publicly issued securities that have a remaining maturity of ten or more years, are: non-convertible, denominated in US dollars, rated investment-grade, fixed-rate and have $250 or more of outstanding face value.</w:t>
                  </w:r>
                </w:p>
                <w:p w14:paraId="23DA8491" w14:textId="77777777" w:rsidR="008C20D8" w:rsidRPr="0078287C" w:rsidRDefault="008C20D8" w:rsidP="002C32BB">
                  <w:pPr>
                    <w:spacing w:after="0" w:line="240" w:lineRule="auto"/>
                    <w:rPr>
                      <w:rFonts w:ascii="Arial" w:hAnsi="Arial" w:cs="Arial"/>
                      <w:color w:val="000000"/>
                      <w:sz w:val="18"/>
                      <w:szCs w:val="18"/>
                      <w:highlight w:val="yellow"/>
                    </w:rPr>
                  </w:pPr>
                </w:p>
              </w:tc>
            </w:tr>
            <w:tr w:rsidR="00A9647D" w:rsidRPr="0078287C" w14:paraId="750C6ECF" w14:textId="18AFD929" w:rsidTr="002E23C4">
              <w:trPr>
                <w:trHeight w:val="698"/>
              </w:trPr>
              <w:tc>
                <w:tcPr>
                  <w:tcW w:w="1610" w:type="dxa"/>
                  <w:tcBorders>
                    <w:top w:val="nil"/>
                    <w:left w:val="nil"/>
                    <w:bottom w:val="nil"/>
                    <w:right w:val="nil"/>
                  </w:tcBorders>
                  <w:shd w:val="clear" w:color="auto" w:fill="auto"/>
                </w:tcPr>
                <w:p w14:paraId="091F21A5" w14:textId="080823F5" w:rsidR="00A9647D" w:rsidRPr="0078287C" w:rsidRDefault="00A9647D" w:rsidP="00A9647D">
                  <w:pPr>
                    <w:spacing w:after="0" w:line="240" w:lineRule="auto"/>
                    <w:rPr>
                      <w:rFonts w:ascii="Arial" w:hAnsi="Arial" w:cs="Arial"/>
                      <w:color w:val="000000"/>
                      <w:sz w:val="18"/>
                      <w:szCs w:val="18"/>
                    </w:rPr>
                  </w:pPr>
                  <w:r w:rsidRPr="0078287C">
                    <w:rPr>
                      <w:rFonts w:ascii="Arial" w:hAnsi="Arial" w:cs="Arial"/>
                      <w:sz w:val="18"/>
                      <w:szCs w:val="18"/>
                    </w:rPr>
                    <w:t>US Municipal</w:t>
                  </w:r>
                </w:p>
              </w:tc>
              <w:tc>
                <w:tcPr>
                  <w:tcW w:w="1853" w:type="dxa"/>
                  <w:tcBorders>
                    <w:top w:val="nil"/>
                    <w:left w:val="nil"/>
                    <w:bottom w:val="nil"/>
                    <w:right w:val="nil"/>
                  </w:tcBorders>
                  <w:shd w:val="clear" w:color="auto" w:fill="auto"/>
                </w:tcPr>
                <w:p w14:paraId="0A5A70A4" w14:textId="5EC5D93F" w:rsidR="00A9647D" w:rsidRPr="0078287C" w:rsidRDefault="00A9647D" w:rsidP="00A9647D">
                  <w:pPr>
                    <w:spacing w:after="0" w:line="240" w:lineRule="auto"/>
                    <w:rPr>
                      <w:rFonts w:ascii="Arial" w:hAnsi="Arial" w:cs="Arial"/>
                      <w:color w:val="000000"/>
                      <w:sz w:val="18"/>
                      <w:szCs w:val="18"/>
                    </w:rPr>
                  </w:pPr>
                  <w:r w:rsidRPr="0078287C">
                    <w:rPr>
                      <w:rFonts w:ascii="Arial" w:hAnsi="Arial" w:cs="Arial"/>
                      <w:sz w:val="18"/>
                      <w:szCs w:val="18"/>
                    </w:rPr>
                    <w:t xml:space="preserve">Bloomberg US Municipal </w:t>
                  </w:r>
                </w:p>
              </w:tc>
              <w:tc>
                <w:tcPr>
                  <w:tcW w:w="6883" w:type="dxa"/>
                  <w:tcBorders>
                    <w:top w:val="nil"/>
                    <w:left w:val="nil"/>
                    <w:bottom w:val="nil"/>
                    <w:right w:val="nil"/>
                  </w:tcBorders>
                  <w:shd w:val="clear" w:color="auto" w:fill="auto"/>
                </w:tcPr>
                <w:p w14:paraId="4A9FF1CF" w14:textId="6CAF35CD" w:rsidR="00A9647D" w:rsidRPr="0078287C" w:rsidRDefault="00A9647D" w:rsidP="00A9647D">
                  <w:pPr>
                    <w:spacing w:after="0" w:line="240" w:lineRule="auto"/>
                    <w:rPr>
                      <w:rFonts w:ascii="Arial" w:hAnsi="Arial" w:cs="Arial"/>
                      <w:color w:val="000000"/>
                      <w:sz w:val="18"/>
                      <w:szCs w:val="18"/>
                    </w:rPr>
                  </w:pPr>
                  <w:r w:rsidRPr="0078287C">
                    <w:rPr>
                      <w:rFonts w:ascii="Arial" w:hAnsi="Arial" w:cs="Arial"/>
                      <w:sz w:val="18"/>
                      <w:szCs w:val="18"/>
                    </w:rPr>
                    <w:t>measures the performance of the USD-denominated long-term tax-exempt bond market.  The index has four main sectors:  state and local general obligation bonds, revenue bonds, insured bonds, and pre-refunded bonds.</w:t>
                  </w:r>
                </w:p>
              </w:tc>
            </w:tr>
            <w:tr w:rsidR="008C20D8" w:rsidRPr="0078287C" w14:paraId="109738A9" w14:textId="77777777" w:rsidTr="002E23C4">
              <w:trPr>
                <w:trHeight w:val="698"/>
              </w:trPr>
              <w:tc>
                <w:tcPr>
                  <w:tcW w:w="1610" w:type="dxa"/>
                  <w:tcBorders>
                    <w:top w:val="nil"/>
                    <w:left w:val="nil"/>
                    <w:bottom w:val="nil"/>
                    <w:right w:val="nil"/>
                  </w:tcBorders>
                  <w:shd w:val="clear" w:color="auto" w:fill="auto"/>
                </w:tcPr>
                <w:p w14:paraId="7903E884" w14:textId="77777777" w:rsidR="008C20D8" w:rsidRPr="0078287C" w:rsidRDefault="008C20D8" w:rsidP="002C32BB">
                  <w:pPr>
                    <w:spacing w:after="0" w:line="240" w:lineRule="auto"/>
                    <w:rPr>
                      <w:rFonts w:ascii="Arial" w:hAnsi="Arial" w:cs="Arial"/>
                      <w:color w:val="000000"/>
                      <w:sz w:val="18"/>
                      <w:szCs w:val="18"/>
                    </w:rPr>
                  </w:pPr>
                </w:p>
                <w:p w14:paraId="25FC10C2" w14:textId="77777777" w:rsidR="008C20D8" w:rsidRPr="0078287C" w:rsidRDefault="008C20D8" w:rsidP="002C32BB">
                  <w:pPr>
                    <w:spacing w:after="0" w:line="240" w:lineRule="auto"/>
                    <w:rPr>
                      <w:rFonts w:ascii="Arial" w:hAnsi="Arial" w:cs="Arial"/>
                      <w:color w:val="000000"/>
                      <w:sz w:val="18"/>
                      <w:szCs w:val="18"/>
                    </w:rPr>
                  </w:pPr>
                  <w:r w:rsidRPr="0078287C">
                    <w:rPr>
                      <w:rFonts w:ascii="Arial" w:hAnsi="Arial" w:cs="Arial"/>
                      <w:color w:val="000000"/>
                      <w:sz w:val="18"/>
                      <w:szCs w:val="18"/>
                    </w:rPr>
                    <w:t>Emerging Markets Fixed Income</w:t>
                  </w:r>
                </w:p>
              </w:tc>
              <w:tc>
                <w:tcPr>
                  <w:tcW w:w="1853" w:type="dxa"/>
                  <w:tcBorders>
                    <w:top w:val="nil"/>
                    <w:left w:val="nil"/>
                    <w:bottom w:val="nil"/>
                    <w:right w:val="nil"/>
                  </w:tcBorders>
                  <w:shd w:val="clear" w:color="auto" w:fill="auto"/>
                </w:tcPr>
                <w:p w14:paraId="521B9F3E" w14:textId="77777777" w:rsidR="008C20D8" w:rsidRPr="0078287C" w:rsidRDefault="008C20D8" w:rsidP="002C32BB">
                  <w:pPr>
                    <w:spacing w:after="0" w:line="240" w:lineRule="auto"/>
                    <w:rPr>
                      <w:rFonts w:ascii="Arial" w:hAnsi="Arial" w:cs="Arial"/>
                      <w:color w:val="000000"/>
                      <w:sz w:val="18"/>
                      <w:szCs w:val="18"/>
                    </w:rPr>
                  </w:pPr>
                </w:p>
                <w:p w14:paraId="08B8F348" w14:textId="77777777" w:rsidR="008C20D8" w:rsidRPr="0078287C" w:rsidRDefault="008C20D8" w:rsidP="002C32BB">
                  <w:pPr>
                    <w:spacing w:after="0" w:line="240" w:lineRule="auto"/>
                    <w:rPr>
                      <w:rFonts w:ascii="Arial" w:hAnsi="Arial" w:cs="Arial"/>
                      <w:color w:val="000000"/>
                      <w:sz w:val="18"/>
                      <w:szCs w:val="18"/>
                    </w:rPr>
                  </w:pPr>
                  <w:r w:rsidRPr="0078287C">
                    <w:rPr>
                      <w:rFonts w:ascii="Arial" w:hAnsi="Arial" w:cs="Arial"/>
                      <w:color w:val="000000"/>
                      <w:sz w:val="18"/>
                      <w:szCs w:val="18"/>
                    </w:rPr>
                    <w:t>Bloomberg Emerging Markets USD Aggregate</w:t>
                  </w:r>
                </w:p>
              </w:tc>
              <w:tc>
                <w:tcPr>
                  <w:tcW w:w="6883" w:type="dxa"/>
                  <w:tcBorders>
                    <w:top w:val="nil"/>
                    <w:left w:val="nil"/>
                    <w:bottom w:val="nil"/>
                    <w:right w:val="nil"/>
                  </w:tcBorders>
                  <w:shd w:val="clear" w:color="auto" w:fill="auto"/>
                </w:tcPr>
                <w:p w14:paraId="3A59B7E5" w14:textId="77777777" w:rsidR="008C20D8" w:rsidRPr="0078287C" w:rsidRDefault="008C20D8" w:rsidP="002C32BB">
                  <w:pPr>
                    <w:spacing w:after="0" w:line="240" w:lineRule="auto"/>
                    <w:rPr>
                      <w:rFonts w:ascii="Arial" w:hAnsi="Arial" w:cs="Arial"/>
                      <w:color w:val="000000"/>
                      <w:sz w:val="18"/>
                      <w:szCs w:val="18"/>
                    </w:rPr>
                  </w:pPr>
                </w:p>
                <w:p w14:paraId="1EF0A283" w14:textId="77777777" w:rsidR="008C20D8" w:rsidRPr="0078287C" w:rsidRDefault="008C20D8" w:rsidP="002C32BB">
                  <w:pPr>
                    <w:spacing w:after="0" w:line="240" w:lineRule="auto"/>
                    <w:rPr>
                      <w:rFonts w:ascii="Arial" w:hAnsi="Arial" w:cs="Arial"/>
                      <w:color w:val="000000"/>
                      <w:sz w:val="18"/>
                      <w:szCs w:val="18"/>
                    </w:rPr>
                  </w:pPr>
                  <w:r w:rsidRPr="0078287C">
                    <w:rPr>
                      <w:rFonts w:ascii="Arial" w:hAnsi="Arial" w:cs="Arial"/>
                      <w:color w:val="000000"/>
                      <w:sz w:val="18"/>
                      <w:szCs w:val="18"/>
                    </w:rPr>
                    <w:t xml:space="preserve">measures the performance of hard-currency emerging markets debt including fixed and floating-rate USD-denominated debt issued from sovereign, quasi-sovereign, and corporate emerging markets debt.  </w:t>
                  </w:r>
                </w:p>
              </w:tc>
            </w:tr>
            <w:tr w:rsidR="008C20D8" w:rsidRPr="0078287C" w14:paraId="45A298AC" w14:textId="77777777" w:rsidTr="002E23C4">
              <w:trPr>
                <w:trHeight w:val="698"/>
              </w:trPr>
              <w:tc>
                <w:tcPr>
                  <w:tcW w:w="1610" w:type="dxa"/>
                  <w:tcBorders>
                    <w:top w:val="nil"/>
                    <w:left w:val="nil"/>
                    <w:bottom w:val="nil"/>
                    <w:right w:val="nil"/>
                  </w:tcBorders>
                  <w:shd w:val="clear" w:color="auto" w:fill="auto"/>
                </w:tcPr>
                <w:p w14:paraId="1465604C" w14:textId="77777777" w:rsidR="008C20D8" w:rsidRPr="0078287C" w:rsidRDefault="008C20D8" w:rsidP="002C32BB">
                  <w:pPr>
                    <w:spacing w:after="0" w:line="240" w:lineRule="auto"/>
                    <w:rPr>
                      <w:rFonts w:ascii="Arial" w:hAnsi="Arial" w:cs="Arial"/>
                      <w:color w:val="000000"/>
                      <w:sz w:val="18"/>
                      <w:szCs w:val="18"/>
                    </w:rPr>
                  </w:pPr>
                </w:p>
                <w:p w14:paraId="102C003B" w14:textId="77777777" w:rsidR="008C20D8" w:rsidRPr="0078287C" w:rsidRDefault="008C20D8" w:rsidP="002C32BB">
                  <w:pPr>
                    <w:spacing w:after="0" w:line="240" w:lineRule="auto"/>
                    <w:rPr>
                      <w:rFonts w:ascii="Arial" w:hAnsi="Arial" w:cs="Arial"/>
                      <w:color w:val="000000"/>
                      <w:sz w:val="18"/>
                      <w:szCs w:val="18"/>
                    </w:rPr>
                  </w:pPr>
                  <w:r w:rsidRPr="0078287C">
                    <w:rPr>
                      <w:rFonts w:ascii="Arial" w:hAnsi="Arial" w:cs="Arial"/>
                      <w:color w:val="000000"/>
                      <w:sz w:val="18"/>
                      <w:szCs w:val="18"/>
                    </w:rPr>
                    <w:t>International Fixed Income</w:t>
                  </w:r>
                </w:p>
              </w:tc>
              <w:tc>
                <w:tcPr>
                  <w:tcW w:w="1853" w:type="dxa"/>
                  <w:tcBorders>
                    <w:top w:val="nil"/>
                    <w:left w:val="nil"/>
                    <w:bottom w:val="nil"/>
                    <w:right w:val="nil"/>
                  </w:tcBorders>
                  <w:shd w:val="clear" w:color="auto" w:fill="auto"/>
                </w:tcPr>
                <w:p w14:paraId="031188E4" w14:textId="77777777" w:rsidR="008C20D8" w:rsidRPr="0078287C" w:rsidRDefault="008C20D8" w:rsidP="002C32BB">
                  <w:pPr>
                    <w:spacing w:after="0" w:line="240" w:lineRule="auto"/>
                    <w:rPr>
                      <w:rFonts w:ascii="Arial" w:hAnsi="Arial" w:cs="Arial"/>
                      <w:color w:val="000000"/>
                      <w:sz w:val="18"/>
                      <w:szCs w:val="18"/>
                    </w:rPr>
                  </w:pPr>
                </w:p>
                <w:p w14:paraId="52BD41CF" w14:textId="77777777" w:rsidR="008C20D8" w:rsidRPr="0078287C" w:rsidRDefault="008C20D8" w:rsidP="002C32BB">
                  <w:pPr>
                    <w:spacing w:after="0" w:line="240" w:lineRule="auto"/>
                    <w:rPr>
                      <w:rFonts w:ascii="Arial" w:hAnsi="Arial" w:cs="Arial"/>
                      <w:color w:val="000000"/>
                      <w:sz w:val="18"/>
                      <w:szCs w:val="18"/>
                    </w:rPr>
                  </w:pPr>
                  <w:r w:rsidRPr="0078287C">
                    <w:rPr>
                      <w:rFonts w:ascii="Arial" w:hAnsi="Arial" w:cs="Arial"/>
                      <w:color w:val="000000"/>
                      <w:sz w:val="18"/>
                      <w:szCs w:val="18"/>
                    </w:rPr>
                    <w:t>Bloomberg Global Aggregate ex-USD</w:t>
                  </w:r>
                </w:p>
              </w:tc>
              <w:tc>
                <w:tcPr>
                  <w:tcW w:w="6883" w:type="dxa"/>
                  <w:tcBorders>
                    <w:top w:val="nil"/>
                    <w:left w:val="nil"/>
                    <w:bottom w:val="nil"/>
                    <w:right w:val="nil"/>
                  </w:tcBorders>
                  <w:shd w:val="clear" w:color="auto" w:fill="auto"/>
                </w:tcPr>
                <w:p w14:paraId="419277C5" w14:textId="77777777" w:rsidR="008C20D8" w:rsidRPr="0078287C" w:rsidRDefault="008C20D8" w:rsidP="002C32BB">
                  <w:pPr>
                    <w:spacing w:after="0" w:line="240" w:lineRule="auto"/>
                    <w:rPr>
                      <w:rFonts w:ascii="Arial" w:hAnsi="Arial" w:cs="Arial"/>
                      <w:color w:val="000000"/>
                      <w:sz w:val="18"/>
                      <w:szCs w:val="18"/>
                    </w:rPr>
                  </w:pPr>
                </w:p>
                <w:p w14:paraId="2B099BAE" w14:textId="77777777" w:rsidR="008C20D8" w:rsidRPr="0078287C" w:rsidRDefault="008C20D8" w:rsidP="002C32BB">
                  <w:pPr>
                    <w:spacing w:after="0" w:line="240" w:lineRule="auto"/>
                    <w:rPr>
                      <w:rFonts w:ascii="Arial" w:hAnsi="Arial" w:cs="Arial"/>
                      <w:color w:val="000000"/>
                      <w:sz w:val="18"/>
                      <w:szCs w:val="18"/>
                    </w:rPr>
                  </w:pPr>
                  <w:r w:rsidRPr="0078287C">
                    <w:rPr>
                      <w:rFonts w:ascii="Arial" w:hAnsi="Arial" w:cs="Arial"/>
                      <w:color w:val="000000"/>
                      <w:sz w:val="18"/>
                      <w:szCs w:val="18"/>
                    </w:rPr>
                    <w:t xml:space="preserve">measures the performance of investment-grade debt from 24 local currency markets.  This multi-currency index includes treasury, government-related, </w:t>
                  </w:r>
                  <w:proofErr w:type="gramStart"/>
                  <w:r w:rsidRPr="0078287C">
                    <w:rPr>
                      <w:rFonts w:ascii="Arial" w:hAnsi="Arial" w:cs="Arial"/>
                      <w:color w:val="000000"/>
                      <w:sz w:val="18"/>
                      <w:szCs w:val="18"/>
                    </w:rPr>
                    <w:t>corporate</w:t>
                  </w:r>
                  <w:proofErr w:type="gramEnd"/>
                  <w:r w:rsidRPr="0078287C">
                    <w:rPr>
                      <w:rFonts w:ascii="Arial" w:hAnsi="Arial" w:cs="Arial"/>
                      <w:color w:val="000000"/>
                      <w:sz w:val="18"/>
                      <w:szCs w:val="18"/>
                    </w:rPr>
                    <w:t xml:space="preserve"> and securitized fixed-rate bonds from both developed and emerging markets issuers.  It excludes bonds issued in USD.</w:t>
                  </w:r>
                </w:p>
                <w:p w14:paraId="2AA63742" w14:textId="77777777" w:rsidR="008C20D8" w:rsidRPr="0078287C" w:rsidRDefault="008C20D8" w:rsidP="002C32BB">
                  <w:pPr>
                    <w:spacing w:after="0" w:line="240" w:lineRule="auto"/>
                    <w:rPr>
                      <w:rFonts w:ascii="Arial" w:hAnsi="Arial" w:cs="Arial"/>
                      <w:color w:val="000000"/>
                      <w:sz w:val="18"/>
                      <w:szCs w:val="18"/>
                    </w:rPr>
                  </w:pPr>
                </w:p>
              </w:tc>
            </w:tr>
            <w:tr w:rsidR="0078287C" w:rsidRPr="0078287C" w14:paraId="7DB5A235" w14:textId="77777777" w:rsidTr="002E23C4">
              <w:trPr>
                <w:trHeight w:val="698"/>
              </w:trPr>
              <w:tc>
                <w:tcPr>
                  <w:tcW w:w="1610" w:type="dxa"/>
                  <w:tcBorders>
                    <w:top w:val="nil"/>
                    <w:left w:val="nil"/>
                    <w:bottom w:val="nil"/>
                    <w:right w:val="nil"/>
                  </w:tcBorders>
                  <w:shd w:val="clear" w:color="auto" w:fill="auto"/>
                </w:tcPr>
                <w:p w14:paraId="6C1EB8B1" w14:textId="6FEADF9D" w:rsidR="0078287C" w:rsidRPr="0078287C" w:rsidRDefault="0078287C" w:rsidP="0078287C">
                  <w:pPr>
                    <w:spacing w:after="0" w:line="240" w:lineRule="auto"/>
                    <w:rPr>
                      <w:rFonts w:ascii="Arial" w:hAnsi="Arial" w:cs="Arial"/>
                      <w:color w:val="000000"/>
                      <w:sz w:val="18"/>
                      <w:szCs w:val="18"/>
                      <w:highlight w:val="yellow"/>
                    </w:rPr>
                  </w:pPr>
                  <w:r w:rsidRPr="0078287C">
                    <w:rPr>
                      <w:rFonts w:ascii="Arial" w:hAnsi="Arial" w:cs="Arial"/>
                      <w:sz w:val="18"/>
                      <w:szCs w:val="18"/>
                    </w:rPr>
                    <w:t>China</w:t>
                  </w:r>
                </w:p>
              </w:tc>
              <w:tc>
                <w:tcPr>
                  <w:tcW w:w="1853" w:type="dxa"/>
                  <w:tcBorders>
                    <w:top w:val="nil"/>
                    <w:left w:val="nil"/>
                    <w:bottom w:val="nil"/>
                    <w:right w:val="nil"/>
                  </w:tcBorders>
                  <w:shd w:val="clear" w:color="auto" w:fill="auto"/>
                </w:tcPr>
                <w:p w14:paraId="71A05F06" w14:textId="0601AAEB" w:rsidR="0078287C" w:rsidRPr="0078287C" w:rsidRDefault="0078287C" w:rsidP="0078287C">
                  <w:pPr>
                    <w:spacing w:after="0" w:line="240" w:lineRule="auto"/>
                    <w:rPr>
                      <w:rFonts w:ascii="Arial" w:hAnsi="Arial" w:cs="Arial"/>
                      <w:color w:val="000000"/>
                      <w:sz w:val="18"/>
                      <w:szCs w:val="18"/>
                      <w:highlight w:val="yellow"/>
                    </w:rPr>
                  </w:pPr>
                  <w:r w:rsidRPr="0078287C">
                    <w:rPr>
                      <w:rFonts w:ascii="Arial" w:hAnsi="Arial" w:cs="Arial"/>
                      <w:sz w:val="18"/>
                      <w:szCs w:val="18"/>
                    </w:rPr>
                    <w:t>MSCI China</w:t>
                  </w:r>
                </w:p>
              </w:tc>
              <w:tc>
                <w:tcPr>
                  <w:tcW w:w="6883" w:type="dxa"/>
                  <w:tcBorders>
                    <w:top w:val="nil"/>
                    <w:left w:val="nil"/>
                    <w:bottom w:val="nil"/>
                    <w:right w:val="nil"/>
                  </w:tcBorders>
                  <w:shd w:val="clear" w:color="auto" w:fill="auto"/>
                </w:tcPr>
                <w:p w14:paraId="306A6BC8" w14:textId="628BD6B2" w:rsidR="0078287C" w:rsidRPr="0078287C" w:rsidRDefault="0078287C" w:rsidP="0078287C">
                  <w:pPr>
                    <w:spacing w:after="0" w:line="240" w:lineRule="auto"/>
                    <w:rPr>
                      <w:rFonts w:ascii="Arial" w:hAnsi="Arial" w:cs="Arial"/>
                      <w:sz w:val="18"/>
                      <w:szCs w:val="18"/>
                    </w:rPr>
                  </w:pPr>
                  <w:r w:rsidRPr="0078287C">
                    <w:rPr>
                      <w:rFonts w:ascii="Arial" w:hAnsi="Arial" w:cs="Arial"/>
                      <w:sz w:val="18"/>
                      <w:szCs w:val="18"/>
                    </w:rPr>
                    <w:t>measures the performance of large and mid-cap shares in China including:  China H shares, B shares, Red chips, P chips and foreign listings (</w:t>
                  </w:r>
                  <w:proofErr w:type="gramStart"/>
                  <w:r w:rsidRPr="0078287C">
                    <w:rPr>
                      <w:rFonts w:ascii="Arial" w:hAnsi="Arial" w:cs="Arial"/>
                      <w:sz w:val="18"/>
                      <w:szCs w:val="18"/>
                    </w:rPr>
                    <w:t>e.g.</w:t>
                  </w:r>
                  <w:proofErr w:type="gramEnd"/>
                  <w:r w:rsidRPr="0078287C">
                    <w:rPr>
                      <w:rFonts w:ascii="Arial" w:hAnsi="Arial" w:cs="Arial"/>
                      <w:sz w:val="18"/>
                      <w:szCs w:val="18"/>
                    </w:rPr>
                    <w:t xml:space="preserve"> ADRs).  Index covers about 85% of the China equity universe.</w:t>
                  </w:r>
                </w:p>
              </w:tc>
            </w:tr>
            <w:tr w:rsidR="008C20D8" w:rsidRPr="0078287C" w14:paraId="47D584E3" w14:textId="77777777" w:rsidTr="002E23C4">
              <w:trPr>
                <w:trHeight w:val="480"/>
              </w:trPr>
              <w:tc>
                <w:tcPr>
                  <w:tcW w:w="1610" w:type="dxa"/>
                  <w:tcBorders>
                    <w:top w:val="nil"/>
                    <w:left w:val="nil"/>
                    <w:bottom w:val="nil"/>
                    <w:right w:val="nil"/>
                  </w:tcBorders>
                  <w:shd w:val="clear" w:color="auto" w:fill="auto"/>
                </w:tcPr>
                <w:p w14:paraId="3C1CC131" w14:textId="77777777" w:rsidR="008C20D8" w:rsidRPr="0078287C" w:rsidRDefault="008C20D8" w:rsidP="002C32BB">
                  <w:pPr>
                    <w:spacing w:after="0" w:line="240" w:lineRule="auto"/>
                    <w:rPr>
                      <w:rFonts w:ascii="Arial" w:hAnsi="Arial" w:cs="Arial"/>
                      <w:color w:val="000000"/>
                      <w:sz w:val="18"/>
                      <w:szCs w:val="18"/>
                    </w:rPr>
                  </w:pPr>
                  <w:r w:rsidRPr="0078287C">
                    <w:rPr>
                      <w:rFonts w:ascii="Arial" w:hAnsi="Arial" w:cs="Arial"/>
                      <w:color w:val="000000"/>
                      <w:sz w:val="18"/>
                      <w:szCs w:val="18"/>
                    </w:rPr>
                    <w:t>Commodities</w:t>
                  </w:r>
                </w:p>
              </w:tc>
              <w:tc>
                <w:tcPr>
                  <w:tcW w:w="1853" w:type="dxa"/>
                  <w:tcBorders>
                    <w:top w:val="nil"/>
                    <w:left w:val="nil"/>
                    <w:bottom w:val="nil"/>
                    <w:right w:val="nil"/>
                  </w:tcBorders>
                  <w:shd w:val="clear" w:color="auto" w:fill="auto"/>
                </w:tcPr>
                <w:p w14:paraId="362C4B0B" w14:textId="77777777" w:rsidR="008C20D8" w:rsidRPr="0078287C" w:rsidRDefault="008C20D8" w:rsidP="002C32BB">
                  <w:pPr>
                    <w:spacing w:after="0" w:line="240" w:lineRule="auto"/>
                    <w:rPr>
                      <w:rFonts w:ascii="Arial" w:hAnsi="Arial" w:cs="Arial"/>
                      <w:color w:val="000000"/>
                      <w:sz w:val="18"/>
                      <w:szCs w:val="18"/>
                    </w:rPr>
                  </w:pPr>
                  <w:r w:rsidRPr="0078287C">
                    <w:rPr>
                      <w:rFonts w:ascii="Arial" w:hAnsi="Arial" w:cs="Arial"/>
                      <w:color w:val="000000"/>
                      <w:sz w:val="18"/>
                      <w:szCs w:val="18"/>
                    </w:rPr>
                    <w:t xml:space="preserve">Bloomberg Commodity </w:t>
                  </w:r>
                </w:p>
              </w:tc>
              <w:tc>
                <w:tcPr>
                  <w:tcW w:w="6883" w:type="dxa"/>
                  <w:tcBorders>
                    <w:top w:val="nil"/>
                    <w:left w:val="nil"/>
                    <w:bottom w:val="nil"/>
                    <w:right w:val="nil"/>
                  </w:tcBorders>
                  <w:shd w:val="clear" w:color="auto" w:fill="auto"/>
                </w:tcPr>
                <w:p w14:paraId="5C47C175" w14:textId="77777777" w:rsidR="008C20D8" w:rsidRPr="0078287C" w:rsidRDefault="008C20D8" w:rsidP="002C32BB">
                  <w:pPr>
                    <w:spacing w:after="0" w:line="240" w:lineRule="auto"/>
                    <w:rPr>
                      <w:rFonts w:ascii="Arial" w:hAnsi="Arial" w:cs="Arial"/>
                      <w:color w:val="000000"/>
                      <w:sz w:val="18"/>
                      <w:szCs w:val="18"/>
                    </w:rPr>
                  </w:pPr>
                  <w:r w:rsidRPr="0078287C">
                    <w:rPr>
                      <w:rFonts w:ascii="Arial" w:hAnsi="Arial" w:cs="Arial"/>
                      <w:color w:val="000000"/>
                      <w:sz w:val="18"/>
                      <w:szCs w:val="18"/>
                    </w:rPr>
                    <w:t xml:space="preserve">Measures the performance of a broadly diversified exposure to physical commodities via futures contracts.  </w:t>
                  </w:r>
                </w:p>
              </w:tc>
            </w:tr>
            <w:tr w:rsidR="008C20D8" w:rsidRPr="0078287C" w14:paraId="6D5BEEFF" w14:textId="77777777" w:rsidTr="002E23C4">
              <w:trPr>
                <w:trHeight w:val="400"/>
              </w:trPr>
              <w:tc>
                <w:tcPr>
                  <w:tcW w:w="1610" w:type="dxa"/>
                  <w:tcBorders>
                    <w:top w:val="nil"/>
                    <w:left w:val="nil"/>
                    <w:bottom w:val="nil"/>
                    <w:right w:val="nil"/>
                  </w:tcBorders>
                  <w:shd w:val="clear" w:color="auto" w:fill="auto"/>
                </w:tcPr>
                <w:p w14:paraId="6557DB12" w14:textId="77777777" w:rsidR="008C20D8" w:rsidRPr="0078287C" w:rsidRDefault="008C20D8" w:rsidP="002C32BB">
                  <w:pPr>
                    <w:spacing w:after="0" w:line="240" w:lineRule="auto"/>
                    <w:rPr>
                      <w:rFonts w:ascii="Arial" w:hAnsi="Arial" w:cs="Arial"/>
                      <w:color w:val="000000"/>
                      <w:sz w:val="18"/>
                      <w:szCs w:val="18"/>
                    </w:rPr>
                  </w:pPr>
                  <w:r w:rsidRPr="0078287C">
                    <w:rPr>
                      <w:rFonts w:ascii="Arial" w:hAnsi="Arial" w:cs="Arial"/>
                      <w:color w:val="000000"/>
                      <w:sz w:val="18"/>
                      <w:szCs w:val="18"/>
                    </w:rPr>
                    <w:t>Gold</w:t>
                  </w:r>
                </w:p>
              </w:tc>
              <w:tc>
                <w:tcPr>
                  <w:tcW w:w="1853" w:type="dxa"/>
                  <w:tcBorders>
                    <w:top w:val="nil"/>
                    <w:left w:val="nil"/>
                    <w:bottom w:val="nil"/>
                    <w:right w:val="nil"/>
                  </w:tcBorders>
                  <w:shd w:val="clear" w:color="auto" w:fill="auto"/>
                </w:tcPr>
                <w:p w14:paraId="767C1CE0" w14:textId="77777777" w:rsidR="008C20D8" w:rsidRPr="0078287C" w:rsidRDefault="008C20D8" w:rsidP="002C32BB">
                  <w:pPr>
                    <w:spacing w:after="0" w:line="240" w:lineRule="auto"/>
                    <w:rPr>
                      <w:rFonts w:ascii="Arial" w:hAnsi="Arial" w:cs="Arial"/>
                      <w:color w:val="000000"/>
                      <w:sz w:val="18"/>
                      <w:szCs w:val="18"/>
                    </w:rPr>
                  </w:pPr>
                  <w:r w:rsidRPr="0078287C">
                    <w:rPr>
                      <w:rFonts w:ascii="Arial" w:hAnsi="Arial" w:cs="Arial"/>
                      <w:color w:val="000000"/>
                      <w:sz w:val="18"/>
                      <w:szCs w:val="18"/>
                    </w:rPr>
                    <w:t>Bloomberg Sub Gold</w:t>
                  </w:r>
                </w:p>
              </w:tc>
              <w:tc>
                <w:tcPr>
                  <w:tcW w:w="6883" w:type="dxa"/>
                  <w:tcBorders>
                    <w:top w:val="nil"/>
                    <w:left w:val="nil"/>
                    <w:bottom w:val="nil"/>
                    <w:right w:val="nil"/>
                  </w:tcBorders>
                  <w:shd w:val="clear" w:color="auto" w:fill="auto"/>
                </w:tcPr>
                <w:p w14:paraId="126CA754" w14:textId="77777777" w:rsidR="008C20D8" w:rsidRPr="0078287C" w:rsidRDefault="008C20D8" w:rsidP="002C32BB">
                  <w:pPr>
                    <w:spacing w:after="0" w:line="240" w:lineRule="auto"/>
                    <w:rPr>
                      <w:rFonts w:ascii="Arial" w:hAnsi="Arial" w:cs="Arial"/>
                      <w:color w:val="000000"/>
                      <w:sz w:val="18"/>
                      <w:szCs w:val="18"/>
                    </w:rPr>
                  </w:pPr>
                  <w:r w:rsidRPr="0078287C">
                    <w:rPr>
                      <w:rFonts w:ascii="Arial" w:hAnsi="Arial" w:cs="Arial"/>
                      <w:color w:val="000000"/>
                      <w:sz w:val="18"/>
                      <w:szCs w:val="18"/>
                    </w:rPr>
                    <w:t>measures the performance of futures contract on Gold and is quoted in USD.</w:t>
                  </w:r>
                </w:p>
              </w:tc>
            </w:tr>
            <w:tr w:rsidR="00B07B59" w:rsidRPr="0078287C" w14:paraId="2105EA33" w14:textId="77777777" w:rsidTr="002E23C4">
              <w:trPr>
                <w:trHeight w:val="400"/>
              </w:trPr>
              <w:tc>
                <w:tcPr>
                  <w:tcW w:w="1610" w:type="dxa"/>
                  <w:tcBorders>
                    <w:top w:val="nil"/>
                    <w:left w:val="nil"/>
                    <w:bottom w:val="nil"/>
                    <w:right w:val="nil"/>
                  </w:tcBorders>
                  <w:shd w:val="clear" w:color="auto" w:fill="auto"/>
                </w:tcPr>
                <w:p w14:paraId="7AEC904A" w14:textId="1BE896FD" w:rsidR="00B07B59" w:rsidRPr="0078287C" w:rsidRDefault="00B07B59" w:rsidP="00B07B59">
                  <w:pPr>
                    <w:spacing w:after="0" w:line="240" w:lineRule="auto"/>
                    <w:rPr>
                      <w:rFonts w:ascii="Arial" w:hAnsi="Arial" w:cs="Arial"/>
                      <w:color w:val="000000"/>
                      <w:sz w:val="18"/>
                      <w:szCs w:val="18"/>
                    </w:rPr>
                  </w:pPr>
                  <w:r w:rsidRPr="0078287C">
                    <w:rPr>
                      <w:rFonts w:ascii="Arial" w:hAnsi="Arial" w:cs="Arial"/>
                      <w:sz w:val="18"/>
                      <w:szCs w:val="18"/>
                    </w:rPr>
                    <w:t>Sector - Energy</w:t>
                  </w:r>
                </w:p>
              </w:tc>
              <w:tc>
                <w:tcPr>
                  <w:tcW w:w="1853" w:type="dxa"/>
                  <w:tcBorders>
                    <w:top w:val="nil"/>
                    <w:left w:val="nil"/>
                    <w:bottom w:val="nil"/>
                    <w:right w:val="nil"/>
                  </w:tcBorders>
                  <w:shd w:val="clear" w:color="auto" w:fill="auto"/>
                </w:tcPr>
                <w:p w14:paraId="60685733" w14:textId="0B9E25D4" w:rsidR="00B07B59" w:rsidRPr="0078287C" w:rsidRDefault="00B07B59" w:rsidP="00B07B59">
                  <w:pPr>
                    <w:spacing w:after="0" w:line="240" w:lineRule="auto"/>
                    <w:rPr>
                      <w:rFonts w:ascii="Arial" w:hAnsi="Arial" w:cs="Arial"/>
                      <w:color w:val="000000"/>
                      <w:sz w:val="18"/>
                      <w:szCs w:val="18"/>
                    </w:rPr>
                  </w:pPr>
                  <w:r w:rsidRPr="0078287C">
                    <w:rPr>
                      <w:rFonts w:ascii="Arial" w:hAnsi="Arial" w:cs="Arial"/>
                      <w:sz w:val="18"/>
                      <w:szCs w:val="18"/>
                    </w:rPr>
                    <w:t>S&amp;P 500 Sector Energy</w:t>
                  </w:r>
                </w:p>
              </w:tc>
              <w:tc>
                <w:tcPr>
                  <w:tcW w:w="6883" w:type="dxa"/>
                  <w:tcBorders>
                    <w:top w:val="nil"/>
                    <w:left w:val="nil"/>
                    <w:bottom w:val="nil"/>
                    <w:right w:val="nil"/>
                  </w:tcBorders>
                  <w:shd w:val="clear" w:color="auto" w:fill="auto"/>
                </w:tcPr>
                <w:p w14:paraId="1DE62429" w14:textId="0FB5D6E6" w:rsidR="00B07B59" w:rsidRPr="0078287C" w:rsidRDefault="00B07B59" w:rsidP="00B07B59">
                  <w:pPr>
                    <w:spacing w:after="0" w:line="240" w:lineRule="auto"/>
                    <w:rPr>
                      <w:rFonts w:ascii="Arial" w:hAnsi="Arial" w:cs="Arial"/>
                      <w:color w:val="000000"/>
                      <w:sz w:val="18"/>
                      <w:szCs w:val="18"/>
                    </w:rPr>
                  </w:pPr>
                  <w:r w:rsidRPr="0078287C">
                    <w:rPr>
                      <w:rFonts w:ascii="Arial" w:hAnsi="Arial" w:cs="Arial"/>
                      <w:sz w:val="18"/>
                      <w:szCs w:val="18"/>
                    </w:rPr>
                    <w:t>measures the performance of companies involved in the development and production of crude oil, natural gas and provide drilling and other energy-related services.</w:t>
                  </w:r>
                </w:p>
              </w:tc>
            </w:tr>
            <w:tr w:rsidR="00A9647D" w:rsidRPr="0078287C" w14:paraId="5B6C1B8E" w14:textId="77777777" w:rsidTr="002E23C4">
              <w:trPr>
                <w:trHeight w:val="400"/>
              </w:trPr>
              <w:tc>
                <w:tcPr>
                  <w:tcW w:w="1610" w:type="dxa"/>
                  <w:tcBorders>
                    <w:top w:val="nil"/>
                    <w:left w:val="nil"/>
                    <w:bottom w:val="nil"/>
                    <w:right w:val="nil"/>
                  </w:tcBorders>
                  <w:shd w:val="clear" w:color="auto" w:fill="auto"/>
                </w:tcPr>
                <w:p w14:paraId="62225E25" w14:textId="77777777" w:rsidR="00A9647D" w:rsidRPr="0078287C" w:rsidRDefault="00A9647D" w:rsidP="002C32BB">
                  <w:pPr>
                    <w:spacing w:after="0" w:line="240" w:lineRule="auto"/>
                    <w:rPr>
                      <w:rFonts w:ascii="Arial" w:hAnsi="Arial" w:cs="Arial"/>
                      <w:color w:val="000000"/>
                      <w:sz w:val="18"/>
                      <w:szCs w:val="18"/>
                    </w:rPr>
                  </w:pPr>
                </w:p>
                <w:p w14:paraId="7AF66DEE" w14:textId="5B829C23" w:rsidR="00A9647D" w:rsidRPr="0078287C" w:rsidRDefault="00A9647D" w:rsidP="002C32BB">
                  <w:pPr>
                    <w:spacing w:after="0" w:line="240" w:lineRule="auto"/>
                    <w:rPr>
                      <w:rFonts w:ascii="Arial" w:hAnsi="Arial" w:cs="Arial"/>
                      <w:color w:val="000000"/>
                      <w:sz w:val="18"/>
                      <w:szCs w:val="18"/>
                    </w:rPr>
                  </w:pPr>
                  <w:r w:rsidRPr="0078287C">
                    <w:rPr>
                      <w:rFonts w:ascii="Arial" w:hAnsi="Arial" w:cs="Arial"/>
                      <w:color w:val="000000"/>
                      <w:sz w:val="18"/>
                      <w:szCs w:val="18"/>
                    </w:rPr>
                    <w:t>US REIT</w:t>
                  </w:r>
                </w:p>
              </w:tc>
              <w:tc>
                <w:tcPr>
                  <w:tcW w:w="1853" w:type="dxa"/>
                  <w:tcBorders>
                    <w:top w:val="nil"/>
                    <w:left w:val="nil"/>
                    <w:bottom w:val="nil"/>
                    <w:right w:val="nil"/>
                  </w:tcBorders>
                  <w:shd w:val="clear" w:color="auto" w:fill="auto"/>
                </w:tcPr>
                <w:p w14:paraId="4EC321CE" w14:textId="77777777" w:rsidR="00A9647D" w:rsidRPr="0078287C" w:rsidRDefault="00A9647D" w:rsidP="002C32BB">
                  <w:pPr>
                    <w:spacing w:after="0" w:line="240" w:lineRule="auto"/>
                    <w:rPr>
                      <w:rFonts w:ascii="Arial" w:hAnsi="Arial" w:cs="Arial"/>
                      <w:color w:val="000000"/>
                      <w:sz w:val="18"/>
                      <w:szCs w:val="18"/>
                    </w:rPr>
                  </w:pPr>
                </w:p>
                <w:p w14:paraId="5AE447A2" w14:textId="2EF4B1A1" w:rsidR="00A9647D" w:rsidRPr="0078287C" w:rsidRDefault="00A9647D" w:rsidP="002C32BB">
                  <w:pPr>
                    <w:spacing w:after="0" w:line="240" w:lineRule="auto"/>
                    <w:rPr>
                      <w:rFonts w:ascii="Arial" w:hAnsi="Arial" w:cs="Arial"/>
                      <w:color w:val="000000"/>
                      <w:sz w:val="18"/>
                      <w:szCs w:val="18"/>
                    </w:rPr>
                  </w:pPr>
                  <w:r w:rsidRPr="0078287C">
                    <w:rPr>
                      <w:rFonts w:ascii="Arial" w:hAnsi="Arial" w:cs="Arial"/>
                      <w:color w:val="000000"/>
                      <w:sz w:val="18"/>
                      <w:szCs w:val="18"/>
                    </w:rPr>
                    <w:t xml:space="preserve">FTSE NAREIT All Equity REITs </w:t>
                  </w:r>
                </w:p>
              </w:tc>
              <w:tc>
                <w:tcPr>
                  <w:tcW w:w="6883" w:type="dxa"/>
                  <w:tcBorders>
                    <w:top w:val="nil"/>
                    <w:left w:val="nil"/>
                    <w:bottom w:val="nil"/>
                    <w:right w:val="nil"/>
                  </w:tcBorders>
                  <w:shd w:val="clear" w:color="auto" w:fill="auto"/>
                </w:tcPr>
                <w:p w14:paraId="0850949D" w14:textId="77777777" w:rsidR="00A9647D" w:rsidRPr="0078287C" w:rsidRDefault="00A9647D" w:rsidP="002C32BB">
                  <w:pPr>
                    <w:spacing w:after="0" w:line="240" w:lineRule="auto"/>
                    <w:rPr>
                      <w:rFonts w:ascii="Arial" w:hAnsi="Arial" w:cs="Arial"/>
                      <w:color w:val="000000"/>
                      <w:sz w:val="18"/>
                      <w:szCs w:val="18"/>
                    </w:rPr>
                  </w:pPr>
                </w:p>
                <w:p w14:paraId="1662051C" w14:textId="77777777" w:rsidR="00A9647D" w:rsidRPr="0078287C" w:rsidRDefault="00A9647D" w:rsidP="002C32BB">
                  <w:pPr>
                    <w:spacing w:after="0" w:line="240" w:lineRule="auto"/>
                    <w:rPr>
                      <w:rFonts w:ascii="Arial" w:hAnsi="Arial" w:cs="Arial"/>
                      <w:color w:val="000000"/>
                      <w:sz w:val="18"/>
                      <w:szCs w:val="18"/>
                    </w:rPr>
                  </w:pPr>
                  <w:r w:rsidRPr="0078287C">
                    <w:rPr>
                      <w:rFonts w:ascii="Arial" w:hAnsi="Arial" w:cs="Arial"/>
                      <w:color w:val="000000"/>
                      <w:sz w:val="18"/>
                      <w:szCs w:val="18"/>
                    </w:rPr>
                    <w:t>measures the performance of a comprehensive family of REIT indexes that spans the commercial real estate space across the US economy. The index series provides investors with exposure to all investment and property sectors.</w:t>
                  </w:r>
                </w:p>
                <w:p w14:paraId="029CFB94" w14:textId="7C4F4680" w:rsidR="00A9647D" w:rsidRPr="0078287C" w:rsidRDefault="00A9647D" w:rsidP="002C32BB">
                  <w:pPr>
                    <w:spacing w:after="0" w:line="240" w:lineRule="auto"/>
                    <w:rPr>
                      <w:rFonts w:ascii="Arial" w:hAnsi="Arial" w:cs="Arial"/>
                      <w:color w:val="000000"/>
                      <w:sz w:val="18"/>
                      <w:szCs w:val="18"/>
                    </w:rPr>
                  </w:pPr>
                </w:p>
              </w:tc>
            </w:tr>
            <w:tr w:rsidR="0078287C" w:rsidRPr="0078287C" w14:paraId="3AF1464F" w14:textId="77777777" w:rsidTr="002E23C4">
              <w:trPr>
                <w:trHeight w:val="909"/>
              </w:trPr>
              <w:tc>
                <w:tcPr>
                  <w:tcW w:w="1610" w:type="dxa"/>
                  <w:tcBorders>
                    <w:top w:val="nil"/>
                    <w:left w:val="nil"/>
                    <w:bottom w:val="nil"/>
                    <w:right w:val="nil"/>
                  </w:tcBorders>
                  <w:shd w:val="clear" w:color="auto" w:fill="auto"/>
                </w:tcPr>
                <w:p w14:paraId="4575A00C" w14:textId="7AA72082" w:rsidR="0078287C" w:rsidRPr="0078287C" w:rsidRDefault="0078287C" w:rsidP="0078287C">
                  <w:pPr>
                    <w:spacing w:after="0" w:line="240" w:lineRule="auto"/>
                    <w:rPr>
                      <w:rFonts w:ascii="Arial" w:hAnsi="Arial" w:cs="Arial"/>
                      <w:color w:val="000000"/>
                      <w:sz w:val="18"/>
                      <w:szCs w:val="18"/>
                    </w:rPr>
                  </w:pPr>
                  <w:r w:rsidRPr="0078287C">
                    <w:rPr>
                      <w:rFonts w:ascii="Arial" w:hAnsi="Arial" w:cs="Arial"/>
                      <w:sz w:val="18"/>
                      <w:szCs w:val="18"/>
                    </w:rPr>
                    <w:t>Sector - Consumer Staples</w:t>
                  </w:r>
                </w:p>
              </w:tc>
              <w:tc>
                <w:tcPr>
                  <w:tcW w:w="1853" w:type="dxa"/>
                  <w:tcBorders>
                    <w:top w:val="nil"/>
                    <w:left w:val="nil"/>
                    <w:bottom w:val="nil"/>
                    <w:right w:val="nil"/>
                  </w:tcBorders>
                  <w:shd w:val="clear" w:color="auto" w:fill="auto"/>
                </w:tcPr>
                <w:p w14:paraId="5C268877" w14:textId="55637AF8" w:rsidR="0078287C" w:rsidRPr="0078287C" w:rsidRDefault="0078287C" w:rsidP="0078287C">
                  <w:pPr>
                    <w:spacing w:after="0" w:line="240" w:lineRule="auto"/>
                    <w:rPr>
                      <w:rFonts w:ascii="Arial" w:hAnsi="Arial" w:cs="Arial"/>
                      <w:color w:val="000000"/>
                      <w:sz w:val="18"/>
                      <w:szCs w:val="18"/>
                    </w:rPr>
                  </w:pPr>
                  <w:r w:rsidRPr="0078287C">
                    <w:rPr>
                      <w:rFonts w:ascii="Arial" w:hAnsi="Arial" w:cs="Arial"/>
                      <w:sz w:val="18"/>
                      <w:szCs w:val="18"/>
                    </w:rPr>
                    <w:t>S&amp;P 500 Sector Consumer Staples</w:t>
                  </w:r>
                </w:p>
              </w:tc>
              <w:tc>
                <w:tcPr>
                  <w:tcW w:w="6883" w:type="dxa"/>
                  <w:tcBorders>
                    <w:top w:val="nil"/>
                    <w:left w:val="nil"/>
                    <w:bottom w:val="nil"/>
                    <w:right w:val="nil"/>
                  </w:tcBorders>
                  <w:shd w:val="clear" w:color="auto" w:fill="auto"/>
                </w:tcPr>
                <w:p w14:paraId="58B1E028" w14:textId="6CC0AF0F" w:rsidR="0078287C" w:rsidRPr="0078287C" w:rsidRDefault="0078287C" w:rsidP="0078287C">
                  <w:pPr>
                    <w:spacing w:after="0" w:line="240" w:lineRule="auto"/>
                    <w:rPr>
                      <w:rFonts w:ascii="Arial" w:hAnsi="Arial" w:cs="Arial"/>
                      <w:color w:val="000000"/>
                      <w:sz w:val="18"/>
                      <w:szCs w:val="18"/>
                    </w:rPr>
                  </w:pPr>
                  <w:r w:rsidRPr="0078287C">
                    <w:rPr>
                      <w:rFonts w:ascii="Arial" w:hAnsi="Arial" w:cs="Arial"/>
                      <w:sz w:val="18"/>
                      <w:szCs w:val="18"/>
                    </w:rPr>
                    <w:t xml:space="preserve">measures the performance of companies involved in the development and production of consumer products </w:t>
                  </w:r>
                  <w:proofErr w:type="gramStart"/>
                  <w:r w:rsidRPr="0078287C">
                    <w:rPr>
                      <w:rFonts w:ascii="Arial" w:hAnsi="Arial" w:cs="Arial"/>
                      <w:sz w:val="18"/>
                      <w:szCs w:val="18"/>
                    </w:rPr>
                    <w:t>including:</w:t>
                  </w:r>
                  <w:proofErr w:type="gramEnd"/>
                  <w:r w:rsidRPr="0078287C">
                    <w:rPr>
                      <w:rFonts w:ascii="Arial" w:hAnsi="Arial" w:cs="Arial"/>
                      <w:sz w:val="18"/>
                      <w:szCs w:val="18"/>
                    </w:rPr>
                    <w:t xml:space="preserve"> food and drug retailing, beverages, food products, tobacco, household products and personal products.</w:t>
                  </w:r>
                </w:p>
              </w:tc>
            </w:tr>
            <w:tr w:rsidR="0078287C" w:rsidRPr="0078287C" w14:paraId="7E53D663" w14:textId="073535C6" w:rsidTr="002E23C4">
              <w:trPr>
                <w:trHeight w:val="909"/>
              </w:trPr>
              <w:tc>
                <w:tcPr>
                  <w:tcW w:w="1610" w:type="dxa"/>
                  <w:tcBorders>
                    <w:top w:val="nil"/>
                    <w:left w:val="nil"/>
                    <w:bottom w:val="nil"/>
                    <w:right w:val="nil"/>
                  </w:tcBorders>
                  <w:shd w:val="clear" w:color="auto" w:fill="auto"/>
                </w:tcPr>
                <w:p w14:paraId="2F1549BF" w14:textId="0929B5DF" w:rsidR="0078287C" w:rsidRPr="0078287C" w:rsidRDefault="0078287C" w:rsidP="0078287C">
                  <w:pPr>
                    <w:spacing w:after="0" w:line="240" w:lineRule="auto"/>
                    <w:rPr>
                      <w:rFonts w:ascii="Arial" w:hAnsi="Arial" w:cs="Arial"/>
                      <w:color w:val="000000"/>
                      <w:sz w:val="18"/>
                      <w:szCs w:val="18"/>
                    </w:rPr>
                  </w:pPr>
                  <w:r w:rsidRPr="0078287C">
                    <w:rPr>
                      <w:rFonts w:ascii="Arial" w:hAnsi="Arial" w:cs="Arial"/>
                      <w:sz w:val="18"/>
                      <w:szCs w:val="18"/>
                    </w:rPr>
                    <w:t>US Short Treasuries</w:t>
                  </w:r>
                </w:p>
              </w:tc>
              <w:tc>
                <w:tcPr>
                  <w:tcW w:w="1853" w:type="dxa"/>
                  <w:tcBorders>
                    <w:top w:val="nil"/>
                    <w:left w:val="nil"/>
                    <w:bottom w:val="nil"/>
                    <w:right w:val="nil"/>
                  </w:tcBorders>
                  <w:shd w:val="clear" w:color="auto" w:fill="auto"/>
                </w:tcPr>
                <w:p w14:paraId="5EBAEF2A" w14:textId="748F8C67" w:rsidR="0078287C" w:rsidRPr="0078287C" w:rsidRDefault="0078287C" w:rsidP="0078287C">
                  <w:pPr>
                    <w:spacing w:after="0" w:line="240" w:lineRule="auto"/>
                    <w:rPr>
                      <w:rFonts w:ascii="Arial" w:hAnsi="Arial" w:cs="Arial"/>
                      <w:color w:val="000000"/>
                      <w:sz w:val="18"/>
                      <w:szCs w:val="18"/>
                    </w:rPr>
                  </w:pPr>
                  <w:r w:rsidRPr="0078287C">
                    <w:rPr>
                      <w:rFonts w:ascii="Arial" w:hAnsi="Arial" w:cs="Arial"/>
                      <w:sz w:val="18"/>
                      <w:szCs w:val="18"/>
                    </w:rPr>
                    <w:t>Bloomberg US Treasury 1-3 Year</w:t>
                  </w:r>
                </w:p>
              </w:tc>
              <w:tc>
                <w:tcPr>
                  <w:tcW w:w="6883" w:type="dxa"/>
                  <w:tcBorders>
                    <w:top w:val="nil"/>
                    <w:left w:val="nil"/>
                    <w:bottom w:val="nil"/>
                    <w:right w:val="nil"/>
                  </w:tcBorders>
                  <w:shd w:val="clear" w:color="auto" w:fill="auto"/>
                </w:tcPr>
                <w:p w14:paraId="447602BD" w14:textId="2D17DAE4" w:rsidR="0078287C" w:rsidRPr="0078287C" w:rsidRDefault="0078287C" w:rsidP="0078287C">
                  <w:pPr>
                    <w:spacing w:after="0" w:line="240" w:lineRule="auto"/>
                    <w:rPr>
                      <w:rFonts w:ascii="Arial" w:hAnsi="Arial" w:cs="Arial"/>
                      <w:color w:val="000000"/>
                      <w:sz w:val="18"/>
                      <w:szCs w:val="18"/>
                    </w:rPr>
                  </w:pPr>
                  <w:r w:rsidRPr="0078287C">
                    <w:rPr>
                      <w:rFonts w:ascii="Arial" w:hAnsi="Arial" w:cs="Arial"/>
                      <w:sz w:val="18"/>
                      <w:szCs w:val="18"/>
                    </w:rPr>
                    <w:t xml:space="preserve">measures the performance of short-term US Treasury bonds, including all publicly issued securities that have a remaining maturity of between one and three years, are: non-convertible, denominated in US dollars, rated investment-grade, fixed-rate and have $250 or more of outstanding face value. </w:t>
                  </w:r>
                </w:p>
              </w:tc>
            </w:tr>
            <w:tr w:rsidR="0078287C" w:rsidRPr="0078287C" w14:paraId="03A54102" w14:textId="7206F898" w:rsidTr="002E23C4">
              <w:trPr>
                <w:trHeight w:val="909"/>
              </w:trPr>
              <w:tc>
                <w:tcPr>
                  <w:tcW w:w="1610" w:type="dxa"/>
                  <w:tcBorders>
                    <w:top w:val="nil"/>
                    <w:left w:val="nil"/>
                    <w:bottom w:val="nil"/>
                    <w:right w:val="nil"/>
                  </w:tcBorders>
                  <w:shd w:val="clear" w:color="auto" w:fill="auto"/>
                </w:tcPr>
                <w:p w14:paraId="2EA85989" w14:textId="3D40C173" w:rsidR="0078287C" w:rsidRPr="0078287C" w:rsidRDefault="0078287C" w:rsidP="0078287C">
                  <w:pPr>
                    <w:spacing w:after="0" w:line="240" w:lineRule="auto"/>
                    <w:rPr>
                      <w:rFonts w:ascii="Arial" w:hAnsi="Arial" w:cs="Arial"/>
                      <w:color w:val="000000"/>
                      <w:sz w:val="18"/>
                      <w:szCs w:val="18"/>
                    </w:rPr>
                  </w:pPr>
                  <w:r w:rsidRPr="0078287C">
                    <w:rPr>
                      <w:rFonts w:ascii="Arial" w:hAnsi="Arial" w:cs="Arial"/>
                      <w:sz w:val="18"/>
                      <w:szCs w:val="18"/>
                    </w:rPr>
                    <w:t>US High Yield</w:t>
                  </w:r>
                </w:p>
              </w:tc>
              <w:tc>
                <w:tcPr>
                  <w:tcW w:w="1853" w:type="dxa"/>
                  <w:tcBorders>
                    <w:top w:val="nil"/>
                    <w:left w:val="nil"/>
                    <w:bottom w:val="nil"/>
                    <w:right w:val="nil"/>
                  </w:tcBorders>
                  <w:shd w:val="clear" w:color="auto" w:fill="auto"/>
                </w:tcPr>
                <w:p w14:paraId="0B7F9E2F" w14:textId="57D3D497" w:rsidR="0078287C" w:rsidRPr="0078287C" w:rsidRDefault="0078287C" w:rsidP="0078287C">
                  <w:pPr>
                    <w:spacing w:after="0" w:line="240" w:lineRule="auto"/>
                    <w:rPr>
                      <w:rFonts w:ascii="Arial" w:hAnsi="Arial" w:cs="Arial"/>
                      <w:color w:val="000000"/>
                      <w:sz w:val="18"/>
                      <w:szCs w:val="18"/>
                    </w:rPr>
                  </w:pPr>
                  <w:r w:rsidRPr="0078287C">
                    <w:rPr>
                      <w:rFonts w:ascii="Arial" w:hAnsi="Arial" w:cs="Arial"/>
                      <w:sz w:val="18"/>
                      <w:szCs w:val="18"/>
                    </w:rPr>
                    <w:t>Bloomberg US Corporate High Yield</w:t>
                  </w:r>
                </w:p>
              </w:tc>
              <w:tc>
                <w:tcPr>
                  <w:tcW w:w="6883" w:type="dxa"/>
                  <w:tcBorders>
                    <w:top w:val="nil"/>
                    <w:left w:val="nil"/>
                    <w:bottom w:val="nil"/>
                    <w:right w:val="nil"/>
                  </w:tcBorders>
                  <w:shd w:val="clear" w:color="auto" w:fill="auto"/>
                </w:tcPr>
                <w:p w14:paraId="39E43A81" w14:textId="7F36BD3E" w:rsidR="0078287C" w:rsidRPr="0078287C" w:rsidRDefault="0078287C" w:rsidP="0078287C">
                  <w:pPr>
                    <w:spacing w:after="0" w:line="240" w:lineRule="auto"/>
                    <w:rPr>
                      <w:rFonts w:ascii="Arial" w:hAnsi="Arial" w:cs="Arial"/>
                      <w:color w:val="000000"/>
                      <w:sz w:val="18"/>
                      <w:szCs w:val="18"/>
                    </w:rPr>
                  </w:pPr>
                  <w:r w:rsidRPr="0078287C">
                    <w:rPr>
                      <w:rFonts w:ascii="Arial" w:hAnsi="Arial" w:cs="Arial"/>
                      <w:sz w:val="18"/>
                      <w:szCs w:val="18"/>
                    </w:rPr>
                    <w:t xml:space="preserve">measures the performance of USD-denominated, non-investment-grade, fixed-rate taxable corporate bonds. "High-yield" securities have the middle rating from Moody's, </w:t>
                  </w:r>
                  <w:proofErr w:type="gramStart"/>
                  <w:r w:rsidRPr="0078287C">
                    <w:rPr>
                      <w:rFonts w:ascii="Arial" w:hAnsi="Arial" w:cs="Arial"/>
                      <w:sz w:val="18"/>
                      <w:szCs w:val="18"/>
                    </w:rPr>
                    <w:t>Fitch</w:t>
                  </w:r>
                  <w:proofErr w:type="gramEnd"/>
                  <w:r w:rsidRPr="0078287C">
                    <w:rPr>
                      <w:rFonts w:ascii="Arial" w:hAnsi="Arial" w:cs="Arial"/>
                      <w:sz w:val="18"/>
                      <w:szCs w:val="18"/>
                    </w:rPr>
                    <w:t xml:space="preserve"> or S&amp;P of Ba1/BB+/BB+ or below.  Index excludes emerging market debt.</w:t>
                  </w:r>
                </w:p>
              </w:tc>
            </w:tr>
            <w:tr w:rsidR="00641FCD" w:rsidRPr="0078287C" w14:paraId="765C7E00" w14:textId="77777777" w:rsidTr="002E23C4">
              <w:trPr>
                <w:trHeight w:val="909"/>
              </w:trPr>
              <w:tc>
                <w:tcPr>
                  <w:tcW w:w="1610" w:type="dxa"/>
                  <w:tcBorders>
                    <w:top w:val="nil"/>
                    <w:left w:val="nil"/>
                    <w:bottom w:val="nil"/>
                    <w:right w:val="nil"/>
                  </w:tcBorders>
                  <w:shd w:val="clear" w:color="auto" w:fill="auto"/>
                </w:tcPr>
                <w:p w14:paraId="3CFBAE99" w14:textId="41E06E6E" w:rsidR="00641FCD" w:rsidRPr="0078287C" w:rsidRDefault="00641FCD" w:rsidP="00641FCD">
                  <w:pPr>
                    <w:spacing w:after="0" w:line="240" w:lineRule="auto"/>
                    <w:rPr>
                      <w:rFonts w:ascii="Arial" w:hAnsi="Arial" w:cs="Arial"/>
                      <w:color w:val="000000"/>
                      <w:sz w:val="18"/>
                      <w:szCs w:val="18"/>
                    </w:rPr>
                  </w:pPr>
                  <w:r w:rsidRPr="0078287C">
                    <w:rPr>
                      <w:rFonts w:ascii="Arial" w:hAnsi="Arial" w:cs="Arial"/>
                      <w:sz w:val="18"/>
                      <w:szCs w:val="18"/>
                    </w:rPr>
                    <w:t>US Value</w:t>
                  </w:r>
                </w:p>
              </w:tc>
              <w:tc>
                <w:tcPr>
                  <w:tcW w:w="1853" w:type="dxa"/>
                  <w:tcBorders>
                    <w:top w:val="nil"/>
                    <w:left w:val="nil"/>
                    <w:bottom w:val="nil"/>
                    <w:right w:val="nil"/>
                  </w:tcBorders>
                  <w:shd w:val="clear" w:color="auto" w:fill="auto"/>
                </w:tcPr>
                <w:p w14:paraId="1E6601FE" w14:textId="4D845622" w:rsidR="00641FCD" w:rsidRPr="0078287C" w:rsidRDefault="00641FCD" w:rsidP="00641FCD">
                  <w:pPr>
                    <w:spacing w:after="0" w:line="240" w:lineRule="auto"/>
                    <w:rPr>
                      <w:rFonts w:ascii="Arial" w:hAnsi="Arial" w:cs="Arial"/>
                      <w:color w:val="000000"/>
                      <w:sz w:val="18"/>
                      <w:szCs w:val="18"/>
                    </w:rPr>
                  </w:pPr>
                  <w:r w:rsidRPr="0078287C">
                    <w:rPr>
                      <w:rFonts w:ascii="Arial" w:hAnsi="Arial" w:cs="Arial"/>
                      <w:sz w:val="18"/>
                      <w:szCs w:val="18"/>
                    </w:rPr>
                    <w:t>S&amp;P 500 Value</w:t>
                  </w:r>
                </w:p>
              </w:tc>
              <w:tc>
                <w:tcPr>
                  <w:tcW w:w="6883" w:type="dxa"/>
                  <w:tcBorders>
                    <w:top w:val="nil"/>
                    <w:left w:val="nil"/>
                    <w:bottom w:val="nil"/>
                    <w:right w:val="nil"/>
                  </w:tcBorders>
                  <w:shd w:val="clear" w:color="auto" w:fill="auto"/>
                </w:tcPr>
                <w:p w14:paraId="4A674204" w14:textId="560CEC69" w:rsidR="00641FCD" w:rsidRPr="0078287C" w:rsidRDefault="00641FCD" w:rsidP="00641FCD">
                  <w:pPr>
                    <w:spacing w:after="0" w:line="240" w:lineRule="auto"/>
                    <w:rPr>
                      <w:rFonts w:ascii="Arial" w:hAnsi="Arial" w:cs="Arial"/>
                      <w:color w:val="000000"/>
                      <w:sz w:val="18"/>
                      <w:szCs w:val="18"/>
                    </w:rPr>
                  </w:pPr>
                  <w:r w:rsidRPr="0078287C">
                    <w:rPr>
                      <w:rFonts w:ascii="Arial" w:hAnsi="Arial" w:cs="Arial"/>
                      <w:sz w:val="18"/>
                      <w:szCs w:val="18"/>
                    </w:rPr>
                    <w:t>measures the performance of value stocks in the U.S., which are identified by sales growth, price-to-</w:t>
                  </w:r>
                  <w:proofErr w:type="gramStart"/>
                  <w:r w:rsidRPr="0078287C">
                    <w:rPr>
                      <w:rFonts w:ascii="Arial" w:hAnsi="Arial" w:cs="Arial"/>
                      <w:sz w:val="18"/>
                      <w:szCs w:val="18"/>
                    </w:rPr>
                    <w:t>earnings</w:t>
                  </w:r>
                  <w:proofErr w:type="gramEnd"/>
                  <w:r w:rsidRPr="0078287C">
                    <w:rPr>
                      <w:rFonts w:ascii="Arial" w:hAnsi="Arial" w:cs="Arial"/>
                      <w:sz w:val="18"/>
                      <w:szCs w:val="18"/>
                    </w:rPr>
                    <w:t xml:space="preserve"> and momentum.  Constituents generally have a market-cap above $5 billion. </w:t>
                  </w:r>
                </w:p>
              </w:tc>
            </w:tr>
            <w:tr w:rsidR="00641FCD" w:rsidRPr="0078287C" w14:paraId="36310FBD" w14:textId="77777777" w:rsidTr="002E23C4">
              <w:trPr>
                <w:trHeight w:val="909"/>
              </w:trPr>
              <w:tc>
                <w:tcPr>
                  <w:tcW w:w="1610" w:type="dxa"/>
                  <w:tcBorders>
                    <w:top w:val="nil"/>
                    <w:left w:val="nil"/>
                    <w:bottom w:val="nil"/>
                    <w:right w:val="nil"/>
                  </w:tcBorders>
                  <w:shd w:val="clear" w:color="auto" w:fill="auto"/>
                </w:tcPr>
                <w:p w14:paraId="681FC41D" w14:textId="6534F3BE" w:rsidR="00641FCD" w:rsidRPr="0078287C" w:rsidRDefault="00641FCD" w:rsidP="00641FCD">
                  <w:pPr>
                    <w:spacing w:after="0" w:line="240" w:lineRule="auto"/>
                    <w:rPr>
                      <w:rFonts w:ascii="Arial" w:hAnsi="Arial" w:cs="Arial"/>
                      <w:color w:val="000000"/>
                      <w:sz w:val="18"/>
                      <w:szCs w:val="18"/>
                    </w:rPr>
                  </w:pPr>
                  <w:r w:rsidRPr="0078287C">
                    <w:rPr>
                      <w:rFonts w:ascii="Arial" w:hAnsi="Arial" w:cs="Arial"/>
                      <w:sz w:val="18"/>
                      <w:szCs w:val="18"/>
                    </w:rPr>
                    <w:lastRenderedPageBreak/>
                    <w:t>US Growth</w:t>
                  </w:r>
                </w:p>
              </w:tc>
              <w:tc>
                <w:tcPr>
                  <w:tcW w:w="1853" w:type="dxa"/>
                  <w:tcBorders>
                    <w:top w:val="nil"/>
                    <w:left w:val="nil"/>
                    <w:bottom w:val="nil"/>
                    <w:right w:val="nil"/>
                  </w:tcBorders>
                  <w:shd w:val="clear" w:color="auto" w:fill="auto"/>
                </w:tcPr>
                <w:p w14:paraId="25B38A92" w14:textId="79110587" w:rsidR="00641FCD" w:rsidRPr="0078287C" w:rsidRDefault="00641FCD" w:rsidP="00641FCD">
                  <w:pPr>
                    <w:spacing w:after="0" w:line="240" w:lineRule="auto"/>
                    <w:rPr>
                      <w:rFonts w:ascii="Arial" w:hAnsi="Arial" w:cs="Arial"/>
                      <w:color w:val="000000"/>
                      <w:sz w:val="18"/>
                      <w:szCs w:val="18"/>
                    </w:rPr>
                  </w:pPr>
                  <w:r w:rsidRPr="0078287C">
                    <w:rPr>
                      <w:rFonts w:ascii="Arial" w:hAnsi="Arial" w:cs="Arial"/>
                      <w:sz w:val="18"/>
                      <w:szCs w:val="18"/>
                    </w:rPr>
                    <w:t>S&amp;P 500 Growth</w:t>
                  </w:r>
                </w:p>
              </w:tc>
              <w:tc>
                <w:tcPr>
                  <w:tcW w:w="6883" w:type="dxa"/>
                  <w:tcBorders>
                    <w:top w:val="nil"/>
                    <w:left w:val="nil"/>
                    <w:bottom w:val="nil"/>
                    <w:right w:val="nil"/>
                  </w:tcBorders>
                  <w:shd w:val="clear" w:color="auto" w:fill="auto"/>
                </w:tcPr>
                <w:p w14:paraId="73D7BB15" w14:textId="3E4F0630" w:rsidR="00641FCD" w:rsidRPr="0078287C" w:rsidRDefault="00641FCD" w:rsidP="00641FCD">
                  <w:pPr>
                    <w:spacing w:after="0" w:line="240" w:lineRule="auto"/>
                    <w:rPr>
                      <w:rFonts w:ascii="Arial" w:hAnsi="Arial" w:cs="Arial"/>
                      <w:color w:val="000000"/>
                      <w:sz w:val="18"/>
                      <w:szCs w:val="18"/>
                    </w:rPr>
                  </w:pPr>
                  <w:r w:rsidRPr="0078287C">
                    <w:rPr>
                      <w:rFonts w:ascii="Arial" w:hAnsi="Arial" w:cs="Arial"/>
                      <w:sz w:val="18"/>
                      <w:szCs w:val="18"/>
                    </w:rPr>
                    <w:t>measures the performance of large-cap growth stocks in the U.S., which are identified by sales growth, price-to-</w:t>
                  </w:r>
                  <w:proofErr w:type="gramStart"/>
                  <w:r w:rsidRPr="0078287C">
                    <w:rPr>
                      <w:rFonts w:ascii="Arial" w:hAnsi="Arial" w:cs="Arial"/>
                      <w:sz w:val="18"/>
                      <w:szCs w:val="18"/>
                    </w:rPr>
                    <w:t>earnings</w:t>
                  </w:r>
                  <w:proofErr w:type="gramEnd"/>
                  <w:r w:rsidRPr="0078287C">
                    <w:rPr>
                      <w:rFonts w:ascii="Arial" w:hAnsi="Arial" w:cs="Arial"/>
                      <w:sz w:val="18"/>
                      <w:szCs w:val="18"/>
                    </w:rPr>
                    <w:t xml:space="preserve"> and momentum.  Constituents generally have a market-cap above $5 billion. </w:t>
                  </w:r>
                </w:p>
              </w:tc>
            </w:tr>
            <w:tr w:rsidR="00A9647D" w:rsidRPr="0078287C" w14:paraId="3621F63C" w14:textId="4A81D078" w:rsidTr="002E23C4">
              <w:trPr>
                <w:trHeight w:val="909"/>
              </w:trPr>
              <w:tc>
                <w:tcPr>
                  <w:tcW w:w="1610" w:type="dxa"/>
                  <w:tcBorders>
                    <w:top w:val="nil"/>
                    <w:left w:val="nil"/>
                    <w:bottom w:val="nil"/>
                    <w:right w:val="nil"/>
                  </w:tcBorders>
                  <w:shd w:val="clear" w:color="auto" w:fill="auto"/>
                </w:tcPr>
                <w:p w14:paraId="62A43842" w14:textId="7C56770C" w:rsidR="00A9647D" w:rsidRPr="0078287C" w:rsidRDefault="00A9647D" w:rsidP="002C32BB">
                  <w:pPr>
                    <w:spacing w:after="0" w:line="240" w:lineRule="auto"/>
                    <w:rPr>
                      <w:rFonts w:ascii="Arial" w:hAnsi="Arial" w:cs="Arial"/>
                      <w:color w:val="000000"/>
                      <w:sz w:val="18"/>
                      <w:szCs w:val="18"/>
                    </w:rPr>
                  </w:pPr>
                  <w:r w:rsidRPr="0078287C">
                    <w:rPr>
                      <w:rFonts w:ascii="Arial" w:hAnsi="Arial" w:cs="Arial"/>
                      <w:color w:val="000000"/>
                      <w:sz w:val="18"/>
                      <w:szCs w:val="18"/>
                    </w:rPr>
                    <w:t>Global 60/40 Index Blend</w:t>
                  </w:r>
                </w:p>
              </w:tc>
              <w:tc>
                <w:tcPr>
                  <w:tcW w:w="1853" w:type="dxa"/>
                  <w:tcBorders>
                    <w:top w:val="nil"/>
                    <w:left w:val="nil"/>
                    <w:bottom w:val="nil"/>
                    <w:right w:val="nil"/>
                  </w:tcBorders>
                  <w:shd w:val="clear" w:color="auto" w:fill="auto"/>
                </w:tcPr>
                <w:p w14:paraId="510F2EFE" w14:textId="583BFA0D" w:rsidR="00A9647D" w:rsidRPr="0078287C" w:rsidRDefault="00A9647D" w:rsidP="002C32BB">
                  <w:pPr>
                    <w:spacing w:after="0" w:line="240" w:lineRule="auto"/>
                    <w:rPr>
                      <w:rFonts w:ascii="Arial" w:hAnsi="Arial" w:cs="Arial"/>
                      <w:color w:val="000000"/>
                      <w:sz w:val="18"/>
                      <w:szCs w:val="18"/>
                    </w:rPr>
                  </w:pPr>
                  <w:r w:rsidRPr="0078287C">
                    <w:rPr>
                      <w:rFonts w:ascii="Arial" w:hAnsi="Arial" w:cs="Arial"/>
                      <w:color w:val="000000"/>
                      <w:sz w:val="18"/>
                      <w:szCs w:val="18"/>
                    </w:rPr>
                    <w:t>60% MSCI ACWI, 40% BBG Global Aggregate</w:t>
                  </w:r>
                </w:p>
              </w:tc>
              <w:tc>
                <w:tcPr>
                  <w:tcW w:w="6883" w:type="dxa"/>
                  <w:tcBorders>
                    <w:top w:val="nil"/>
                    <w:left w:val="nil"/>
                    <w:bottom w:val="nil"/>
                    <w:right w:val="nil"/>
                  </w:tcBorders>
                  <w:shd w:val="clear" w:color="auto" w:fill="auto"/>
                </w:tcPr>
                <w:p w14:paraId="4E8A9925" w14:textId="73A98C8C" w:rsidR="00A9647D" w:rsidRPr="0078287C" w:rsidRDefault="00A9647D" w:rsidP="002C32BB">
                  <w:pPr>
                    <w:spacing w:after="0" w:line="240" w:lineRule="auto"/>
                    <w:rPr>
                      <w:rFonts w:ascii="Arial" w:hAnsi="Arial" w:cs="Arial"/>
                      <w:color w:val="000000"/>
                      <w:sz w:val="18"/>
                      <w:szCs w:val="18"/>
                    </w:rPr>
                  </w:pPr>
                  <w:r w:rsidRPr="0078287C">
                    <w:rPr>
                      <w:rFonts w:ascii="Arial" w:hAnsi="Arial" w:cs="Arial"/>
                      <w:color w:val="000000"/>
                      <w:sz w:val="18"/>
                      <w:szCs w:val="18"/>
                    </w:rPr>
                    <w:t>measures the performance of a blend of global equities and global bond indexes used as a benchmark for balanced portfolios</w:t>
                  </w:r>
                </w:p>
              </w:tc>
            </w:tr>
            <w:tr w:rsidR="00A9647D" w:rsidRPr="0078287C" w14:paraId="44D72D8E" w14:textId="77777777" w:rsidTr="002E23C4">
              <w:trPr>
                <w:trHeight w:val="909"/>
              </w:trPr>
              <w:tc>
                <w:tcPr>
                  <w:tcW w:w="1610" w:type="dxa"/>
                  <w:tcBorders>
                    <w:top w:val="nil"/>
                    <w:left w:val="nil"/>
                    <w:bottom w:val="nil"/>
                    <w:right w:val="nil"/>
                  </w:tcBorders>
                  <w:shd w:val="clear" w:color="auto" w:fill="auto"/>
                </w:tcPr>
                <w:p w14:paraId="4FF034D0" w14:textId="3BE3FD13" w:rsidR="00A9647D" w:rsidRPr="0078287C" w:rsidRDefault="00A9647D" w:rsidP="002C32BB">
                  <w:pPr>
                    <w:spacing w:after="0" w:line="240" w:lineRule="auto"/>
                    <w:rPr>
                      <w:rFonts w:ascii="Arial" w:hAnsi="Arial" w:cs="Arial"/>
                      <w:color w:val="000000"/>
                      <w:sz w:val="18"/>
                      <w:szCs w:val="18"/>
                    </w:rPr>
                  </w:pPr>
                  <w:r w:rsidRPr="0078287C">
                    <w:rPr>
                      <w:rFonts w:ascii="Arial" w:hAnsi="Arial" w:cs="Arial"/>
                      <w:color w:val="000000"/>
                      <w:sz w:val="18"/>
                      <w:szCs w:val="18"/>
                    </w:rPr>
                    <w:t>US Dollar</w:t>
                  </w:r>
                </w:p>
              </w:tc>
              <w:tc>
                <w:tcPr>
                  <w:tcW w:w="1853" w:type="dxa"/>
                  <w:tcBorders>
                    <w:top w:val="nil"/>
                    <w:left w:val="nil"/>
                    <w:bottom w:val="nil"/>
                    <w:right w:val="nil"/>
                  </w:tcBorders>
                  <w:shd w:val="clear" w:color="auto" w:fill="auto"/>
                </w:tcPr>
                <w:p w14:paraId="4D26E14F" w14:textId="5F6F958E" w:rsidR="00A9647D" w:rsidRPr="0078287C" w:rsidRDefault="00A9647D" w:rsidP="002C32BB">
                  <w:pPr>
                    <w:spacing w:after="0" w:line="240" w:lineRule="auto"/>
                    <w:rPr>
                      <w:rFonts w:ascii="Arial" w:hAnsi="Arial" w:cs="Arial"/>
                      <w:color w:val="000000"/>
                      <w:sz w:val="18"/>
                      <w:szCs w:val="18"/>
                    </w:rPr>
                  </w:pPr>
                  <w:r w:rsidRPr="0078287C">
                    <w:rPr>
                      <w:rFonts w:ascii="Arial" w:hAnsi="Arial" w:cs="Arial"/>
                      <w:color w:val="000000"/>
                      <w:sz w:val="18"/>
                      <w:szCs w:val="18"/>
                    </w:rPr>
                    <w:t>US Dollar Index</w:t>
                  </w:r>
                </w:p>
              </w:tc>
              <w:tc>
                <w:tcPr>
                  <w:tcW w:w="6883" w:type="dxa"/>
                  <w:tcBorders>
                    <w:top w:val="nil"/>
                    <w:left w:val="nil"/>
                    <w:bottom w:val="nil"/>
                    <w:right w:val="nil"/>
                  </w:tcBorders>
                  <w:shd w:val="clear" w:color="auto" w:fill="auto"/>
                </w:tcPr>
                <w:p w14:paraId="679E740E" w14:textId="0530BCCE" w:rsidR="00A9647D" w:rsidRPr="0078287C" w:rsidRDefault="00A9647D" w:rsidP="002C32BB">
                  <w:pPr>
                    <w:spacing w:after="0" w:line="240" w:lineRule="auto"/>
                    <w:rPr>
                      <w:rFonts w:ascii="Arial" w:hAnsi="Arial" w:cs="Arial"/>
                      <w:color w:val="000000"/>
                      <w:sz w:val="18"/>
                      <w:szCs w:val="18"/>
                    </w:rPr>
                  </w:pPr>
                  <w:r w:rsidRPr="0078287C">
                    <w:rPr>
                      <w:rFonts w:ascii="Arial" w:hAnsi="Arial" w:cs="Arial"/>
                      <w:color w:val="000000"/>
                      <w:sz w:val="18"/>
                      <w:szCs w:val="18"/>
                    </w:rPr>
                    <w:t xml:space="preserve">measures the value of the US dollar relative to the value of a 'basket' of currencies of </w:t>
                  </w:r>
                  <w:proofErr w:type="gramStart"/>
                  <w:r w:rsidRPr="0078287C">
                    <w:rPr>
                      <w:rFonts w:ascii="Arial" w:hAnsi="Arial" w:cs="Arial"/>
                      <w:color w:val="000000"/>
                      <w:sz w:val="18"/>
                      <w:szCs w:val="18"/>
                    </w:rPr>
                    <w:t>the majority of</w:t>
                  </w:r>
                  <w:proofErr w:type="gramEnd"/>
                  <w:r w:rsidRPr="0078287C">
                    <w:rPr>
                      <w:rFonts w:ascii="Arial" w:hAnsi="Arial" w:cs="Arial"/>
                      <w:color w:val="000000"/>
                      <w:sz w:val="18"/>
                      <w:szCs w:val="18"/>
                    </w:rPr>
                    <w:t xml:space="preserve"> the U.S.'s most significant trading partners.  Factors the exchange rates of six major world currencies:  euro, Japanese yen, Canadian dollar, British pound, Swedish </w:t>
                  </w:r>
                  <w:proofErr w:type="gramStart"/>
                  <w:r w:rsidRPr="0078287C">
                    <w:rPr>
                      <w:rFonts w:ascii="Arial" w:hAnsi="Arial" w:cs="Arial"/>
                      <w:color w:val="000000"/>
                      <w:sz w:val="18"/>
                      <w:szCs w:val="18"/>
                    </w:rPr>
                    <w:t>krona</w:t>
                  </w:r>
                  <w:proofErr w:type="gramEnd"/>
                  <w:r w:rsidRPr="0078287C">
                    <w:rPr>
                      <w:rFonts w:ascii="Arial" w:hAnsi="Arial" w:cs="Arial"/>
                      <w:color w:val="000000"/>
                      <w:sz w:val="18"/>
                      <w:szCs w:val="18"/>
                    </w:rPr>
                    <w:t xml:space="preserve"> and Swiss franc. </w:t>
                  </w:r>
                </w:p>
              </w:tc>
            </w:tr>
            <w:tr w:rsidR="0078287C" w:rsidRPr="0078287C" w14:paraId="733A888A" w14:textId="77777777" w:rsidTr="002E23C4">
              <w:trPr>
                <w:trHeight w:val="909"/>
              </w:trPr>
              <w:tc>
                <w:tcPr>
                  <w:tcW w:w="1610" w:type="dxa"/>
                  <w:tcBorders>
                    <w:top w:val="nil"/>
                    <w:left w:val="nil"/>
                    <w:bottom w:val="nil"/>
                    <w:right w:val="nil"/>
                  </w:tcBorders>
                  <w:shd w:val="clear" w:color="auto" w:fill="auto"/>
                </w:tcPr>
                <w:p w14:paraId="43A51FB0" w14:textId="4137C93B" w:rsidR="0078287C" w:rsidRPr="0078287C" w:rsidRDefault="0078287C" w:rsidP="0078287C">
                  <w:pPr>
                    <w:spacing w:after="0" w:line="240" w:lineRule="auto"/>
                    <w:rPr>
                      <w:rFonts w:ascii="Arial" w:hAnsi="Arial" w:cs="Arial"/>
                      <w:color w:val="000000"/>
                      <w:sz w:val="18"/>
                      <w:szCs w:val="18"/>
                    </w:rPr>
                  </w:pPr>
                  <w:r w:rsidRPr="0078287C">
                    <w:rPr>
                      <w:rFonts w:ascii="Arial" w:hAnsi="Arial" w:cs="Arial"/>
                      <w:sz w:val="18"/>
                      <w:szCs w:val="18"/>
                    </w:rPr>
                    <w:t>US Dividend Equity</w:t>
                  </w:r>
                </w:p>
              </w:tc>
              <w:tc>
                <w:tcPr>
                  <w:tcW w:w="1853" w:type="dxa"/>
                  <w:tcBorders>
                    <w:top w:val="nil"/>
                    <w:left w:val="nil"/>
                    <w:bottom w:val="nil"/>
                    <w:right w:val="nil"/>
                  </w:tcBorders>
                  <w:shd w:val="clear" w:color="auto" w:fill="auto"/>
                </w:tcPr>
                <w:p w14:paraId="30BD8099" w14:textId="142FA8CA" w:rsidR="0078287C" w:rsidRPr="0078287C" w:rsidRDefault="0078287C" w:rsidP="0078287C">
                  <w:pPr>
                    <w:spacing w:after="0" w:line="240" w:lineRule="auto"/>
                    <w:rPr>
                      <w:rFonts w:ascii="Arial" w:hAnsi="Arial" w:cs="Arial"/>
                      <w:color w:val="000000"/>
                      <w:sz w:val="18"/>
                      <w:szCs w:val="18"/>
                    </w:rPr>
                  </w:pPr>
                  <w:r w:rsidRPr="0078287C">
                    <w:rPr>
                      <w:rFonts w:ascii="Arial" w:hAnsi="Arial" w:cs="Arial"/>
                      <w:sz w:val="18"/>
                      <w:szCs w:val="18"/>
                    </w:rPr>
                    <w:t>S&amp;P High Yield Dividend Aristocrats</w:t>
                  </w:r>
                </w:p>
              </w:tc>
              <w:tc>
                <w:tcPr>
                  <w:tcW w:w="6883" w:type="dxa"/>
                  <w:tcBorders>
                    <w:top w:val="nil"/>
                    <w:left w:val="nil"/>
                    <w:bottom w:val="nil"/>
                    <w:right w:val="nil"/>
                  </w:tcBorders>
                  <w:shd w:val="clear" w:color="auto" w:fill="auto"/>
                </w:tcPr>
                <w:p w14:paraId="70FB495E" w14:textId="036B0462" w:rsidR="0078287C" w:rsidRPr="0078287C" w:rsidRDefault="0078287C" w:rsidP="0078287C">
                  <w:pPr>
                    <w:spacing w:after="0" w:line="240" w:lineRule="auto"/>
                    <w:rPr>
                      <w:rFonts w:ascii="Arial" w:hAnsi="Arial" w:cs="Arial"/>
                      <w:color w:val="000000"/>
                      <w:sz w:val="18"/>
                      <w:szCs w:val="18"/>
                    </w:rPr>
                  </w:pPr>
                  <w:r w:rsidRPr="0078287C">
                    <w:rPr>
                      <w:rFonts w:ascii="Arial" w:hAnsi="Arial" w:cs="Arial"/>
                      <w:sz w:val="18"/>
                      <w:szCs w:val="18"/>
                    </w:rPr>
                    <w:t>measures the 50 highest dividend yielding constituents of the stocks of the S&amp;P Composite 1500 Index that have increased dividends every year for at least 25 consecutive years. These stocks have both capital growth and dividend income characteristics, as opposed to stocks that are pure yield, or pure capital oriented.</w:t>
                  </w:r>
                </w:p>
              </w:tc>
            </w:tr>
            <w:tr w:rsidR="00A9647D" w:rsidRPr="0078287C" w14:paraId="3C0572A0" w14:textId="77777777" w:rsidTr="002E23C4">
              <w:trPr>
                <w:trHeight w:val="909"/>
              </w:trPr>
              <w:tc>
                <w:tcPr>
                  <w:tcW w:w="1610" w:type="dxa"/>
                  <w:tcBorders>
                    <w:top w:val="nil"/>
                    <w:left w:val="nil"/>
                    <w:bottom w:val="nil"/>
                    <w:right w:val="nil"/>
                  </w:tcBorders>
                  <w:shd w:val="clear" w:color="auto" w:fill="auto"/>
                </w:tcPr>
                <w:p w14:paraId="0DFB6CB7" w14:textId="39C7D2A0" w:rsidR="00A9647D" w:rsidRPr="0078287C" w:rsidRDefault="00A9647D" w:rsidP="002C32BB">
                  <w:pPr>
                    <w:spacing w:after="0" w:line="240" w:lineRule="auto"/>
                    <w:rPr>
                      <w:rFonts w:ascii="Arial" w:hAnsi="Arial" w:cs="Arial"/>
                      <w:color w:val="000000"/>
                      <w:sz w:val="18"/>
                      <w:szCs w:val="18"/>
                    </w:rPr>
                  </w:pPr>
                </w:p>
              </w:tc>
              <w:tc>
                <w:tcPr>
                  <w:tcW w:w="1853" w:type="dxa"/>
                  <w:tcBorders>
                    <w:top w:val="nil"/>
                    <w:left w:val="nil"/>
                    <w:bottom w:val="nil"/>
                    <w:right w:val="nil"/>
                  </w:tcBorders>
                  <w:shd w:val="clear" w:color="auto" w:fill="auto"/>
                </w:tcPr>
                <w:p w14:paraId="018670F1" w14:textId="41E808E9" w:rsidR="00A9647D" w:rsidRPr="0078287C" w:rsidRDefault="00A9647D" w:rsidP="002C32BB">
                  <w:pPr>
                    <w:spacing w:after="0" w:line="240" w:lineRule="auto"/>
                    <w:rPr>
                      <w:rFonts w:ascii="Arial" w:hAnsi="Arial" w:cs="Arial"/>
                      <w:color w:val="000000"/>
                      <w:sz w:val="18"/>
                      <w:szCs w:val="18"/>
                    </w:rPr>
                  </w:pPr>
                </w:p>
              </w:tc>
              <w:tc>
                <w:tcPr>
                  <w:tcW w:w="6883" w:type="dxa"/>
                  <w:tcBorders>
                    <w:top w:val="nil"/>
                    <w:left w:val="nil"/>
                    <w:bottom w:val="nil"/>
                    <w:right w:val="nil"/>
                  </w:tcBorders>
                  <w:shd w:val="clear" w:color="auto" w:fill="auto"/>
                </w:tcPr>
                <w:p w14:paraId="1DA77378" w14:textId="7DAAA2BD" w:rsidR="00A9647D" w:rsidRPr="0078287C" w:rsidRDefault="00A9647D" w:rsidP="002C32BB">
                  <w:pPr>
                    <w:spacing w:after="0" w:line="240" w:lineRule="auto"/>
                    <w:rPr>
                      <w:rFonts w:ascii="Arial" w:hAnsi="Arial" w:cs="Arial"/>
                      <w:color w:val="000000"/>
                      <w:sz w:val="18"/>
                      <w:szCs w:val="18"/>
                    </w:rPr>
                  </w:pPr>
                </w:p>
              </w:tc>
            </w:tr>
            <w:tr w:rsidR="00A9647D" w:rsidRPr="0078287C" w14:paraId="20C3209A" w14:textId="77777777" w:rsidTr="002E23C4">
              <w:trPr>
                <w:trHeight w:val="909"/>
              </w:trPr>
              <w:tc>
                <w:tcPr>
                  <w:tcW w:w="1610" w:type="dxa"/>
                  <w:tcBorders>
                    <w:top w:val="nil"/>
                    <w:left w:val="nil"/>
                    <w:bottom w:val="nil"/>
                    <w:right w:val="nil"/>
                  </w:tcBorders>
                  <w:shd w:val="clear" w:color="auto" w:fill="auto"/>
                </w:tcPr>
                <w:p w14:paraId="380B33AA" w14:textId="48EE0BB2" w:rsidR="00A9647D" w:rsidRPr="0078287C" w:rsidRDefault="00A9647D" w:rsidP="002C32BB">
                  <w:pPr>
                    <w:spacing w:after="0" w:line="240" w:lineRule="auto"/>
                    <w:rPr>
                      <w:rFonts w:ascii="Arial" w:hAnsi="Arial" w:cs="Arial"/>
                      <w:color w:val="000000"/>
                      <w:sz w:val="18"/>
                      <w:szCs w:val="18"/>
                    </w:rPr>
                  </w:pPr>
                </w:p>
              </w:tc>
              <w:tc>
                <w:tcPr>
                  <w:tcW w:w="1853" w:type="dxa"/>
                  <w:tcBorders>
                    <w:top w:val="nil"/>
                    <w:left w:val="nil"/>
                    <w:bottom w:val="nil"/>
                    <w:right w:val="nil"/>
                  </w:tcBorders>
                  <w:shd w:val="clear" w:color="auto" w:fill="auto"/>
                </w:tcPr>
                <w:p w14:paraId="20C9C026" w14:textId="6F437983" w:rsidR="00A9647D" w:rsidRPr="0078287C" w:rsidRDefault="00A9647D" w:rsidP="002C32BB">
                  <w:pPr>
                    <w:spacing w:after="0" w:line="240" w:lineRule="auto"/>
                    <w:rPr>
                      <w:rFonts w:ascii="Arial" w:hAnsi="Arial" w:cs="Arial"/>
                      <w:color w:val="000000"/>
                      <w:sz w:val="18"/>
                      <w:szCs w:val="18"/>
                    </w:rPr>
                  </w:pPr>
                </w:p>
              </w:tc>
              <w:tc>
                <w:tcPr>
                  <w:tcW w:w="6883" w:type="dxa"/>
                  <w:tcBorders>
                    <w:top w:val="nil"/>
                    <w:left w:val="nil"/>
                    <w:bottom w:val="nil"/>
                    <w:right w:val="nil"/>
                  </w:tcBorders>
                  <w:shd w:val="clear" w:color="auto" w:fill="auto"/>
                </w:tcPr>
                <w:p w14:paraId="76DD3EE7" w14:textId="0A998C3B" w:rsidR="00A9647D" w:rsidRPr="0078287C" w:rsidRDefault="00A9647D" w:rsidP="002C32BB">
                  <w:pPr>
                    <w:spacing w:after="0" w:line="240" w:lineRule="auto"/>
                    <w:rPr>
                      <w:rFonts w:ascii="Arial" w:hAnsi="Arial" w:cs="Arial"/>
                      <w:color w:val="000000"/>
                      <w:sz w:val="18"/>
                      <w:szCs w:val="18"/>
                    </w:rPr>
                  </w:pPr>
                </w:p>
              </w:tc>
            </w:tr>
            <w:tr w:rsidR="00A9647D" w:rsidRPr="0078287C" w14:paraId="270B7A7B" w14:textId="77777777" w:rsidTr="002E23C4">
              <w:trPr>
                <w:trHeight w:val="909"/>
              </w:trPr>
              <w:tc>
                <w:tcPr>
                  <w:tcW w:w="1610" w:type="dxa"/>
                  <w:tcBorders>
                    <w:top w:val="nil"/>
                    <w:left w:val="nil"/>
                    <w:bottom w:val="nil"/>
                    <w:right w:val="nil"/>
                  </w:tcBorders>
                  <w:shd w:val="clear" w:color="auto" w:fill="auto"/>
                </w:tcPr>
                <w:p w14:paraId="78C67102" w14:textId="25F2E2C0" w:rsidR="00A9647D" w:rsidRPr="0078287C" w:rsidRDefault="00A9647D" w:rsidP="002C32BB">
                  <w:pPr>
                    <w:spacing w:after="0" w:line="240" w:lineRule="auto"/>
                    <w:rPr>
                      <w:rFonts w:ascii="Arial" w:hAnsi="Arial" w:cs="Arial"/>
                      <w:color w:val="000000"/>
                      <w:sz w:val="18"/>
                      <w:szCs w:val="18"/>
                    </w:rPr>
                  </w:pPr>
                </w:p>
              </w:tc>
              <w:tc>
                <w:tcPr>
                  <w:tcW w:w="1853" w:type="dxa"/>
                  <w:tcBorders>
                    <w:top w:val="nil"/>
                    <w:left w:val="nil"/>
                    <w:bottom w:val="nil"/>
                    <w:right w:val="nil"/>
                  </w:tcBorders>
                  <w:shd w:val="clear" w:color="auto" w:fill="auto"/>
                </w:tcPr>
                <w:p w14:paraId="6FEA5B5A" w14:textId="29F48DDB" w:rsidR="00A9647D" w:rsidRPr="0078287C" w:rsidRDefault="00A9647D" w:rsidP="002C32BB">
                  <w:pPr>
                    <w:spacing w:after="0" w:line="240" w:lineRule="auto"/>
                    <w:rPr>
                      <w:rFonts w:ascii="Arial" w:hAnsi="Arial" w:cs="Arial"/>
                      <w:color w:val="000000"/>
                      <w:sz w:val="18"/>
                      <w:szCs w:val="18"/>
                    </w:rPr>
                  </w:pPr>
                </w:p>
              </w:tc>
              <w:tc>
                <w:tcPr>
                  <w:tcW w:w="6883" w:type="dxa"/>
                  <w:tcBorders>
                    <w:top w:val="nil"/>
                    <w:left w:val="nil"/>
                    <w:bottom w:val="nil"/>
                    <w:right w:val="nil"/>
                  </w:tcBorders>
                  <w:shd w:val="clear" w:color="auto" w:fill="auto"/>
                </w:tcPr>
                <w:p w14:paraId="0CBF6ED4" w14:textId="40EB9D0B" w:rsidR="00A9647D" w:rsidRPr="0078287C" w:rsidRDefault="00A9647D" w:rsidP="002C32BB">
                  <w:pPr>
                    <w:spacing w:after="0" w:line="240" w:lineRule="auto"/>
                    <w:rPr>
                      <w:rFonts w:ascii="Arial" w:hAnsi="Arial" w:cs="Arial"/>
                      <w:color w:val="000000"/>
                      <w:sz w:val="18"/>
                      <w:szCs w:val="18"/>
                    </w:rPr>
                  </w:pPr>
                </w:p>
              </w:tc>
            </w:tr>
          </w:tbl>
          <w:p w14:paraId="7E6694C0" w14:textId="77777777" w:rsidR="008C20D8" w:rsidRPr="0078287C" w:rsidRDefault="008C20D8" w:rsidP="002C32BB">
            <w:pPr>
              <w:spacing w:after="160"/>
              <w:ind w:left="-720" w:right="-720"/>
              <w:rPr>
                <w:rFonts w:ascii="Arial" w:hAnsi="Arial" w:cs="Arial"/>
                <w:color w:val="343433"/>
                <w:sz w:val="18"/>
                <w:szCs w:val="18"/>
              </w:rPr>
            </w:pPr>
          </w:p>
        </w:tc>
      </w:tr>
      <w:bookmarkEnd w:id="0"/>
    </w:tbl>
    <w:p w14:paraId="3B5D31A8" w14:textId="5458CB82" w:rsidR="0026106D" w:rsidRPr="00844036" w:rsidRDefault="0026106D" w:rsidP="000E5F02">
      <w:pPr>
        <w:autoSpaceDE w:val="0"/>
        <w:autoSpaceDN w:val="0"/>
        <w:spacing w:after="0"/>
        <w:ind w:right="-360" w:hanging="540"/>
        <w:rPr>
          <w:rFonts w:ascii="Arial" w:hAnsi="Arial" w:cs="Arial"/>
          <w:color w:val="3B3838" w:themeColor="background2" w:themeShade="40"/>
          <w:sz w:val="18"/>
          <w:szCs w:val="18"/>
        </w:rPr>
      </w:pPr>
    </w:p>
    <w:p w14:paraId="1EC23BD2" w14:textId="1C7DB5BE" w:rsidR="00082B41" w:rsidRPr="00844036" w:rsidRDefault="00082B41" w:rsidP="000E5F02">
      <w:pPr>
        <w:autoSpaceDE w:val="0"/>
        <w:autoSpaceDN w:val="0"/>
        <w:spacing w:after="0"/>
        <w:ind w:right="-360" w:hanging="540"/>
        <w:rPr>
          <w:rFonts w:ascii="Arial" w:hAnsi="Arial" w:cs="Arial"/>
          <w:color w:val="3B3838" w:themeColor="background2" w:themeShade="40"/>
          <w:sz w:val="18"/>
          <w:szCs w:val="18"/>
        </w:rPr>
      </w:pPr>
    </w:p>
    <w:p w14:paraId="1DB1F452" w14:textId="4EF6AD67" w:rsidR="00082B41" w:rsidRPr="00844036" w:rsidRDefault="00082B41" w:rsidP="000E5F02">
      <w:pPr>
        <w:autoSpaceDE w:val="0"/>
        <w:autoSpaceDN w:val="0"/>
        <w:spacing w:after="0"/>
        <w:ind w:right="-360" w:hanging="540"/>
        <w:rPr>
          <w:rFonts w:ascii="Arial" w:hAnsi="Arial" w:cs="Arial"/>
          <w:color w:val="3B3838" w:themeColor="background2" w:themeShade="40"/>
          <w:sz w:val="18"/>
          <w:szCs w:val="18"/>
        </w:rPr>
      </w:pPr>
    </w:p>
    <w:p w14:paraId="38C84D78" w14:textId="77777777" w:rsidR="00082B41" w:rsidRPr="00844036" w:rsidRDefault="00082B41" w:rsidP="000E5F02">
      <w:pPr>
        <w:autoSpaceDE w:val="0"/>
        <w:autoSpaceDN w:val="0"/>
        <w:spacing w:after="0"/>
        <w:ind w:right="-360" w:hanging="540"/>
        <w:rPr>
          <w:rFonts w:ascii="Arial" w:hAnsi="Arial" w:cs="Arial"/>
          <w:color w:val="3B3838" w:themeColor="background2" w:themeShade="40"/>
          <w:sz w:val="18"/>
          <w:szCs w:val="18"/>
        </w:rPr>
      </w:pPr>
    </w:p>
    <w:p w14:paraId="1CA21405" w14:textId="77777777" w:rsidR="00DE0BBF" w:rsidRPr="00844036" w:rsidRDefault="00DE0BBF" w:rsidP="00FE7F0D">
      <w:pPr>
        <w:spacing w:after="160"/>
        <w:ind w:right="-720"/>
        <w:rPr>
          <w:rFonts w:ascii="Arial" w:hAnsi="Arial" w:cs="Arial"/>
          <w:color w:val="343433"/>
          <w:sz w:val="18"/>
          <w:szCs w:val="18"/>
        </w:rPr>
      </w:pPr>
    </w:p>
    <w:p w14:paraId="7FB63708" w14:textId="77777777" w:rsidR="00DE0BBF" w:rsidRPr="00844036" w:rsidRDefault="00DE0BBF" w:rsidP="00FE7F0D">
      <w:pPr>
        <w:spacing w:after="160"/>
        <w:ind w:right="-720"/>
        <w:rPr>
          <w:rFonts w:ascii="Arial" w:hAnsi="Arial" w:cs="Arial"/>
          <w:color w:val="343433"/>
          <w:sz w:val="18"/>
          <w:szCs w:val="18"/>
        </w:rPr>
      </w:pPr>
    </w:p>
    <w:p w14:paraId="640A84B7" w14:textId="10E6C23C" w:rsidR="003A27B5" w:rsidRPr="0040163B" w:rsidRDefault="005D1A45" w:rsidP="00FE7F0D">
      <w:pPr>
        <w:spacing w:after="160"/>
        <w:ind w:right="-720"/>
        <w:rPr>
          <w:rFonts w:ascii="Arial" w:hAnsi="Arial" w:cs="Arial"/>
          <w:color w:val="343433"/>
          <w:sz w:val="16"/>
          <w:szCs w:val="16"/>
        </w:rPr>
      </w:pPr>
      <w:r>
        <w:rPr>
          <w:rFonts w:ascii="Arial" w:hAnsi="Arial" w:cs="Arial"/>
          <w:noProof/>
          <w:color w:val="343433"/>
          <w:sz w:val="16"/>
          <w:szCs w:val="16"/>
        </w:rPr>
        <w:lastRenderedPageBreak/>
        <mc:AlternateContent>
          <mc:Choice Requires="wpg">
            <w:drawing>
              <wp:anchor distT="0" distB="0" distL="114300" distR="114300" simplePos="0" relativeHeight="251679744" behindDoc="0" locked="0" layoutInCell="1" allowOverlap="1" wp14:anchorId="35A1F3A9" wp14:editId="1F0455E7">
                <wp:simplePos x="0" y="0"/>
                <wp:positionH relativeFrom="margin">
                  <wp:posOffset>-661670</wp:posOffset>
                </wp:positionH>
                <wp:positionV relativeFrom="paragraph">
                  <wp:posOffset>2426970</wp:posOffset>
                </wp:positionV>
                <wp:extent cx="6927850" cy="5575300"/>
                <wp:effectExtent l="0" t="0" r="6350" b="6350"/>
                <wp:wrapTopAndBottom/>
                <wp:docPr id="3" name="Group 3"/>
                <wp:cNvGraphicFramePr/>
                <a:graphic xmlns:a="http://schemas.openxmlformats.org/drawingml/2006/main">
                  <a:graphicData uri="http://schemas.microsoft.com/office/word/2010/wordprocessingGroup">
                    <wpg:wgp>
                      <wpg:cNvGrpSpPr/>
                      <wpg:grpSpPr>
                        <a:xfrm>
                          <a:off x="0" y="0"/>
                          <a:ext cx="6927850" cy="5575300"/>
                          <a:chOff x="0" y="0"/>
                          <a:chExt cx="6927850" cy="2527540"/>
                        </a:xfrm>
                      </wpg:grpSpPr>
                      <wpg:grpSp>
                        <wpg:cNvPr id="21" name="Group 21"/>
                        <wpg:cNvGrpSpPr/>
                        <wpg:grpSpPr>
                          <a:xfrm>
                            <a:off x="0" y="0"/>
                            <a:ext cx="6927850" cy="2527540"/>
                            <a:chOff x="0" y="299834"/>
                            <a:chExt cx="6858000" cy="2216733"/>
                          </a:xfrm>
                        </wpg:grpSpPr>
                        <wps:wsp>
                          <wps:cNvPr id="17" name="Rectangle 17"/>
                          <wps:cNvSpPr/>
                          <wps:spPr>
                            <a:xfrm>
                              <a:off x="0" y="299834"/>
                              <a:ext cx="6858000" cy="221673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48638" y="319560"/>
                              <a:ext cx="1303507" cy="1945482"/>
                            </a:xfrm>
                            <a:prstGeom prst="rect">
                              <a:avLst/>
                            </a:prstGeom>
                            <a:noFill/>
                            <a:ln w="6350">
                              <a:noFill/>
                            </a:ln>
                          </wps:spPr>
                          <wps:txbx>
                            <w:txbxContent>
                              <w:p w14:paraId="64B16CFF" w14:textId="77777777" w:rsidR="00AB6BC5" w:rsidRDefault="00AB6BC5" w:rsidP="00AB6BC5">
                                <w:pPr>
                                  <w:spacing w:after="120"/>
                                  <w:rPr>
                                    <w:rFonts w:ascii="Arial" w:hAnsi="Arial" w:cs="Arial"/>
                                    <w:b/>
                                    <w:sz w:val="15"/>
                                    <w:szCs w:val="15"/>
                                  </w:rPr>
                                </w:pPr>
                                <w:r>
                                  <w:rPr>
                                    <w:rFonts w:ascii="Arial" w:hAnsi="Arial" w:cs="Arial"/>
                                    <w:b/>
                                    <w:sz w:val="15"/>
                                    <w:szCs w:val="15"/>
                                  </w:rPr>
                                  <w:t>AssetMark, Inc.</w:t>
                                </w:r>
                              </w:p>
                              <w:p w14:paraId="05AF5373" w14:textId="7662CDC7" w:rsidR="00AB6BC5" w:rsidRPr="009B73D0" w:rsidRDefault="00AB6BC5" w:rsidP="00AB6BC5">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 name="Text Box 19"/>
                        <wps:cNvSpPr txBox="1"/>
                        <wps:spPr>
                          <a:xfrm>
                            <a:off x="1311215" y="44450"/>
                            <a:ext cx="5417820" cy="2483090"/>
                          </a:xfrm>
                          <a:prstGeom prst="rect">
                            <a:avLst/>
                          </a:prstGeom>
                          <a:noFill/>
                          <a:ln w="6350">
                            <a:noFill/>
                          </a:ln>
                        </wps:spPr>
                        <wps:txbx>
                          <w:txbxContent>
                            <w:p w14:paraId="613DBB99" w14:textId="77777777" w:rsidR="00BB7679" w:rsidRPr="00E93D58" w:rsidRDefault="00BB7679" w:rsidP="00BB7679">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E83FB0B"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This is for informational purposes only, is not a solicitation, and should not be considered investment, legal or tax advice. The information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5842D6D8" w14:textId="77777777" w:rsidR="00476763" w:rsidRPr="00476763" w:rsidRDefault="00476763" w:rsidP="00476763">
                              <w:pPr>
                                <w:pStyle w:val="NormalWeb"/>
                                <w:contextualSpacing/>
                                <w:rPr>
                                  <w:rFonts w:ascii="Arial" w:hAnsi="Arial" w:cs="Arial"/>
                                  <w:sz w:val="16"/>
                                  <w:szCs w:val="16"/>
                                </w:rPr>
                              </w:pPr>
                            </w:p>
                            <w:p w14:paraId="1739146F" w14:textId="77777777" w:rsidR="00476763" w:rsidRPr="00476763" w:rsidRDefault="00476763" w:rsidP="00476763">
                              <w:pPr>
                                <w:pStyle w:val="NormalWeb"/>
                                <w:contextualSpacing/>
                                <w:rPr>
                                  <w:rFonts w:ascii="Arial" w:hAnsi="Arial" w:cs="Arial"/>
                                  <w:sz w:val="16"/>
                                  <w:szCs w:val="16"/>
                                </w:rPr>
                              </w:pPr>
                              <w:r w:rsidRPr="009708E7">
                                <w:rPr>
                                  <w:rFonts w:ascii="Arial" w:hAnsi="Arial" w:cs="Arial"/>
                                  <w:b/>
                                  <w:bCs/>
                                  <w:sz w:val="16"/>
                                  <w:szCs w:val="16"/>
                                </w:rPr>
                                <w:t>Investing involves risk, including the possible loss of principal. Past performance does not guarantee future results.</w:t>
                              </w:r>
                              <w:r w:rsidRPr="00476763">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p>
                            <w:p w14:paraId="03D19263" w14:textId="77777777" w:rsidR="00476763" w:rsidRPr="00476763" w:rsidRDefault="00476763" w:rsidP="00476763">
                              <w:pPr>
                                <w:pStyle w:val="NormalWeb"/>
                                <w:contextualSpacing/>
                                <w:rPr>
                                  <w:rFonts w:ascii="Arial" w:hAnsi="Arial" w:cs="Arial"/>
                                  <w:sz w:val="16"/>
                                  <w:szCs w:val="16"/>
                                </w:rPr>
                              </w:pPr>
                            </w:p>
                            <w:p w14:paraId="19E98BF3"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2FAAB4A8" w14:textId="77777777" w:rsidR="00476763" w:rsidRPr="00476763" w:rsidRDefault="00476763" w:rsidP="00476763">
                              <w:pPr>
                                <w:pStyle w:val="NormalWeb"/>
                                <w:contextualSpacing/>
                                <w:rPr>
                                  <w:rFonts w:ascii="Arial" w:hAnsi="Arial" w:cs="Arial"/>
                                  <w:sz w:val="16"/>
                                  <w:szCs w:val="16"/>
                                </w:rPr>
                              </w:pPr>
                            </w:p>
                            <w:p w14:paraId="42E16088"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    </w:t>
                              </w:r>
                            </w:p>
                            <w:p w14:paraId="5B411087" w14:textId="77777777" w:rsidR="00476763" w:rsidRPr="00476763" w:rsidRDefault="00476763" w:rsidP="00476763">
                              <w:pPr>
                                <w:pStyle w:val="NormalWeb"/>
                                <w:contextualSpacing/>
                                <w:rPr>
                                  <w:rFonts w:ascii="Arial" w:hAnsi="Arial" w:cs="Arial"/>
                                  <w:sz w:val="16"/>
                                  <w:szCs w:val="16"/>
                                </w:rPr>
                              </w:pPr>
                            </w:p>
                            <w:p w14:paraId="6A24040D"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02BC4DFA" w14:textId="77777777" w:rsidR="00476763" w:rsidRPr="00476763" w:rsidRDefault="00476763" w:rsidP="00476763">
                              <w:pPr>
                                <w:pStyle w:val="NormalWeb"/>
                                <w:contextualSpacing/>
                                <w:rPr>
                                  <w:rFonts w:ascii="Arial" w:hAnsi="Arial" w:cs="Arial"/>
                                  <w:sz w:val="16"/>
                                  <w:szCs w:val="16"/>
                                </w:rPr>
                              </w:pPr>
                            </w:p>
                            <w:p w14:paraId="0D082ED7" w14:textId="3F17C769"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Please read the Terms of Use posted at </w:t>
                              </w:r>
                              <w:hyperlink r:id="rId15" w:history="1">
                                <w:r w:rsidR="009708E7" w:rsidRPr="009708E7">
                                  <w:rPr>
                                    <w:rStyle w:val="Hyperlink"/>
                                    <w:rFonts w:ascii="Arial" w:hAnsi="Arial" w:cs="Arial"/>
                                    <w:sz w:val="16"/>
                                    <w:szCs w:val="16"/>
                                  </w:rPr>
                                  <w:t>www.ewealthmanager.com</w:t>
                                </w:r>
                              </w:hyperlink>
                              <w:r w:rsidR="009708E7">
                                <w:rPr>
                                  <w:rFonts w:ascii="Arial" w:hAnsi="Arial" w:cs="Arial"/>
                                  <w:sz w:val="20"/>
                                  <w:szCs w:val="20"/>
                                </w:rPr>
                                <w:t xml:space="preserve"> </w:t>
                              </w:r>
                              <w:r w:rsidRPr="00476763">
                                <w:rPr>
                                  <w:rFonts w:ascii="Arial" w:hAnsi="Arial" w:cs="Arial"/>
                                  <w:sz w:val="16"/>
                                  <w:szCs w:val="16"/>
                                </w:rPr>
                                <w:t>that govern the use of these materials and also be advised:</w:t>
                              </w:r>
                            </w:p>
                            <w:p w14:paraId="0DF9985F" w14:textId="77777777" w:rsidR="00476763" w:rsidRPr="00476763" w:rsidRDefault="00476763" w:rsidP="00476763">
                              <w:pPr>
                                <w:pStyle w:val="NormalWeb"/>
                                <w:contextualSpacing/>
                                <w:rPr>
                                  <w:rFonts w:ascii="Arial" w:hAnsi="Arial" w:cs="Arial"/>
                                  <w:sz w:val="16"/>
                                  <w:szCs w:val="16"/>
                                </w:rPr>
                              </w:pPr>
                            </w:p>
                            <w:p w14:paraId="3B5729B4"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   </w:t>
                              </w:r>
                            </w:p>
                            <w:p w14:paraId="19E7A7A3" w14:textId="77777777" w:rsidR="00476763" w:rsidRPr="00476763" w:rsidRDefault="00476763" w:rsidP="00476763">
                              <w:pPr>
                                <w:pStyle w:val="NormalWeb"/>
                                <w:contextualSpacing/>
                                <w:rPr>
                                  <w:rFonts w:ascii="Arial" w:hAnsi="Arial" w:cs="Arial"/>
                                  <w:sz w:val="16"/>
                                  <w:szCs w:val="16"/>
                                </w:rPr>
                              </w:pPr>
                            </w:p>
                            <w:p w14:paraId="6716CDB6"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You agree not to redistribute the Information to recipients not authorized by AssetMark.  You agree that the Providers are considered to be third-party beneficiaries of the Terms of Use.   </w:t>
                              </w:r>
                            </w:p>
                            <w:p w14:paraId="70DEB37A" w14:textId="77777777" w:rsidR="00476763" w:rsidRPr="00476763" w:rsidRDefault="00476763" w:rsidP="00476763">
                              <w:pPr>
                                <w:pStyle w:val="NormalWeb"/>
                                <w:contextualSpacing/>
                                <w:rPr>
                                  <w:rFonts w:ascii="Arial" w:hAnsi="Arial" w:cs="Arial"/>
                                  <w:sz w:val="16"/>
                                  <w:szCs w:val="16"/>
                                </w:rPr>
                              </w:pPr>
                            </w:p>
                            <w:p w14:paraId="2A9852E5"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AssetMark, Inc. is an investment adviser registered with the U.S. Securities and Exchange Commission. AssetMark and third-party strategists and service providers are separate and unaffiliated companies. Each party is responsible for their own content and services.</w:t>
                              </w:r>
                            </w:p>
                            <w:p w14:paraId="30B0F388" w14:textId="77777777" w:rsidR="00476763" w:rsidRPr="00476763" w:rsidRDefault="00476763" w:rsidP="00476763">
                              <w:pPr>
                                <w:pStyle w:val="NormalWeb"/>
                                <w:contextualSpacing/>
                                <w:rPr>
                                  <w:rFonts w:ascii="Arial" w:hAnsi="Arial" w:cs="Arial"/>
                                  <w:sz w:val="16"/>
                                  <w:szCs w:val="16"/>
                                </w:rPr>
                              </w:pPr>
                            </w:p>
                            <w:p w14:paraId="0F7B882B" w14:textId="4D13F8AC"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©202</w:t>
                              </w:r>
                              <w:r>
                                <w:rPr>
                                  <w:rFonts w:ascii="Arial" w:hAnsi="Arial" w:cs="Arial"/>
                                  <w:sz w:val="16"/>
                                  <w:szCs w:val="16"/>
                                </w:rPr>
                                <w:t>2</w:t>
                              </w:r>
                              <w:r w:rsidRPr="00476763">
                                <w:rPr>
                                  <w:rFonts w:ascii="Arial" w:hAnsi="Arial" w:cs="Arial"/>
                                  <w:sz w:val="16"/>
                                  <w:szCs w:val="16"/>
                                </w:rPr>
                                <w:t xml:space="preserve"> AssetMark, Inc. All rights reserved.</w:t>
                              </w:r>
                            </w:p>
                            <w:p w14:paraId="0F2FFEED" w14:textId="244BDB9D" w:rsidR="002F7F11" w:rsidRPr="00BF0CB7" w:rsidRDefault="000348C0" w:rsidP="00476763">
                              <w:pPr>
                                <w:pStyle w:val="NormalWeb"/>
                                <w:spacing w:before="0" w:beforeAutospacing="0"/>
                                <w:contextualSpacing/>
                                <w:rPr>
                                  <w:rFonts w:ascii="Arial" w:hAnsi="Arial" w:cs="Arial"/>
                                  <w:sz w:val="16"/>
                                  <w:szCs w:val="16"/>
                                </w:rPr>
                              </w:pPr>
                              <w:r w:rsidRPr="000348C0">
                                <w:rPr>
                                  <w:rFonts w:ascii="Arial" w:hAnsi="Arial" w:cs="Arial"/>
                                  <w:sz w:val="16"/>
                                  <w:szCs w:val="16"/>
                                </w:rPr>
                                <w:t>104367</w:t>
                              </w:r>
                              <w:r w:rsidR="002F7F11" w:rsidRPr="000348C0">
                                <w:rPr>
                                  <w:rFonts w:ascii="Arial" w:hAnsi="Arial" w:cs="Arial"/>
                                  <w:sz w:val="16"/>
                                  <w:szCs w:val="16"/>
                                </w:rPr>
                                <w:t xml:space="preserve"> | </w:t>
                              </w:r>
                              <w:r w:rsidRPr="000348C0">
                                <w:rPr>
                                  <w:rFonts w:ascii="Arial" w:hAnsi="Arial" w:cs="Arial"/>
                                  <w:sz w:val="16"/>
                                  <w:szCs w:val="16"/>
                                </w:rPr>
                                <w:t xml:space="preserve">C22-18975 </w:t>
                              </w:r>
                              <w:r w:rsidR="002F7F11" w:rsidRPr="000348C0">
                                <w:rPr>
                                  <w:rFonts w:ascii="Arial" w:hAnsi="Arial" w:cs="Arial"/>
                                  <w:sz w:val="16"/>
                                  <w:szCs w:val="16"/>
                                </w:rPr>
                                <w:t>| 0</w:t>
                              </w:r>
                              <w:r w:rsidR="001864C7" w:rsidRPr="000348C0">
                                <w:rPr>
                                  <w:rFonts w:ascii="Arial" w:hAnsi="Arial" w:cs="Arial"/>
                                  <w:sz w:val="16"/>
                                  <w:szCs w:val="16"/>
                                </w:rPr>
                                <w:t>7</w:t>
                              </w:r>
                              <w:r w:rsidR="002F7F11" w:rsidRPr="000348C0">
                                <w:rPr>
                                  <w:rFonts w:ascii="Arial" w:hAnsi="Arial" w:cs="Arial"/>
                                  <w:sz w:val="16"/>
                                  <w:szCs w:val="16"/>
                                </w:rPr>
                                <w:t>/202</w:t>
                              </w:r>
                              <w:r w:rsidR="00F67AD8" w:rsidRPr="000348C0">
                                <w:rPr>
                                  <w:rFonts w:ascii="Arial" w:hAnsi="Arial" w:cs="Arial"/>
                                  <w:sz w:val="16"/>
                                  <w:szCs w:val="16"/>
                                </w:rPr>
                                <w:t>2</w:t>
                              </w:r>
                              <w:r w:rsidR="002F7F11" w:rsidRPr="000348C0">
                                <w:rPr>
                                  <w:rFonts w:ascii="Arial" w:hAnsi="Arial" w:cs="Arial"/>
                                  <w:sz w:val="16"/>
                                  <w:szCs w:val="16"/>
                                </w:rPr>
                                <w:t xml:space="preserve"> | EXP 0</w:t>
                              </w:r>
                              <w:r w:rsidR="001864C7" w:rsidRPr="000348C0">
                                <w:rPr>
                                  <w:rFonts w:ascii="Arial" w:hAnsi="Arial" w:cs="Arial"/>
                                  <w:sz w:val="16"/>
                                  <w:szCs w:val="16"/>
                                </w:rPr>
                                <w:t>7</w:t>
                              </w:r>
                              <w:r w:rsidR="002F7F11" w:rsidRPr="000348C0">
                                <w:rPr>
                                  <w:rFonts w:ascii="Arial" w:hAnsi="Arial" w:cs="Arial"/>
                                  <w:sz w:val="16"/>
                                  <w:szCs w:val="16"/>
                                </w:rPr>
                                <w:t>/</w:t>
                              </w:r>
                              <w:r w:rsidR="0054164A" w:rsidRPr="000348C0">
                                <w:rPr>
                                  <w:rFonts w:ascii="Arial" w:hAnsi="Arial" w:cs="Arial"/>
                                  <w:sz w:val="16"/>
                                  <w:szCs w:val="16"/>
                                </w:rPr>
                                <w:t>31</w:t>
                              </w:r>
                              <w:r w:rsidR="002F7F11" w:rsidRPr="000348C0">
                                <w:rPr>
                                  <w:rFonts w:ascii="Arial" w:hAnsi="Arial" w:cs="Arial"/>
                                  <w:sz w:val="16"/>
                                  <w:szCs w:val="16"/>
                                </w:rPr>
                                <w:t>/202</w:t>
                              </w:r>
                              <w:r w:rsidR="00F67AD8" w:rsidRPr="000348C0">
                                <w:rPr>
                                  <w:rFonts w:ascii="Arial" w:hAnsi="Arial" w:cs="Arial"/>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A1F3A9" id="Group 3" o:spid="_x0000_s1026" style="position:absolute;margin-left:-52.1pt;margin-top:191.1pt;width:545.5pt;height:439pt;z-index:251679744;mso-position-horizontal-relative:margin;mso-width-relative:margin;mso-height-relative:margin" coordsize="69278,2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">
                <v:group id="Group 21" o:spid="_x0000_s1027" style="position:absolute;width:69278;height:25275" coordorigin=",2998" coordsize="68580,2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17" o:spid="_x0000_s1028" style="position:absolute;top:2998;width:68580;height:22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shapetype id="_x0000_t202" coordsize="21600,21600" o:spt="202" path="m,l,21600r21600,l21600,xe">
                    <v:stroke joinstyle="miter"/>
                    <v:path gradientshapeok="t" o:connecttype="rect"/>
                  </v:shapetype>
                  <v:shape id="Text Box 20" o:spid="_x0000_s1029" type="#_x0000_t202" style="position:absolute;left:486;top:3195;width:13035;height:1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64B16CFF" w14:textId="77777777" w:rsidR="00AB6BC5" w:rsidRDefault="00AB6BC5" w:rsidP="00AB6BC5">
                          <w:pPr>
                            <w:spacing w:after="120"/>
                            <w:rPr>
                              <w:rFonts w:ascii="Arial" w:hAnsi="Arial" w:cs="Arial"/>
                              <w:b/>
                              <w:sz w:val="15"/>
                              <w:szCs w:val="15"/>
                            </w:rPr>
                          </w:pPr>
                          <w:r>
                            <w:rPr>
                              <w:rFonts w:ascii="Arial" w:hAnsi="Arial" w:cs="Arial"/>
                              <w:b/>
                              <w:sz w:val="15"/>
                              <w:szCs w:val="15"/>
                            </w:rPr>
                            <w:t>AssetMark, Inc.</w:t>
                          </w:r>
                        </w:p>
                        <w:p w14:paraId="05AF5373" w14:textId="7662CDC7" w:rsidR="00AB6BC5" w:rsidRPr="009B73D0" w:rsidRDefault="00AB6BC5" w:rsidP="00AB6BC5">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800-64-5345</w:t>
                          </w:r>
                        </w:p>
                      </w:txbxContent>
                    </v:textbox>
                  </v:shape>
                </v:group>
                <v:shape id="Text Box 19" o:spid="_x0000_s1030" type="#_x0000_t202" style="position:absolute;left:13112;top:444;width:54178;height:24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613DBB99" w14:textId="77777777" w:rsidR="00BB7679" w:rsidRPr="00E93D58" w:rsidRDefault="00BB7679" w:rsidP="00BB7679">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6E83FB0B"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This is for informational purposes only, is not a solicitation, and should not be considered investment, legal or tax advice. The information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5842D6D8" w14:textId="77777777" w:rsidR="00476763" w:rsidRPr="00476763" w:rsidRDefault="00476763" w:rsidP="00476763">
                        <w:pPr>
                          <w:pStyle w:val="NormalWeb"/>
                          <w:contextualSpacing/>
                          <w:rPr>
                            <w:rFonts w:ascii="Arial" w:hAnsi="Arial" w:cs="Arial"/>
                            <w:sz w:val="16"/>
                            <w:szCs w:val="16"/>
                          </w:rPr>
                        </w:pPr>
                      </w:p>
                      <w:p w14:paraId="1739146F" w14:textId="77777777" w:rsidR="00476763" w:rsidRPr="00476763" w:rsidRDefault="00476763" w:rsidP="00476763">
                        <w:pPr>
                          <w:pStyle w:val="NormalWeb"/>
                          <w:contextualSpacing/>
                          <w:rPr>
                            <w:rFonts w:ascii="Arial" w:hAnsi="Arial" w:cs="Arial"/>
                            <w:sz w:val="16"/>
                            <w:szCs w:val="16"/>
                          </w:rPr>
                        </w:pPr>
                        <w:r w:rsidRPr="009708E7">
                          <w:rPr>
                            <w:rFonts w:ascii="Arial" w:hAnsi="Arial" w:cs="Arial"/>
                            <w:b/>
                            <w:bCs/>
                            <w:sz w:val="16"/>
                            <w:szCs w:val="16"/>
                          </w:rPr>
                          <w:t>Investing involves risk, including the possible loss of principal. Past performance does not guarantee future results.</w:t>
                        </w:r>
                        <w:r w:rsidRPr="00476763">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p>
                      <w:p w14:paraId="03D19263" w14:textId="77777777" w:rsidR="00476763" w:rsidRPr="00476763" w:rsidRDefault="00476763" w:rsidP="00476763">
                        <w:pPr>
                          <w:pStyle w:val="NormalWeb"/>
                          <w:contextualSpacing/>
                          <w:rPr>
                            <w:rFonts w:ascii="Arial" w:hAnsi="Arial" w:cs="Arial"/>
                            <w:sz w:val="16"/>
                            <w:szCs w:val="16"/>
                          </w:rPr>
                        </w:pPr>
                      </w:p>
                      <w:p w14:paraId="19E98BF3"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2FAAB4A8" w14:textId="77777777" w:rsidR="00476763" w:rsidRPr="00476763" w:rsidRDefault="00476763" w:rsidP="00476763">
                        <w:pPr>
                          <w:pStyle w:val="NormalWeb"/>
                          <w:contextualSpacing/>
                          <w:rPr>
                            <w:rFonts w:ascii="Arial" w:hAnsi="Arial" w:cs="Arial"/>
                            <w:sz w:val="16"/>
                            <w:szCs w:val="16"/>
                          </w:rPr>
                        </w:pPr>
                      </w:p>
                      <w:p w14:paraId="42E16088"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    </w:t>
                        </w:r>
                      </w:p>
                      <w:p w14:paraId="5B411087" w14:textId="77777777" w:rsidR="00476763" w:rsidRPr="00476763" w:rsidRDefault="00476763" w:rsidP="00476763">
                        <w:pPr>
                          <w:pStyle w:val="NormalWeb"/>
                          <w:contextualSpacing/>
                          <w:rPr>
                            <w:rFonts w:ascii="Arial" w:hAnsi="Arial" w:cs="Arial"/>
                            <w:sz w:val="16"/>
                            <w:szCs w:val="16"/>
                          </w:rPr>
                        </w:pPr>
                      </w:p>
                      <w:p w14:paraId="6A24040D"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02BC4DFA" w14:textId="77777777" w:rsidR="00476763" w:rsidRPr="00476763" w:rsidRDefault="00476763" w:rsidP="00476763">
                        <w:pPr>
                          <w:pStyle w:val="NormalWeb"/>
                          <w:contextualSpacing/>
                          <w:rPr>
                            <w:rFonts w:ascii="Arial" w:hAnsi="Arial" w:cs="Arial"/>
                            <w:sz w:val="16"/>
                            <w:szCs w:val="16"/>
                          </w:rPr>
                        </w:pPr>
                      </w:p>
                      <w:p w14:paraId="0D082ED7" w14:textId="3F17C769"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Please read the Terms of Use posted at </w:t>
                        </w:r>
                        <w:hyperlink r:id="rId16" w:history="1">
                          <w:r w:rsidR="009708E7" w:rsidRPr="009708E7">
                            <w:rPr>
                              <w:rStyle w:val="Hyperlink"/>
                              <w:rFonts w:ascii="Arial" w:hAnsi="Arial" w:cs="Arial"/>
                              <w:sz w:val="16"/>
                              <w:szCs w:val="16"/>
                            </w:rPr>
                            <w:t>www.ewealthmanager.com</w:t>
                          </w:r>
                        </w:hyperlink>
                        <w:r w:rsidR="009708E7">
                          <w:rPr>
                            <w:rFonts w:ascii="Arial" w:hAnsi="Arial" w:cs="Arial"/>
                            <w:sz w:val="20"/>
                            <w:szCs w:val="20"/>
                          </w:rPr>
                          <w:t xml:space="preserve"> </w:t>
                        </w:r>
                        <w:r w:rsidRPr="00476763">
                          <w:rPr>
                            <w:rFonts w:ascii="Arial" w:hAnsi="Arial" w:cs="Arial"/>
                            <w:sz w:val="16"/>
                            <w:szCs w:val="16"/>
                          </w:rPr>
                          <w:t>that govern the use of these materials and also be advised:</w:t>
                        </w:r>
                      </w:p>
                      <w:p w14:paraId="0DF9985F" w14:textId="77777777" w:rsidR="00476763" w:rsidRPr="00476763" w:rsidRDefault="00476763" w:rsidP="00476763">
                        <w:pPr>
                          <w:pStyle w:val="NormalWeb"/>
                          <w:contextualSpacing/>
                          <w:rPr>
                            <w:rFonts w:ascii="Arial" w:hAnsi="Arial" w:cs="Arial"/>
                            <w:sz w:val="16"/>
                            <w:szCs w:val="16"/>
                          </w:rPr>
                        </w:pPr>
                      </w:p>
                      <w:p w14:paraId="3B5729B4"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   </w:t>
                        </w:r>
                      </w:p>
                      <w:p w14:paraId="19E7A7A3" w14:textId="77777777" w:rsidR="00476763" w:rsidRPr="00476763" w:rsidRDefault="00476763" w:rsidP="00476763">
                        <w:pPr>
                          <w:pStyle w:val="NormalWeb"/>
                          <w:contextualSpacing/>
                          <w:rPr>
                            <w:rFonts w:ascii="Arial" w:hAnsi="Arial" w:cs="Arial"/>
                            <w:sz w:val="16"/>
                            <w:szCs w:val="16"/>
                          </w:rPr>
                        </w:pPr>
                      </w:p>
                      <w:p w14:paraId="6716CDB6"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 xml:space="preserve">You agree not to redistribute the Information to recipients not authorized by AssetMark.  You agree that the Providers are considered to be third-party beneficiaries of the Terms of Use.   </w:t>
                        </w:r>
                      </w:p>
                      <w:p w14:paraId="70DEB37A" w14:textId="77777777" w:rsidR="00476763" w:rsidRPr="00476763" w:rsidRDefault="00476763" w:rsidP="00476763">
                        <w:pPr>
                          <w:pStyle w:val="NormalWeb"/>
                          <w:contextualSpacing/>
                          <w:rPr>
                            <w:rFonts w:ascii="Arial" w:hAnsi="Arial" w:cs="Arial"/>
                            <w:sz w:val="16"/>
                            <w:szCs w:val="16"/>
                          </w:rPr>
                        </w:pPr>
                      </w:p>
                      <w:p w14:paraId="2A9852E5" w14:textId="77777777"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AssetMark, Inc. is an investment adviser registered with the U.S. Securities and Exchange Commission. AssetMark and third-party strategists and service providers are separate and unaffiliated companies. Each party is responsible for their own content and services.</w:t>
                        </w:r>
                      </w:p>
                      <w:p w14:paraId="30B0F388" w14:textId="77777777" w:rsidR="00476763" w:rsidRPr="00476763" w:rsidRDefault="00476763" w:rsidP="00476763">
                        <w:pPr>
                          <w:pStyle w:val="NormalWeb"/>
                          <w:contextualSpacing/>
                          <w:rPr>
                            <w:rFonts w:ascii="Arial" w:hAnsi="Arial" w:cs="Arial"/>
                            <w:sz w:val="16"/>
                            <w:szCs w:val="16"/>
                          </w:rPr>
                        </w:pPr>
                      </w:p>
                      <w:p w14:paraId="0F7B882B" w14:textId="4D13F8AC" w:rsidR="00476763" w:rsidRPr="00476763" w:rsidRDefault="00476763" w:rsidP="00476763">
                        <w:pPr>
                          <w:pStyle w:val="NormalWeb"/>
                          <w:contextualSpacing/>
                          <w:rPr>
                            <w:rFonts w:ascii="Arial" w:hAnsi="Arial" w:cs="Arial"/>
                            <w:sz w:val="16"/>
                            <w:szCs w:val="16"/>
                          </w:rPr>
                        </w:pPr>
                        <w:r w:rsidRPr="00476763">
                          <w:rPr>
                            <w:rFonts w:ascii="Arial" w:hAnsi="Arial" w:cs="Arial"/>
                            <w:sz w:val="16"/>
                            <w:szCs w:val="16"/>
                          </w:rPr>
                          <w:t>©202</w:t>
                        </w:r>
                        <w:r>
                          <w:rPr>
                            <w:rFonts w:ascii="Arial" w:hAnsi="Arial" w:cs="Arial"/>
                            <w:sz w:val="16"/>
                            <w:szCs w:val="16"/>
                          </w:rPr>
                          <w:t>2</w:t>
                        </w:r>
                        <w:r w:rsidRPr="00476763">
                          <w:rPr>
                            <w:rFonts w:ascii="Arial" w:hAnsi="Arial" w:cs="Arial"/>
                            <w:sz w:val="16"/>
                            <w:szCs w:val="16"/>
                          </w:rPr>
                          <w:t xml:space="preserve"> AssetMark, Inc. All rights reserved.</w:t>
                        </w:r>
                      </w:p>
                      <w:p w14:paraId="0F2FFEED" w14:textId="244BDB9D" w:rsidR="002F7F11" w:rsidRPr="00BF0CB7" w:rsidRDefault="000348C0" w:rsidP="00476763">
                        <w:pPr>
                          <w:pStyle w:val="NormalWeb"/>
                          <w:spacing w:before="0" w:beforeAutospacing="0"/>
                          <w:contextualSpacing/>
                          <w:rPr>
                            <w:rFonts w:ascii="Arial" w:hAnsi="Arial" w:cs="Arial"/>
                            <w:sz w:val="16"/>
                            <w:szCs w:val="16"/>
                          </w:rPr>
                        </w:pPr>
                        <w:r w:rsidRPr="000348C0">
                          <w:rPr>
                            <w:rFonts w:ascii="Arial" w:hAnsi="Arial" w:cs="Arial"/>
                            <w:sz w:val="16"/>
                            <w:szCs w:val="16"/>
                          </w:rPr>
                          <w:t>104367</w:t>
                        </w:r>
                        <w:r w:rsidR="002F7F11" w:rsidRPr="000348C0">
                          <w:rPr>
                            <w:rFonts w:ascii="Arial" w:hAnsi="Arial" w:cs="Arial"/>
                            <w:sz w:val="16"/>
                            <w:szCs w:val="16"/>
                          </w:rPr>
                          <w:t xml:space="preserve"> | </w:t>
                        </w:r>
                        <w:r w:rsidRPr="000348C0">
                          <w:rPr>
                            <w:rFonts w:ascii="Arial" w:hAnsi="Arial" w:cs="Arial"/>
                            <w:sz w:val="16"/>
                            <w:szCs w:val="16"/>
                          </w:rPr>
                          <w:t xml:space="preserve">C22-18975 </w:t>
                        </w:r>
                        <w:r w:rsidR="002F7F11" w:rsidRPr="000348C0">
                          <w:rPr>
                            <w:rFonts w:ascii="Arial" w:hAnsi="Arial" w:cs="Arial"/>
                            <w:sz w:val="16"/>
                            <w:szCs w:val="16"/>
                          </w:rPr>
                          <w:t>| 0</w:t>
                        </w:r>
                        <w:r w:rsidR="001864C7" w:rsidRPr="000348C0">
                          <w:rPr>
                            <w:rFonts w:ascii="Arial" w:hAnsi="Arial" w:cs="Arial"/>
                            <w:sz w:val="16"/>
                            <w:szCs w:val="16"/>
                          </w:rPr>
                          <w:t>7</w:t>
                        </w:r>
                        <w:r w:rsidR="002F7F11" w:rsidRPr="000348C0">
                          <w:rPr>
                            <w:rFonts w:ascii="Arial" w:hAnsi="Arial" w:cs="Arial"/>
                            <w:sz w:val="16"/>
                            <w:szCs w:val="16"/>
                          </w:rPr>
                          <w:t>/202</w:t>
                        </w:r>
                        <w:r w:rsidR="00F67AD8" w:rsidRPr="000348C0">
                          <w:rPr>
                            <w:rFonts w:ascii="Arial" w:hAnsi="Arial" w:cs="Arial"/>
                            <w:sz w:val="16"/>
                            <w:szCs w:val="16"/>
                          </w:rPr>
                          <w:t>2</w:t>
                        </w:r>
                        <w:r w:rsidR="002F7F11" w:rsidRPr="000348C0">
                          <w:rPr>
                            <w:rFonts w:ascii="Arial" w:hAnsi="Arial" w:cs="Arial"/>
                            <w:sz w:val="16"/>
                            <w:szCs w:val="16"/>
                          </w:rPr>
                          <w:t xml:space="preserve"> | EXP 0</w:t>
                        </w:r>
                        <w:r w:rsidR="001864C7" w:rsidRPr="000348C0">
                          <w:rPr>
                            <w:rFonts w:ascii="Arial" w:hAnsi="Arial" w:cs="Arial"/>
                            <w:sz w:val="16"/>
                            <w:szCs w:val="16"/>
                          </w:rPr>
                          <w:t>7</w:t>
                        </w:r>
                        <w:r w:rsidR="002F7F11" w:rsidRPr="000348C0">
                          <w:rPr>
                            <w:rFonts w:ascii="Arial" w:hAnsi="Arial" w:cs="Arial"/>
                            <w:sz w:val="16"/>
                            <w:szCs w:val="16"/>
                          </w:rPr>
                          <w:t>/</w:t>
                        </w:r>
                        <w:r w:rsidR="0054164A" w:rsidRPr="000348C0">
                          <w:rPr>
                            <w:rFonts w:ascii="Arial" w:hAnsi="Arial" w:cs="Arial"/>
                            <w:sz w:val="16"/>
                            <w:szCs w:val="16"/>
                          </w:rPr>
                          <w:t>31</w:t>
                        </w:r>
                        <w:r w:rsidR="002F7F11" w:rsidRPr="000348C0">
                          <w:rPr>
                            <w:rFonts w:ascii="Arial" w:hAnsi="Arial" w:cs="Arial"/>
                            <w:sz w:val="16"/>
                            <w:szCs w:val="16"/>
                          </w:rPr>
                          <w:t>/202</w:t>
                        </w:r>
                        <w:r w:rsidR="00F67AD8" w:rsidRPr="000348C0">
                          <w:rPr>
                            <w:rFonts w:ascii="Arial" w:hAnsi="Arial" w:cs="Arial"/>
                            <w:sz w:val="16"/>
                            <w:szCs w:val="16"/>
                          </w:rPr>
                          <w:t>4</w:t>
                        </w:r>
                      </w:p>
                    </w:txbxContent>
                  </v:textbox>
                </v:shape>
                <w10:wrap type="topAndBottom" anchorx="margin"/>
              </v:group>
            </w:pict>
          </mc:Fallback>
        </mc:AlternateContent>
      </w:r>
    </w:p>
    <w:sectPr w:rsidR="003A27B5" w:rsidRPr="0040163B" w:rsidSect="006A6909">
      <w:headerReference w:type="default" r:id="rId17"/>
      <w:footerReference w:type="even" r:id="rId18"/>
      <w:footerReference w:type="default" r:id="rId19"/>
      <w:headerReference w:type="first" r:id="rId20"/>
      <w:footerReference w:type="first" r:id="rId21"/>
      <w:endnotePr>
        <w:numFmt w:val="decimal"/>
      </w:endnotePr>
      <w:pgSz w:w="12240" w:h="15840"/>
      <w:pgMar w:top="-1659" w:right="1440" w:bottom="151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ED2B0" w14:textId="77777777" w:rsidR="002A54DB" w:rsidRDefault="002A54DB" w:rsidP="005C1D70">
      <w:pPr>
        <w:spacing w:after="0" w:line="240" w:lineRule="auto"/>
      </w:pPr>
      <w:r>
        <w:separator/>
      </w:r>
    </w:p>
  </w:endnote>
  <w:endnote w:type="continuationSeparator" w:id="0">
    <w:p w14:paraId="6CD4EC38" w14:textId="77777777" w:rsidR="002A54DB" w:rsidRDefault="002A54DB" w:rsidP="005C1D70">
      <w:pPr>
        <w:spacing w:after="0" w:line="240" w:lineRule="auto"/>
      </w:pPr>
      <w:r>
        <w:continuationSeparator/>
      </w:r>
    </w:p>
  </w:endnote>
  <w:endnote w:id="1">
    <w:p w14:paraId="66B72601" w14:textId="3AD1814C" w:rsidR="009628C0" w:rsidRPr="001864C7" w:rsidRDefault="009628C0">
      <w:pPr>
        <w:pStyle w:val="EndnoteText"/>
        <w:rPr>
          <w:rFonts w:ascii="Arial" w:hAnsi="Arial" w:cs="Arial"/>
          <w:sz w:val="16"/>
          <w:szCs w:val="16"/>
        </w:rPr>
      </w:pPr>
      <w:r w:rsidRPr="001864C7">
        <w:rPr>
          <w:rStyle w:val="EndnoteReference"/>
          <w:rFonts w:ascii="Arial" w:hAnsi="Arial" w:cs="Arial"/>
          <w:sz w:val="16"/>
          <w:szCs w:val="16"/>
        </w:rPr>
        <w:endnoteRef/>
      </w:r>
      <w:r w:rsidRPr="001864C7">
        <w:rPr>
          <w:rFonts w:ascii="Arial" w:hAnsi="Arial" w:cs="Arial"/>
          <w:sz w:val="16"/>
          <w:szCs w:val="16"/>
        </w:rPr>
        <w:t xml:space="preserve"> </w:t>
      </w:r>
      <w:hyperlink r:id="rId1" w:history="1">
        <w:r w:rsidRPr="001864C7">
          <w:rPr>
            <w:rStyle w:val="Hyperlink"/>
            <w:rFonts w:ascii="Arial" w:hAnsi="Arial" w:cs="Arial"/>
            <w:sz w:val="16"/>
            <w:szCs w:val="16"/>
          </w:rPr>
          <w:t>CSI 300 Index: China’s Stock Rally Is Forecast to Strengthen Even More - Bloomberg</w:t>
        </w:r>
      </w:hyperlink>
    </w:p>
  </w:endnote>
  <w:endnote w:id="2">
    <w:p w14:paraId="077CFE34" w14:textId="6ABF3D4A" w:rsidR="00E0729B" w:rsidRPr="001864C7" w:rsidRDefault="00E0729B">
      <w:pPr>
        <w:pStyle w:val="EndnoteText"/>
        <w:rPr>
          <w:rFonts w:ascii="Arial" w:hAnsi="Arial" w:cs="Arial"/>
          <w:sz w:val="16"/>
          <w:szCs w:val="16"/>
        </w:rPr>
      </w:pPr>
      <w:r w:rsidRPr="001864C7">
        <w:rPr>
          <w:rStyle w:val="EndnoteReference"/>
          <w:rFonts w:ascii="Arial" w:hAnsi="Arial" w:cs="Arial"/>
          <w:sz w:val="16"/>
          <w:szCs w:val="16"/>
        </w:rPr>
        <w:endnoteRef/>
      </w:r>
      <w:r w:rsidRPr="001864C7">
        <w:rPr>
          <w:rFonts w:ascii="Arial" w:hAnsi="Arial" w:cs="Arial"/>
          <w:sz w:val="16"/>
          <w:szCs w:val="16"/>
        </w:rPr>
        <w:t xml:space="preserve"> </w:t>
      </w:r>
      <w:hyperlink r:id="rId2" w:history="1">
        <w:r w:rsidRPr="001864C7">
          <w:rPr>
            <w:rStyle w:val="Hyperlink"/>
            <w:rFonts w:ascii="Arial" w:hAnsi="Arial" w:cs="Arial"/>
            <w:sz w:val="16"/>
            <w:szCs w:val="16"/>
          </w:rPr>
          <w:t>July 2022 Stock Market Outlook – Forbes Advisor</w:t>
        </w:r>
      </w:hyperlink>
    </w:p>
  </w:endnote>
  <w:endnote w:id="3">
    <w:p w14:paraId="2892AF85" w14:textId="77777777" w:rsidR="00C7086E" w:rsidRPr="001864C7" w:rsidRDefault="00C7086E" w:rsidP="00C7086E">
      <w:pPr>
        <w:pStyle w:val="EndnoteText"/>
        <w:rPr>
          <w:rFonts w:ascii="Arial" w:hAnsi="Arial" w:cs="Arial"/>
          <w:sz w:val="16"/>
          <w:szCs w:val="16"/>
        </w:rPr>
      </w:pPr>
      <w:r w:rsidRPr="001864C7">
        <w:rPr>
          <w:rStyle w:val="EndnoteReference"/>
          <w:rFonts w:ascii="Arial" w:hAnsi="Arial" w:cs="Arial"/>
          <w:sz w:val="16"/>
          <w:szCs w:val="16"/>
        </w:rPr>
        <w:endnoteRef/>
      </w:r>
      <w:r w:rsidRPr="001864C7">
        <w:rPr>
          <w:rFonts w:ascii="Arial" w:hAnsi="Arial" w:cs="Arial"/>
          <w:sz w:val="16"/>
          <w:szCs w:val="16"/>
        </w:rPr>
        <w:t xml:space="preserve"> </w:t>
      </w:r>
      <w:hyperlink r:id="rId3" w:history="1">
        <w:r w:rsidRPr="001864C7">
          <w:rPr>
            <w:rStyle w:val="Hyperlink"/>
            <w:rFonts w:ascii="Arial" w:hAnsi="Arial" w:cs="Arial"/>
            <w:sz w:val="16"/>
            <w:szCs w:val="16"/>
          </w:rPr>
          <w:t>Fed Raises Rates by 0.75 Percentage Point, Largest Increase Since 1994 - WSJ</w:t>
        </w:r>
      </w:hyperlink>
    </w:p>
  </w:endnote>
  <w:endnote w:id="4">
    <w:p w14:paraId="04FA2E27" w14:textId="3ADC5F9C" w:rsidR="00E0729B" w:rsidRDefault="00E0729B">
      <w:pPr>
        <w:pStyle w:val="EndnoteText"/>
      </w:pPr>
      <w:r w:rsidRPr="001864C7">
        <w:rPr>
          <w:rStyle w:val="EndnoteReference"/>
          <w:rFonts w:ascii="Arial" w:hAnsi="Arial" w:cs="Arial"/>
          <w:sz w:val="16"/>
          <w:szCs w:val="16"/>
        </w:rPr>
        <w:endnoteRef/>
      </w:r>
      <w:r w:rsidRPr="001864C7">
        <w:rPr>
          <w:rFonts w:ascii="Arial" w:hAnsi="Arial" w:cs="Arial"/>
          <w:sz w:val="16"/>
          <w:szCs w:val="16"/>
        </w:rPr>
        <w:t xml:space="preserve"> </w:t>
      </w:r>
      <w:hyperlink r:id="rId4" w:history="1">
        <w:r w:rsidRPr="001864C7">
          <w:rPr>
            <w:rStyle w:val="Hyperlink"/>
            <w:rFonts w:ascii="Arial" w:hAnsi="Arial" w:cs="Arial"/>
            <w:sz w:val="16"/>
            <w:szCs w:val="16"/>
          </w:rPr>
          <w:t>Why has the dollar been so strong – and can it continue? - US client - Schroders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2884803"/>
      <w:docPartObj>
        <w:docPartGallery w:val="Page Numbers (Bottom of Page)"/>
        <w:docPartUnique/>
      </w:docPartObj>
    </w:sdtPr>
    <w:sdtEndPr>
      <w:rPr>
        <w:rStyle w:val="PageNumber"/>
      </w:rPr>
    </w:sdtEndPr>
    <w:sdtContent>
      <w:p w14:paraId="023C6741" w14:textId="78082073" w:rsidR="007C4C9B" w:rsidRDefault="007C4C9B" w:rsidP="008A7B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5C1D70" w:rsidRDefault="005C1D70"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themeColor="background2" w:themeShade="80"/>
        <w:sz w:val="20"/>
      </w:rPr>
      <w:id w:val="1965231298"/>
      <w:docPartObj>
        <w:docPartGallery w:val="Page Numbers (Bottom of Page)"/>
        <w:docPartUnique/>
      </w:docPartObj>
    </w:sdtPr>
    <w:sdtEndPr>
      <w:rPr>
        <w:rStyle w:val="PageNumber"/>
      </w:rPr>
    </w:sdtEndPr>
    <w:sdtContent>
      <w:p w14:paraId="67D6EB2D" w14:textId="67F339F2" w:rsidR="007C4C9B" w:rsidRPr="007C4C9B" w:rsidRDefault="007C4C9B" w:rsidP="007C4C9B">
        <w:pPr>
          <w:pStyle w:val="Footer"/>
          <w:framePr w:wrap="none" w:vAnchor="text" w:hAnchor="page" w:x="11383" w:y="263"/>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sidRPr="007C4C9B">
          <w:rPr>
            <w:rStyle w:val="PageNumber"/>
            <w:rFonts w:ascii="Arial" w:hAnsi="Arial" w:cs="Arial"/>
            <w:noProof/>
            <w:color w:val="767171" w:themeColor="background2" w:themeShade="80"/>
            <w:sz w:val="20"/>
          </w:rPr>
          <w:t>1</w:t>
        </w:r>
        <w:r w:rsidRPr="007C4C9B">
          <w:rPr>
            <w:rStyle w:val="PageNumber"/>
            <w:rFonts w:ascii="Arial" w:hAnsi="Arial" w:cs="Arial"/>
            <w:color w:val="767171" w:themeColor="background2" w:themeShade="80"/>
            <w:sz w:val="20"/>
          </w:rPr>
          <w:fldChar w:fldCharType="end"/>
        </w:r>
      </w:p>
    </w:sdtContent>
  </w:sdt>
  <w:p w14:paraId="61E730C0" w14:textId="5F0D08E4" w:rsidR="005C1D70" w:rsidRDefault="00FE3FBC" w:rsidP="007C4C9B">
    <w:pPr>
      <w:pStyle w:val="Footer"/>
      <w:ind w:right="360"/>
    </w:pPr>
    <w:r>
      <w:rPr>
        <w:noProof/>
      </w:rPr>
      <mc:AlternateContent>
        <mc:Choice Requires="wps">
          <w:drawing>
            <wp:anchor distT="0" distB="0" distL="114300" distR="114300" simplePos="0" relativeHeight="251666432"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28AD7A7A" w14:textId="388D1436" w:rsidR="00C4372C" w:rsidRDefault="00C4372C" w:rsidP="00C4372C">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proofErr w:type="gramStart"/>
                          <w:r w:rsidR="004E0827">
                            <w:rPr>
                              <w:rFonts w:ascii="Arial" w:hAnsi="Arial" w:cs="Arial"/>
                              <w:color w:val="767171" w:themeColor="background2" w:themeShade="80"/>
                              <w:sz w:val="20"/>
                              <w:szCs w:val="36"/>
                            </w:rPr>
                            <w:t>general public</w:t>
                          </w:r>
                          <w:proofErr w:type="gramEnd"/>
                          <w:r w:rsidR="004E0827">
                            <w:rPr>
                              <w:rFonts w:ascii="Arial" w:hAnsi="Arial" w:cs="Arial"/>
                              <w:color w:val="767171" w:themeColor="background2" w:themeShade="80"/>
                              <w:sz w:val="20"/>
                              <w:szCs w:val="36"/>
                            </w:rPr>
                            <w:t xml:space="preserve"> use</w:t>
                          </w:r>
                          <w:r>
                            <w:rPr>
                              <w:rFonts w:ascii="Arial" w:hAnsi="Arial" w:cs="Arial"/>
                              <w:color w:val="767171" w:themeColor="background2" w:themeShade="80"/>
                              <w:sz w:val="20"/>
                              <w:szCs w:val="36"/>
                            </w:rPr>
                            <w:t>.</w:t>
                          </w:r>
                        </w:p>
                        <w:p w14:paraId="2195781A" w14:textId="1281B14B" w:rsidR="007C4C9B" w:rsidRPr="005C1D70" w:rsidRDefault="007C4C9B" w:rsidP="007C4C9B">
                          <w:pPr>
                            <w:rPr>
                              <w:rFonts w:ascii="Arial" w:hAnsi="Arial" w:cs="Arial"/>
                              <w:color w:val="767171" w:themeColor="background2" w:themeShade="80"/>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1" type="#_x0000_t202" style="position:absolute;margin-left:-36pt;margin-top:6.2pt;width:177.7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" filled="f" stroked="f" strokeweight=".5pt">
              <v:textbox inset="0">
                <w:txbxContent>
                  <w:p w14:paraId="28AD7A7A" w14:textId="388D1436" w:rsidR="00C4372C" w:rsidRDefault="00C4372C" w:rsidP="00C4372C">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proofErr w:type="gramStart"/>
                    <w:r w:rsidR="004E0827">
                      <w:rPr>
                        <w:rFonts w:ascii="Arial" w:hAnsi="Arial" w:cs="Arial"/>
                        <w:color w:val="767171" w:themeColor="background2" w:themeShade="80"/>
                        <w:sz w:val="20"/>
                        <w:szCs w:val="36"/>
                      </w:rPr>
                      <w:t>general public</w:t>
                    </w:r>
                    <w:proofErr w:type="gramEnd"/>
                    <w:r w:rsidR="004E0827">
                      <w:rPr>
                        <w:rFonts w:ascii="Arial" w:hAnsi="Arial" w:cs="Arial"/>
                        <w:color w:val="767171" w:themeColor="background2" w:themeShade="80"/>
                        <w:sz w:val="20"/>
                        <w:szCs w:val="36"/>
                      </w:rPr>
                      <w:t xml:space="preserve"> use</w:t>
                    </w:r>
                    <w:r>
                      <w:rPr>
                        <w:rFonts w:ascii="Arial" w:hAnsi="Arial" w:cs="Arial"/>
                        <w:color w:val="767171" w:themeColor="background2" w:themeShade="80"/>
                        <w:sz w:val="20"/>
                        <w:szCs w:val="36"/>
                      </w:rPr>
                      <w:t>.</w:t>
                    </w:r>
                  </w:p>
                  <w:p w14:paraId="2195781A" w14:textId="1281B14B" w:rsidR="007C4C9B" w:rsidRPr="005C1D70" w:rsidRDefault="007C4C9B" w:rsidP="007C4C9B">
                    <w:pPr>
                      <w:rPr>
                        <w:rFonts w:ascii="Arial" w:hAnsi="Arial" w:cs="Arial"/>
                        <w:color w:val="767171" w:themeColor="background2" w:themeShade="80"/>
                        <w:sz w:val="18"/>
                      </w:rPr>
                    </w:pPr>
                  </w:p>
                </w:txbxContent>
              </v:textbox>
            </v:shape>
          </w:pict>
        </mc:Fallback>
      </mc:AlternateContent>
    </w:r>
    <w:r w:rsidR="007C4C9B">
      <w:rPr>
        <w:noProof/>
      </w:rPr>
      <mc:AlternateContent>
        <mc:Choice Requires="wps">
          <w:drawing>
            <wp:anchor distT="0" distB="0" distL="114300" distR="114300" simplePos="0" relativeHeight="251668480"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2" type="#_x0000_t202" style="position:absolute;margin-left:424.15pt;margin-top:9.25pt;width:69.65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hvLA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CvMPZQnRGdg346vOWbBnt4ZD68MIfjgIBwxMMzLlIB3gUXi5Ia3K+/+WM+qoRRSlocr5L6n0fm&#10;BCXqu0H94iwm43Y6z3HjBu/+vdcc9T3g5E7wEVmezJgb1GBKB/oVX8A63oYhZjjeWdIwmPehH3Z8&#10;QVys1ykJJ8+y8Gi2lsfSkc3I7K57Zc5e6A+o2xMMA8iKDyr0ub0O62MA2SSJIr89mxfacWqTcpcX&#10;Fp/F+33KevsPrH4D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Bo9NhvLAIAAE8EAAAOAAAAAAAAAAAAAAAAAC4CAABkcnMv&#10;ZTJvRG9jLnhtbFBLAQItABQABgAIAAAAIQDEMLrL3QAAAAkBAAAPAAAAAAAAAAAAAAAAAIYEAABk&#10;cnMvZG93bnJldi54bWxQSwUGAAAAAAQABADzAAAAkAUAAAAA&#10;" filled="f" stroked="f" strokeweight=".5pt">
              <v:textbox inset="0,,0">
                <w:txbxContent>
                  <w:p w14:paraId="403A43B5" w14:textId="6A5B0C00"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r w:rsidR="007C4C9B">
      <w:rPr>
        <w:noProof/>
      </w:rPr>
      <mc:AlternateContent>
        <mc:Choice Requires="wps">
          <w:drawing>
            <wp:anchor distT="0" distB="0" distL="114300" distR="114300" simplePos="0" relativeHeight="251664384"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C67AA3" id="Straight Connector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themeColor="background2" w:themeShade="80"/>
        <w:sz w:val="20"/>
      </w:rPr>
      <w:id w:val="-1014764887"/>
      <w:docPartObj>
        <w:docPartGallery w:val="Page Numbers (Bottom of Page)"/>
        <w:docPartUnique/>
      </w:docPartObj>
    </w:sdtPr>
    <w:sdtEndPr>
      <w:rPr>
        <w:rStyle w:val="PageNumber"/>
      </w:rPr>
    </w:sdtEndPr>
    <w:sdtContent>
      <w:p w14:paraId="4E33B781" w14:textId="77777777" w:rsidR="00996FBD" w:rsidRPr="007C4C9B" w:rsidRDefault="00996FBD" w:rsidP="00996FBD">
        <w:pPr>
          <w:pStyle w:val="Footer"/>
          <w:framePr w:wrap="none" w:vAnchor="text" w:hAnchor="page" w:x="11383" w:y="248"/>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Pr>
            <w:rStyle w:val="PageNumber"/>
            <w:rFonts w:ascii="Arial" w:hAnsi="Arial" w:cs="Arial"/>
            <w:color w:val="767171" w:themeColor="background2" w:themeShade="80"/>
            <w:sz w:val="20"/>
          </w:rPr>
          <w:t>2</w:t>
        </w:r>
        <w:r w:rsidRPr="007C4C9B">
          <w:rPr>
            <w:rStyle w:val="PageNumber"/>
            <w:rFonts w:ascii="Arial" w:hAnsi="Arial" w:cs="Arial"/>
            <w:color w:val="767171" w:themeColor="background2" w:themeShade="80"/>
            <w:sz w:val="20"/>
          </w:rPr>
          <w:fldChar w:fldCharType="end"/>
        </w:r>
      </w:p>
    </w:sdtContent>
  </w:sdt>
  <w:p w14:paraId="6F2265DA" w14:textId="306EA383" w:rsidR="00996FBD" w:rsidRDefault="00FE3FBC" w:rsidP="00996FBD">
    <w:pPr>
      <w:pStyle w:val="Footer"/>
    </w:pPr>
    <w:r w:rsidRPr="00996FBD">
      <w:rPr>
        <w:noProof/>
      </w:rPr>
      <mc:AlternateContent>
        <mc:Choice Requires="wps">
          <w:drawing>
            <wp:anchor distT="0" distB="0" distL="114300" distR="114300" simplePos="0" relativeHeight="251676672" behindDoc="0" locked="0" layoutInCell="1" allowOverlap="1" wp14:anchorId="2EFAE302" wp14:editId="454B6BE1">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75AA59D3" w14:textId="328B384C" w:rsidR="00C4372C" w:rsidRDefault="004E0827" w:rsidP="00996FBD">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proofErr w:type="gramStart"/>
                          <w:r>
                            <w:rPr>
                              <w:rFonts w:ascii="Arial" w:hAnsi="Arial" w:cs="Arial"/>
                              <w:color w:val="767171" w:themeColor="background2" w:themeShade="80"/>
                              <w:sz w:val="20"/>
                              <w:szCs w:val="36"/>
                            </w:rPr>
                            <w:t>general public</w:t>
                          </w:r>
                          <w:proofErr w:type="gramEnd"/>
                          <w:r>
                            <w:rPr>
                              <w:rFonts w:ascii="Arial" w:hAnsi="Arial" w:cs="Arial"/>
                              <w:color w:val="767171" w:themeColor="background2" w:themeShade="80"/>
                              <w:sz w:val="20"/>
                              <w:szCs w:val="36"/>
                            </w:rPr>
                            <w:t xml:space="preserve"> use.</w:t>
                          </w:r>
                        </w:p>
                        <w:p w14:paraId="2D485B03" w14:textId="12983EB5" w:rsidR="00996FBD" w:rsidRPr="005C1D70" w:rsidRDefault="00FE3FBC" w:rsidP="00996FBD">
                          <w:pPr>
                            <w:rPr>
                              <w:rFonts w:ascii="Arial" w:hAnsi="Arial" w:cs="Arial"/>
                              <w:color w:val="767171" w:themeColor="background2" w:themeShade="80"/>
                              <w:sz w:val="18"/>
                            </w:rPr>
                          </w:pPr>
                          <w:r>
                            <w:rPr>
                              <w:rFonts w:ascii="Arial" w:hAnsi="Arial" w:cs="Arial"/>
                              <w:color w:val="767171" w:themeColor="background2" w:themeShade="80"/>
                              <w:sz w:val="20"/>
                              <w:szCs w:val="36"/>
                            </w:rPr>
                            <w: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5" type="#_x0000_t202" style="position:absolute;margin-left:-35.25pt;margin-top:6.2pt;width:182.3pt;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KG5eaTECAABWBAAADgAAAAAAAAAAAAAA&#10;AAAuAgAAZHJzL2Uyb0RvYy54bWxQSwECLQAUAAYACAAAACEAWXoqZ+IAAAAJAQAADwAAAAAAAAAA&#10;AAAAAACLBAAAZHJzL2Rvd25yZXYueG1sUEsFBgAAAAAEAAQA8wAAAJoFAAAAAA==&#10;" filled="f" stroked="f" strokeweight=".5pt">
              <v:textbox inset="0">
                <w:txbxContent>
                  <w:p w14:paraId="75AA59D3" w14:textId="328B384C" w:rsidR="00C4372C" w:rsidRDefault="004E0827" w:rsidP="00996FBD">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proofErr w:type="gramStart"/>
                    <w:r>
                      <w:rPr>
                        <w:rFonts w:ascii="Arial" w:hAnsi="Arial" w:cs="Arial"/>
                        <w:color w:val="767171" w:themeColor="background2" w:themeShade="80"/>
                        <w:sz w:val="20"/>
                        <w:szCs w:val="36"/>
                      </w:rPr>
                      <w:t>general public</w:t>
                    </w:r>
                    <w:proofErr w:type="gramEnd"/>
                    <w:r>
                      <w:rPr>
                        <w:rFonts w:ascii="Arial" w:hAnsi="Arial" w:cs="Arial"/>
                        <w:color w:val="767171" w:themeColor="background2" w:themeShade="80"/>
                        <w:sz w:val="20"/>
                        <w:szCs w:val="36"/>
                      </w:rPr>
                      <w:t xml:space="preserve"> use.</w:t>
                    </w:r>
                  </w:p>
                  <w:p w14:paraId="2D485B03" w14:textId="12983EB5" w:rsidR="00996FBD" w:rsidRPr="005C1D70" w:rsidRDefault="00FE3FBC" w:rsidP="00996FBD">
                    <w:pPr>
                      <w:rPr>
                        <w:rFonts w:ascii="Arial" w:hAnsi="Arial" w:cs="Arial"/>
                        <w:color w:val="767171" w:themeColor="background2" w:themeShade="80"/>
                        <w:sz w:val="18"/>
                      </w:rPr>
                    </w:pPr>
                    <w:r>
                      <w:rPr>
                        <w:rFonts w:ascii="Arial" w:hAnsi="Arial" w:cs="Arial"/>
                        <w:color w:val="767171" w:themeColor="background2" w:themeShade="80"/>
                        <w:sz w:val="20"/>
                        <w:szCs w:val="36"/>
                      </w:rPr>
                      <w:t>.</w:t>
                    </w:r>
                  </w:p>
                </w:txbxContent>
              </v:textbox>
            </v:shape>
          </w:pict>
        </mc:Fallback>
      </mc:AlternateContent>
    </w:r>
    <w:r w:rsidR="00996FBD" w:rsidRPr="00996FBD">
      <w:t xml:space="preserve"> </w:t>
    </w:r>
    <w:r w:rsidR="00996FBD" w:rsidRPr="00996FBD">
      <w:rPr>
        <w:noProof/>
      </w:rPr>
      <mc:AlternateContent>
        <mc:Choice Requires="wps">
          <w:drawing>
            <wp:anchor distT="0" distB="0" distL="114300" distR="114300" simplePos="0" relativeHeight="251675648"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F7EE1F" id="Straight Connector 12"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00996FBD" w:rsidRPr="00996FBD">
      <w:rPr>
        <w:noProof/>
      </w:rPr>
      <mc:AlternateContent>
        <mc:Choice Requires="wps">
          <w:drawing>
            <wp:anchor distT="0" distB="0" distL="114300" distR="114300" simplePos="0" relativeHeight="251677696"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6" type="#_x0000_t202" style="position:absolute;margin-left:424.8pt;margin-top:8.85pt;width:69.65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GgoDxItAgAAUQQAAA4AAAAAAAAAAAAAAAAALgIAAGRy&#10;cy9lMm9Eb2MueG1sUEsBAi0AFAAGAAgAAAAhAC1aEgveAAAACQEAAA8AAAAAAAAAAAAAAAAAhwQA&#10;AGRycy9kb3ducmV2LnhtbFBLBQYAAAAABAAEAPMAAACSBQAAAAA=&#10;" filled="f" stroked="f" strokeweight=".5pt">
              <v:textbox inset="0,,0">
                <w:txbxContent>
                  <w:p w14:paraId="41AE2049"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61DCD" w14:textId="77777777" w:rsidR="002A54DB" w:rsidRDefault="002A54DB" w:rsidP="005C1D70">
      <w:pPr>
        <w:spacing w:after="0" w:line="240" w:lineRule="auto"/>
      </w:pPr>
      <w:r>
        <w:separator/>
      </w:r>
    </w:p>
  </w:footnote>
  <w:footnote w:type="continuationSeparator" w:id="0">
    <w:p w14:paraId="7014E627" w14:textId="77777777" w:rsidR="002A54DB" w:rsidRDefault="002A54DB"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5968" w14:textId="32616DEF" w:rsidR="005C1D70" w:rsidRDefault="00996FBD"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6B206"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B0E64" w14:textId="77777777" w:rsidR="0037202D" w:rsidRDefault="0037202D" w:rsidP="0037202D">
    <w:pPr>
      <w:pStyle w:val="Header"/>
    </w:pPr>
    <w:r w:rsidRPr="00996FBD">
      <w:rPr>
        <w:noProof/>
      </w:rPr>
      <mc:AlternateContent>
        <mc:Choice Requires="wps">
          <w:drawing>
            <wp:anchor distT="0" distB="0" distL="114300" distR="114300" simplePos="0" relativeHeight="251683840" behindDoc="0" locked="0" layoutInCell="1" allowOverlap="1" wp14:anchorId="69C3EC04" wp14:editId="1C423F8E">
              <wp:simplePos x="0" y="0"/>
              <wp:positionH relativeFrom="column">
                <wp:posOffset>-453225</wp:posOffset>
              </wp:positionH>
              <wp:positionV relativeFrom="paragraph">
                <wp:posOffset>155050</wp:posOffset>
              </wp:positionV>
              <wp:extent cx="1144987" cy="2703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44987" cy="270345"/>
                      </a:xfrm>
                      <a:prstGeom prst="rect">
                        <a:avLst/>
                      </a:prstGeom>
                      <a:noFill/>
                      <a:ln w="6350">
                        <a:noFill/>
                      </a:ln>
                    </wps:spPr>
                    <wps:txbx>
                      <w:txbxContent>
                        <w:p w14:paraId="69C0C563" w14:textId="2137B616" w:rsidR="0037202D" w:rsidRPr="0037202D" w:rsidRDefault="002C51AE" w:rsidP="0037202D">
                          <w:pPr>
                            <w:rPr>
                              <w:rFonts w:ascii="Arial" w:hAnsi="Arial" w:cs="Arial"/>
                              <w:sz w:val="18"/>
                            </w:rPr>
                          </w:pPr>
                          <w:r>
                            <w:rPr>
                              <w:rFonts w:ascii="Arial" w:hAnsi="Arial" w:cs="Arial"/>
                            </w:rPr>
                            <w:t>June</w:t>
                          </w:r>
                          <w:r w:rsidR="0037202D">
                            <w:rPr>
                              <w:rFonts w:ascii="Arial" w:hAnsi="Arial" w:cs="Arial"/>
                            </w:rPr>
                            <w:t xml:space="preserve"> 2</w:t>
                          </w:r>
                          <w:r w:rsidR="00D31089">
                            <w:rPr>
                              <w:rFonts w:ascii="Arial" w:hAnsi="Arial" w:cs="Arial"/>
                            </w:rPr>
                            <w:t>02</w:t>
                          </w:r>
                          <w:r w:rsidR="00F27D3C">
                            <w:rPr>
                              <w:rFonts w:ascii="Arial" w:hAnsi="Arial" w:cs="Arial"/>
                            </w:rPr>
                            <w:t>2</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3EC04" id="_x0000_t202" coordsize="21600,21600" o:spt="202" path="m,l,21600r21600,l21600,xe">
              <v:stroke joinstyle="miter"/>
              <v:path gradientshapeok="t" o:connecttype="rect"/>
            </v:shapetype>
            <v:shape id="Text Box 10" o:spid="_x0000_s1033" type="#_x0000_t202" style="position:absolute;margin-left:-35.7pt;margin-top:12.2pt;width:90.15pt;height: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" filled="f" stroked="f" strokeweight=".5pt">
              <v:textbox inset="0">
                <w:txbxContent>
                  <w:p w14:paraId="69C0C563" w14:textId="2137B616" w:rsidR="0037202D" w:rsidRPr="0037202D" w:rsidRDefault="002C51AE" w:rsidP="0037202D">
                    <w:pPr>
                      <w:rPr>
                        <w:rFonts w:ascii="Arial" w:hAnsi="Arial" w:cs="Arial"/>
                        <w:sz w:val="18"/>
                      </w:rPr>
                    </w:pPr>
                    <w:r>
                      <w:rPr>
                        <w:rFonts w:ascii="Arial" w:hAnsi="Arial" w:cs="Arial"/>
                      </w:rPr>
                      <w:t>June</w:t>
                    </w:r>
                    <w:r w:rsidR="0037202D">
                      <w:rPr>
                        <w:rFonts w:ascii="Arial" w:hAnsi="Arial" w:cs="Arial"/>
                      </w:rPr>
                      <w:t xml:space="preserve"> 2</w:t>
                    </w:r>
                    <w:r w:rsidR="00D31089">
                      <w:rPr>
                        <w:rFonts w:ascii="Arial" w:hAnsi="Arial" w:cs="Arial"/>
                      </w:rPr>
                      <w:t>02</w:t>
                    </w:r>
                    <w:r w:rsidR="00F27D3C">
                      <w:rPr>
                        <w:rFonts w:ascii="Arial" w:hAnsi="Arial" w:cs="Arial"/>
                      </w:rPr>
                      <w:t>2</w:t>
                    </w:r>
                  </w:p>
                </w:txbxContent>
              </v:textbox>
            </v:shape>
          </w:pict>
        </mc:Fallback>
      </mc:AlternateContent>
    </w:r>
    <w:r w:rsidRPr="00996FBD">
      <w:rPr>
        <w:noProof/>
      </w:rPr>
      <mc:AlternateContent>
        <mc:Choice Requires="wps">
          <w:drawing>
            <wp:anchor distT="0" distB="0" distL="114300" distR="114300" simplePos="0" relativeHeight="251682816" behindDoc="0" locked="0" layoutInCell="1" allowOverlap="1" wp14:anchorId="348CE5DB" wp14:editId="1C5AD009">
              <wp:simplePos x="0" y="0"/>
              <wp:positionH relativeFrom="column">
                <wp:posOffset>-451413</wp:posOffset>
              </wp:positionH>
              <wp:positionV relativeFrom="paragraph">
                <wp:posOffset>457200</wp:posOffset>
              </wp:positionV>
              <wp:extent cx="4805045" cy="755819"/>
              <wp:effectExtent l="0" t="0" r="0" b="0"/>
              <wp:wrapNone/>
              <wp:docPr id="9" name="Text Box 9"/>
              <wp:cNvGraphicFramePr/>
              <a:graphic xmlns:a="http://schemas.openxmlformats.org/drawingml/2006/main">
                <a:graphicData uri="http://schemas.microsoft.com/office/word/2010/wordprocessingShape">
                  <wps:wsp>
                    <wps:cNvSpPr txBox="1"/>
                    <wps:spPr>
                      <a:xfrm>
                        <a:off x="0" y="0"/>
                        <a:ext cx="4805045" cy="755819"/>
                      </a:xfrm>
                      <a:prstGeom prst="rect">
                        <a:avLst/>
                      </a:prstGeom>
                      <a:noFill/>
                      <a:ln w="6350">
                        <a:noFill/>
                      </a:ln>
                    </wps:spPr>
                    <wps:txbx>
                      <w:txbxContent>
                        <w:p w14:paraId="69E25840" w14:textId="77777777" w:rsidR="0037202D" w:rsidRPr="00B5385F" w:rsidRDefault="0037202D" w:rsidP="0037202D">
                          <w:pPr>
                            <w:pStyle w:val="Style1"/>
                            <w:rPr>
                              <w:color w:val="007EBB"/>
                              <w:sz w:val="48"/>
                            </w:rPr>
                          </w:pPr>
                          <w:r w:rsidRPr="00B5385F">
                            <w:rPr>
                              <w:color w:val="007EBB"/>
                              <w:sz w:val="28"/>
                            </w:rPr>
                            <w:t>MONTHLY</w:t>
                          </w:r>
                          <w:r w:rsidRPr="00B5385F">
                            <w:rPr>
                              <w:color w:val="007EBB"/>
                              <w:sz w:val="36"/>
                            </w:rPr>
                            <w:t xml:space="preserve"> </w:t>
                          </w:r>
                        </w:p>
                        <w:p w14:paraId="2B60730E" w14:textId="77777777" w:rsidR="0037202D" w:rsidRPr="00C91248" w:rsidRDefault="0037202D" w:rsidP="0037202D">
                          <w:pPr>
                            <w:pStyle w:val="Heading1"/>
                            <w:rPr>
                              <w:sz w:val="64"/>
                              <w:szCs w:val="64"/>
                            </w:rPr>
                          </w:pPr>
                          <w:r w:rsidRPr="00C91248">
                            <w:rPr>
                              <w:sz w:val="64"/>
                              <w:szCs w:val="64"/>
                            </w:rPr>
                            <w:t xml:space="preserve">Market Review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CE5DB" id="Text Box 9" o:spid="_x0000_s1034" type="#_x0000_t202" style="position:absolute;margin-left:-35.55pt;margin-top:36pt;width:378.35pt;height: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" filled="f" stroked="f" strokeweight=".5pt">
              <v:textbox inset="0">
                <w:txbxContent>
                  <w:p w14:paraId="69E25840" w14:textId="77777777" w:rsidR="0037202D" w:rsidRPr="00B5385F" w:rsidRDefault="0037202D" w:rsidP="0037202D">
                    <w:pPr>
                      <w:pStyle w:val="Style1"/>
                      <w:rPr>
                        <w:color w:val="007EBB"/>
                        <w:sz w:val="48"/>
                      </w:rPr>
                    </w:pPr>
                    <w:r w:rsidRPr="00B5385F">
                      <w:rPr>
                        <w:color w:val="007EBB"/>
                        <w:sz w:val="28"/>
                      </w:rPr>
                      <w:t>MONTHLY</w:t>
                    </w:r>
                    <w:r w:rsidRPr="00B5385F">
                      <w:rPr>
                        <w:color w:val="007EBB"/>
                        <w:sz w:val="36"/>
                      </w:rPr>
                      <w:t xml:space="preserve"> </w:t>
                    </w:r>
                  </w:p>
                  <w:p w14:paraId="2B60730E" w14:textId="77777777" w:rsidR="0037202D" w:rsidRPr="00C91248" w:rsidRDefault="0037202D" w:rsidP="0037202D">
                    <w:pPr>
                      <w:pStyle w:val="Heading1"/>
                      <w:rPr>
                        <w:sz w:val="64"/>
                        <w:szCs w:val="64"/>
                      </w:rPr>
                    </w:pPr>
                    <w:r w:rsidRPr="00C91248">
                      <w:rPr>
                        <w:sz w:val="64"/>
                        <w:szCs w:val="64"/>
                      </w:rPr>
                      <w:t xml:space="preserve">Market Review     </w:t>
                    </w:r>
                  </w:p>
                </w:txbxContent>
              </v:textbox>
            </v:shape>
          </w:pict>
        </mc:Fallback>
      </mc:AlternateContent>
    </w:r>
    <w:r w:rsidRPr="00996FBD">
      <w:rPr>
        <w:noProof/>
      </w:rPr>
      <mc:AlternateContent>
        <mc:Choice Requires="wps">
          <w:drawing>
            <wp:anchor distT="0" distB="0" distL="114300" distR="114300" simplePos="0" relativeHeight="251681792" behindDoc="0" locked="0" layoutInCell="1" allowOverlap="1" wp14:anchorId="62EBBC10" wp14:editId="089AA701">
              <wp:simplePos x="0" y="0"/>
              <wp:positionH relativeFrom="margin">
                <wp:posOffset>-904240</wp:posOffset>
              </wp:positionH>
              <wp:positionV relativeFrom="paragraph">
                <wp:posOffset>1250315</wp:posOffset>
              </wp:positionV>
              <wp:extent cx="7772400" cy="36195"/>
              <wp:effectExtent l="0" t="0" r="0" b="1905"/>
              <wp:wrapNone/>
              <wp:docPr id="8" name="Rectangle 8"/>
              <wp:cNvGraphicFramePr/>
              <a:graphic xmlns:a="http://schemas.openxmlformats.org/drawingml/2006/main">
                <a:graphicData uri="http://schemas.microsoft.com/office/word/2010/wordprocessingShape">
                  <wps:wsp>
                    <wps:cNvSpPr/>
                    <wps:spPr>
                      <a:xfrm flipV="1">
                        <a:off x="0" y="0"/>
                        <a:ext cx="7772400" cy="36195"/>
                      </a:xfrm>
                      <a:prstGeom prst="rect">
                        <a:avLst/>
                      </a:prstGeom>
                      <a:solidFill>
                        <a:srgbClr val="004C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2ECF2" id="Rectangle 8" o:spid="_x0000_s1026" style="position:absolute;margin-left:-71.2pt;margin-top:98.45pt;width:612pt;height:2.85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" fillcolor="#004c7e" stroked="f" strokeweight="1pt">
              <w10:wrap anchorx="margin"/>
            </v:rect>
          </w:pict>
        </mc:Fallback>
      </mc:AlternateContent>
    </w:r>
  </w:p>
  <w:p w14:paraId="512E40EC" w14:textId="77777777" w:rsidR="0037202D" w:rsidRPr="0037202D" w:rsidRDefault="0037202D" w:rsidP="00372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4"/>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AwMDY2NzE2MjYxMjZX0lEKTi0uzszPAykwrwUAEGlufywAAAA="/>
    <w:docVar w:name="APWAFNeedToUniquify" w:val="false"/>
    <w:docVar w:name="APWAFVersion" w:val="5.0"/>
  </w:docVars>
  <w:rsids>
    <w:rsidRoot w:val="005C1D70"/>
    <w:rsid w:val="000019A6"/>
    <w:rsid w:val="0000260F"/>
    <w:rsid w:val="00005BBE"/>
    <w:rsid w:val="0000769F"/>
    <w:rsid w:val="00007A7E"/>
    <w:rsid w:val="00010B74"/>
    <w:rsid w:val="000112B7"/>
    <w:rsid w:val="00011A53"/>
    <w:rsid w:val="00011C41"/>
    <w:rsid w:val="000131D4"/>
    <w:rsid w:val="00015BBE"/>
    <w:rsid w:val="00016117"/>
    <w:rsid w:val="00016A13"/>
    <w:rsid w:val="00016B9E"/>
    <w:rsid w:val="000206C0"/>
    <w:rsid w:val="00023599"/>
    <w:rsid w:val="000240EF"/>
    <w:rsid w:val="000242CF"/>
    <w:rsid w:val="000242F4"/>
    <w:rsid w:val="00024439"/>
    <w:rsid w:val="00025503"/>
    <w:rsid w:val="00025D22"/>
    <w:rsid w:val="0003017C"/>
    <w:rsid w:val="00030ECA"/>
    <w:rsid w:val="0003376F"/>
    <w:rsid w:val="000348C0"/>
    <w:rsid w:val="0003567F"/>
    <w:rsid w:val="000371DC"/>
    <w:rsid w:val="00041620"/>
    <w:rsid w:val="00042E23"/>
    <w:rsid w:val="000430A6"/>
    <w:rsid w:val="00045057"/>
    <w:rsid w:val="00051F5A"/>
    <w:rsid w:val="000525E5"/>
    <w:rsid w:val="00053DFF"/>
    <w:rsid w:val="00053EFC"/>
    <w:rsid w:val="00054C1C"/>
    <w:rsid w:val="00066B89"/>
    <w:rsid w:val="00067D72"/>
    <w:rsid w:val="00074F9A"/>
    <w:rsid w:val="0007798A"/>
    <w:rsid w:val="00081251"/>
    <w:rsid w:val="00081973"/>
    <w:rsid w:val="00082B41"/>
    <w:rsid w:val="00090399"/>
    <w:rsid w:val="0009147A"/>
    <w:rsid w:val="0009187A"/>
    <w:rsid w:val="00091B63"/>
    <w:rsid w:val="000929C4"/>
    <w:rsid w:val="00092E4D"/>
    <w:rsid w:val="00094A2D"/>
    <w:rsid w:val="000966B3"/>
    <w:rsid w:val="00096F2C"/>
    <w:rsid w:val="000A165A"/>
    <w:rsid w:val="000A2108"/>
    <w:rsid w:val="000A2ED9"/>
    <w:rsid w:val="000A5A3C"/>
    <w:rsid w:val="000A6046"/>
    <w:rsid w:val="000A7488"/>
    <w:rsid w:val="000A7E8D"/>
    <w:rsid w:val="000B0791"/>
    <w:rsid w:val="000B134F"/>
    <w:rsid w:val="000B19DD"/>
    <w:rsid w:val="000B1D36"/>
    <w:rsid w:val="000B2834"/>
    <w:rsid w:val="000B3F75"/>
    <w:rsid w:val="000B4C97"/>
    <w:rsid w:val="000B540D"/>
    <w:rsid w:val="000C049C"/>
    <w:rsid w:val="000C06AC"/>
    <w:rsid w:val="000C1030"/>
    <w:rsid w:val="000C1F1A"/>
    <w:rsid w:val="000C24C5"/>
    <w:rsid w:val="000C4AB5"/>
    <w:rsid w:val="000C4D71"/>
    <w:rsid w:val="000C698E"/>
    <w:rsid w:val="000C739F"/>
    <w:rsid w:val="000D0736"/>
    <w:rsid w:val="000D23E8"/>
    <w:rsid w:val="000D25A4"/>
    <w:rsid w:val="000D2EE5"/>
    <w:rsid w:val="000D4110"/>
    <w:rsid w:val="000D4E54"/>
    <w:rsid w:val="000D5016"/>
    <w:rsid w:val="000D5AF4"/>
    <w:rsid w:val="000D72DA"/>
    <w:rsid w:val="000D76AB"/>
    <w:rsid w:val="000E02C0"/>
    <w:rsid w:val="000E10AE"/>
    <w:rsid w:val="000E31F0"/>
    <w:rsid w:val="000E345D"/>
    <w:rsid w:val="000E36C6"/>
    <w:rsid w:val="000E4CDF"/>
    <w:rsid w:val="000E5F02"/>
    <w:rsid w:val="000E6691"/>
    <w:rsid w:val="000E72AF"/>
    <w:rsid w:val="000F051F"/>
    <w:rsid w:val="000F158F"/>
    <w:rsid w:val="000F4301"/>
    <w:rsid w:val="000F5D04"/>
    <w:rsid w:val="000F6A69"/>
    <w:rsid w:val="000F79F4"/>
    <w:rsid w:val="000F7DAD"/>
    <w:rsid w:val="00100FC7"/>
    <w:rsid w:val="0010194E"/>
    <w:rsid w:val="00101B62"/>
    <w:rsid w:val="00101E87"/>
    <w:rsid w:val="001054EB"/>
    <w:rsid w:val="001061F5"/>
    <w:rsid w:val="0010785C"/>
    <w:rsid w:val="0011194D"/>
    <w:rsid w:val="00112281"/>
    <w:rsid w:val="001142B7"/>
    <w:rsid w:val="00114CA7"/>
    <w:rsid w:val="00117FBC"/>
    <w:rsid w:val="00120228"/>
    <w:rsid w:val="0012078C"/>
    <w:rsid w:val="00120D18"/>
    <w:rsid w:val="001220AD"/>
    <w:rsid w:val="00126D79"/>
    <w:rsid w:val="001318F1"/>
    <w:rsid w:val="00133681"/>
    <w:rsid w:val="00135076"/>
    <w:rsid w:val="00135AE9"/>
    <w:rsid w:val="0013691A"/>
    <w:rsid w:val="00137F05"/>
    <w:rsid w:val="00140B3E"/>
    <w:rsid w:val="001437D6"/>
    <w:rsid w:val="0014506F"/>
    <w:rsid w:val="0015043F"/>
    <w:rsid w:val="00150B19"/>
    <w:rsid w:val="00151D69"/>
    <w:rsid w:val="001535ED"/>
    <w:rsid w:val="001649B9"/>
    <w:rsid w:val="00170A3E"/>
    <w:rsid w:val="00174514"/>
    <w:rsid w:val="00174990"/>
    <w:rsid w:val="00175576"/>
    <w:rsid w:val="00175F3F"/>
    <w:rsid w:val="00176A6B"/>
    <w:rsid w:val="001779A9"/>
    <w:rsid w:val="00184874"/>
    <w:rsid w:val="001859E9"/>
    <w:rsid w:val="001864C7"/>
    <w:rsid w:val="001867A3"/>
    <w:rsid w:val="00192D1F"/>
    <w:rsid w:val="00192E8F"/>
    <w:rsid w:val="00194BC0"/>
    <w:rsid w:val="0019560C"/>
    <w:rsid w:val="00196F86"/>
    <w:rsid w:val="001A07B6"/>
    <w:rsid w:val="001A1863"/>
    <w:rsid w:val="001A18BD"/>
    <w:rsid w:val="001A3B06"/>
    <w:rsid w:val="001A42D1"/>
    <w:rsid w:val="001A57E4"/>
    <w:rsid w:val="001A6654"/>
    <w:rsid w:val="001B0603"/>
    <w:rsid w:val="001B1060"/>
    <w:rsid w:val="001B109A"/>
    <w:rsid w:val="001B2683"/>
    <w:rsid w:val="001B37C3"/>
    <w:rsid w:val="001B3C5E"/>
    <w:rsid w:val="001B49C8"/>
    <w:rsid w:val="001B5EFB"/>
    <w:rsid w:val="001B62EA"/>
    <w:rsid w:val="001B6B17"/>
    <w:rsid w:val="001B6F67"/>
    <w:rsid w:val="001C0C09"/>
    <w:rsid w:val="001C2718"/>
    <w:rsid w:val="001C403B"/>
    <w:rsid w:val="001D058D"/>
    <w:rsid w:val="001D0F27"/>
    <w:rsid w:val="001D1C5C"/>
    <w:rsid w:val="001D28D0"/>
    <w:rsid w:val="001D29C3"/>
    <w:rsid w:val="001D2EDE"/>
    <w:rsid w:val="001D41CD"/>
    <w:rsid w:val="001D528D"/>
    <w:rsid w:val="001D5914"/>
    <w:rsid w:val="001D5AEF"/>
    <w:rsid w:val="001D5D2F"/>
    <w:rsid w:val="001D6BC2"/>
    <w:rsid w:val="001D7A8E"/>
    <w:rsid w:val="001D7C01"/>
    <w:rsid w:val="001E0BE1"/>
    <w:rsid w:val="001E1073"/>
    <w:rsid w:val="001E1180"/>
    <w:rsid w:val="001E21E7"/>
    <w:rsid w:val="001E3BDA"/>
    <w:rsid w:val="001E3C1A"/>
    <w:rsid w:val="001E4456"/>
    <w:rsid w:val="001E4E23"/>
    <w:rsid w:val="001E4FD6"/>
    <w:rsid w:val="001E581D"/>
    <w:rsid w:val="001E5CB7"/>
    <w:rsid w:val="001E71B3"/>
    <w:rsid w:val="001F06B2"/>
    <w:rsid w:val="001F0ADB"/>
    <w:rsid w:val="001F2BF8"/>
    <w:rsid w:val="001F5138"/>
    <w:rsid w:val="001F51C9"/>
    <w:rsid w:val="001F565A"/>
    <w:rsid w:val="002005D2"/>
    <w:rsid w:val="002037A8"/>
    <w:rsid w:val="002048C9"/>
    <w:rsid w:val="00205777"/>
    <w:rsid w:val="002077B7"/>
    <w:rsid w:val="00207A30"/>
    <w:rsid w:val="00210021"/>
    <w:rsid w:val="00213810"/>
    <w:rsid w:val="00213950"/>
    <w:rsid w:val="00215800"/>
    <w:rsid w:val="00216342"/>
    <w:rsid w:val="00217E04"/>
    <w:rsid w:val="00220328"/>
    <w:rsid w:val="00220666"/>
    <w:rsid w:val="00220E56"/>
    <w:rsid w:val="002215DC"/>
    <w:rsid w:val="002220C2"/>
    <w:rsid w:val="00225891"/>
    <w:rsid w:val="00225D97"/>
    <w:rsid w:val="002276A3"/>
    <w:rsid w:val="00227DDC"/>
    <w:rsid w:val="00230680"/>
    <w:rsid w:val="00232B67"/>
    <w:rsid w:val="00232B8E"/>
    <w:rsid w:val="00235DA5"/>
    <w:rsid w:val="00236820"/>
    <w:rsid w:val="002401F6"/>
    <w:rsid w:val="00240C3F"/>
    <w:rsid w:val="002417A8"/>
    <w:rsid w:val="00241BAE"/>
    <w:rsid w:val="002420DC"/>
    <w:rsid w:val="00243C06"/>
    <w:rsid w:val="002453BF"/>
    <w:rsid w:val="00245B44"/>
    <w:rsid w:val="002464B2"/>
    <w:rsid w:val="0024750F"/>
    <w:rsid w:val="00247852"/>
    <w:rsid w:val="002518A8"/>
    <w:rsid w:val="00255E94"/>
    <w:rsid w:val="00255EB5"/>
    <w:rsid w:val="00256320"/>
    <w:rsid w:val="00256F12"/>
    <w:rsid w:val="002578AC"/>
    <w:rsid w:val="0026106D"/>
    <w:rsid w:val="00261B59"/>
    <w:rsid w:val="00262F13"/>
    <w:rsid w:val="0026361E"/>
    <w:rsid w:val="00272AF5"/>
    <w:rsid w:val="0027410D"/>
    <w:rsid w:val="0027433B"/>
    <w:rsid w:val="00274534"/>
    <w:rsid w:val="00275EBE"/>
    <w:rsid w:val="00280A79"/>
    <w:rsid w:val="00281338"/>
    <w:rsid w:val="00281444"/>
    <w:rsid w:val="002815AB"/>
    <w:rsid w:val="00282274"/>
    <w:rsid w:val="00282A2B"/>
    <w:rsid w:val="00283686"/>
    <w:rsid w:val="00284562"/>
    <w:rsid w:val="00284AA4"/>
    <w:rsid w:val="002859EB"/>
    <w:rsid w:val="00290B7F"/>
    <w:rsid w:val="00291044"/>
    <w:rsid w:val="0029313A"/>
    <w:rsid w:val="00293B4E"/>
    <w:rsid w:val="00296183"/>
    <w:rsid w:val="002973E5"/>
    <w:rsid w:val="00297E82"/>
    <w:rsid w:val="002A1561"/>
    <w:rsid w:val="002A235D"/>
    <w:rsid w:val="002A381C"/>
    <w:rsid w:val="002A461C"/>
    <w:rsid w:val="002A54DB"/>
    <w:rsid w:val="002A773F"/>
    <w:rsid w:val="002B05C8"/>
    <w:rsid w:val="002C02AF"/>
    <w:rsid w:val="002C0565"/>
    <w:rsid w:val="002C51AE"/>
    <w:rsid w:val="002D05E4"/>
    <w:rsid w:val="002D22E8"/>
    <w:rsid w:val="002D2320"/>
    <w:rsid w:val="002D37C9"/>
    <w:rsid w:val="002D4F15"/>
    <w:rsid w:val="002D50C3"/>
    <w:rsid w:val="002D792A"/>
    <w:rsid w:val="002D7DC5"/>
    <w:rsid w:val="002E0A7B"/>
    <w:rsid w:val="002E23C4"/>
    <w:rsid w:val="002E2D0E"/>
    <w:rsid w:val="002E433C"/>
    <w:rsid w:val="002E4898"/>
    <w:rsid w:val="002E508A"/>
    <w:rsid w:val="002E50EA"/>
    <w:rsid w:val="002E5BCA"/>
    <w:rsid w:val="002E6AFD"/>
    <w:rsid w:val="002E6E8A"/>
    <w:rsid w:val="002E7719"/>
    <w:rsid w:val="002F07C5"/>
    <w:rsid w:val="002F16B9"/>
    <w:rsid w:val="002F1EC0"/>
    <w:rsid w:val="002F2B29"/>
    <w:rsid w:val="002F5CB2"/>
    <w:rsid w:val="002F79F4"/>
    <w:rsid w:val="002F7F11"/>
    <w:rsid w:val="00300023"/>
    <w:rsid w:val="00300BBA"/>
    <w:rsid w:val="003014F1"/>
    <w:rsid w:val="00303294"/>
    <w:rsid w:val="0030348F"/>
    <w:rsid w:val="00304FF2"/>
    <w:rsid w:val="00305296"/>
    <w:rsid w:val="00306374"/>
    <w:rsid w:val="00311CC1"/>
    <w:rsid w:val="003127F9"/>
    <w:rsid w:val="0031343F"/>
    <w:rsid w:val="00314D80"/>
    <w:rsid w:val="00317921"/>
    <w:rsid w:val="00322025"/>
    <w:rsid w:val="003220F7"/>
    <w:rsid w:val="003231DB"/>
    <w:rsid w:val="0032479E"/>
    <w:rsid w:val="00325856"/>
    <w:rsid w:val="003268E6"/>
    <w:rsid w:val="00331075"/>
    <w:rsid w:val="0033118A"/>
    <w:rsid w:val="00331690"/>
    <w:rsid w:val="00340787"/>
    <w:rsid w:val="003435A3"/>
    <w:rsid w:val="00343802"/>
    <w:rsid w:val="00343C2A"/>
    <w:rsid w:val="00345399"/>
    <w:rsid w:val="00346527"/>
    <w:rsid w:val="00352A50"/>
    <w:rsid w:val="0035334B"/>
    <w:rsid w:val="00353E32"/>
    <w:rsid w:val="00355722"/>
    <w:rsid w:val="00355CA4"/>
    <w:rsid w:val="00362D4D"/>
    <w:rsid w:val="0037202D"/>
    <w:rsid w:val="00372C2F"/>
    <w:rsid w:val="003730E1"/>
    <w:rsid w:val="0037448D"/>
    <w:rsid w:val="003762FC"/>
    <w:rsid w:val="0037726A"/>
    <w:rsid w:val="00381EB7"/>
    <w:rsid w:val="0038317A"/>
    <w:rsid w:val="003835CC"/>
    <w:rsid w:val="00383AF2"/>
    <w:rsid w:val="00383F8F"/>
    <w:rsid w:val="00385C7C"/>
    <w:rsid w:val="0039028E"/>
    <w:rsid w:val="00391512"/>
    <w:rsid w:val="00393334"/>
    <w:rsid w:val="0039373B"/>
    <w:rsid w:val="003948A6"/>
    <w:rsid w:val="00396976"/>
    <w:rsid w:val="003A027C"/>
    <w:rsid w:val="003A04E0"/>
    <w:rsid w:val="003A0A0D"/>
    <w:rsid w:val="003A17E9"/>
    <w:rsid w:val="003A1C0B"/>
    <w:rsid w:val="003A27B5"/>
    <w:rsid w:val="003A312A"/>
    <w:rsid w:val="003A67D5"/>
    <w:rsid w:val="003A729F"/>
    <w:rsid w:val="003A796C"/>
    <w:rsid w:val="003A79ED"/>
    <w:rsid w:val="003A7A06"/>
    <w:rsid w:val="003B0F64"/>
    <w:rsid w:val="003B3C6E"/>
    <w:rsid w:val="003B3EEE"/>
    <w:rsid w:val="003B7A38"/>
    <w:rsid w:val="003C1DEF"/>
    <w:rsid w:val="003C1EE4"/>
    <w:rsid w:val="003C297B"/>
    <w:rsid w:val="003C2C63"/>
    <w:rsid w:val="003C438F"/>
    <w:rsid w:val="003C4C11"/>
    <w:rsid w:val="003C547B"/>
    <w:rsid w:val="003C5B6F"/>
    <w:rsid w:val="003D09BD"/>
    <w:rsid w:val="003D0E2B"/>
    <w:rsid w:val="003D27ED"/>
    <w:rsid w:val="003D535D"/>
    <w:rsid w:val="003D596A"/>
    <w:rsid w:val="003D6A52"/>
    <w:rsid w:val="003D7552"/>
    <w:rsid w:val="003E2BF1"/>
    <w:rsid w:val="003E3FAC"/>
    <w:rsid w:val="003E4429"/>
    <w:rsid w:val="003E5A99"/>
    <w:rsid w:val="003E6762"/>
    <w:rsid w:val="003F0BE4"/>
    <w:rsid w:val="003F0F82"/>
    <w:rsid w:val="003F1491"/>
    <w:rsid w:val="003F1C77"/>
    <w:rsid w:val="003F4056"/>
    <w:rsid w:val="003F4A96"/>
    <w:rsid w:val="003F588B"/>
    <w:rsid w:val="003F5A3A"/>
    <w:rsid w:val="003F6944"/>
    <w:rsid w:val="003F79DC"/>
    <w:rsid w:val="004014FA"/>
    <w:rsid w:val="0040163B"/>
    <w:rsid w:val="00401A1E"/>
    <w:rsid w:val="00401BDF"/>
    <w:rsid w:val="0040298E"/>
    <w:rsid w:val="00402D25"/>
    <w:rsid w:val="00403DE6"/>
    <w:rsid w:val="00407F04"/>
    <w:rsid w:val="00411835"/>
    <w:rsid w:val="00411EF3"/>
    <w:rsid w:val="004136D4"/>
    <w:rsid w:val="00414035"/>
    <w:rsid w:val="0041727F"/>
    <w:rsid w:val="00420FAA"/>
    <w:rsid w:val="0042112C"/>
    <w:rsid w:val="00421EC2"/>
    <w:rsid w:val="00423E43"/>
    <w:rsid w:val="004249BD"/>
    <w:rsid w:val="00425080"/>
    <w:rsid w:val="004258D8"/>
    <w:rsid w:val="00426CDA"/>
    <w:rsid w:val="004336C8"/>
    <w:rsid w:val="00433734"/>
    <w:rsid w:val="004347D4"/>
    <w:rsid w:val="00434F44"/>
    <w:rsid w:val="00435663"/>
    <w:rsid w:val="00436641"/>
    <w:rsid w:val="00437DD6"/>
    <w:rsid w:val="004405AE"/>
    <w:rsid w:val="00444C8B"/>
    <w:rsid w:val="00445982"/>
    <w:rsid w:val="004462DD"/>
    <w:rsid w:val="00451340"/>
    <w:rsid w:val="00451DFE"/>
    <w:rsid w:val="00452980"/>
    <w:rsid w:val="00453D4F"/>
    <w:rsid w:val="00455CB2"/>
    <w:rsid w:val="004561AF"/>
    <w:rsid w:val="00457A7D"/>
    <w:rsid w:val="0046043A"/>
    <w:rsid w:val="004605E1"/>
    <w:rsid w:val="00461662"/>
    <w:rsid w:val="004640AC"/>
    <w:rsid w:val="0046418E"/>
    <w:rsid w:val="00464C6A"/>
    <w:rsid w:val="004668E2"/>
    <w:rsid w:val="00467285"/>
    <w:rsid w:val="0047167F"/>
    <w:rsid w:val="00471693"/>
    <w:rsid w:val="00471EAF"/>
    <w:rsid w:val="00474668"/>
    <w:rsid w:val="004757BC"/>
    <w:rsid w:val="00476763"/>
    <w:rsid w:val="00476B90"/>
    <w:rsid w:val="004776A7"/>
    <w:rsid w:val="00481713"/>
    <w:rsid w:val="00481C51"/>
    <w:rsid w:val="00483CFF"/>
    <w:rsid w:val="00485A5F"/>
    <w:rsid w:val="00486B2A"/>
    <w:rsid w:val="00487F21"/>
    <w:rsid w:val="004916A4"/>
    <w:rsid w:val="00495C87"/>
    <w:rsid w:val="004977A7"/>
    <w:rsid w:val="004A030F"/>
    <w:rsid w:val="004A3AEE"/>
    <w:rsid w:val="004A43C7"/>
    <w:rsid w:val="004A6C80"/>
    <w:rsid w:val="004A7165"/>
    <w:rsid w:val="004A735B"/>
    <w:rsid w:val="004A749F"/>
    <w:rsid w:val="004A74EF"/>
    <w:rsid w:val="004B03CA"/>
    <w:rsid w:val="004B0A8D"/>
    <w:rsid w:val="004B0ADF"/>
    <w:rsid w:val="004B1C5E"/>
    <w:rsid w:val="004B22C1"/>
    <w:rsid w:val="004B24FB"/>
    <w:rsid w:val="004B2CC1"/>
    <w:rsid w:val="004B5584"/>
    <w:rsid w:val="004B5EEA"/>
    <w:rsid w:val="004B60F8"/>
    <w:rsid w:val="004C0E8E"/>
    <w:rsid w:val="004C135F"/>
    <w:rsid w:val="004C18B4"/>
    <w:rsid w:val="004C3DB9"/>
    <w:rsid w:val="004C6215"/>
    <w:rsid w:val="004C6631"/>
    <w:rsid w:val="004C6AD9"/>
    <w:rsid w:val="004C7188"/>
    <w:rsid w:val="004C74F0"/>
    <w:rsid w:val="004D3F7D"/>
    <w:rsid w:val="004D6A89"/>
    <w:rsid w:val="004E0827"/>
    <w:rsid w:val="004E12DB"/>
    <w:rsid w:val="004E2AC7"/>
    <w:rsid w:val="004E4EF8"/>
    <w:rsid w:val="004E5C3D"/>
    <w:rsid w:val="004E5C84"/>
    <w:rsid w:val="004E5FDF"/>
    <w:rsid w:val="004F3293"/>
    <w:rsid w:val="004F5735"/>
    <w:rsid w:val="004F6998"/>
    <w:rsid w:val="004F6CA8"/>
    <w:rsid w:val="0050017C"/>
    <w:rsid w:val="00500609"/>
    <w:rsid w:val="00501369"/>
    <w:rsid w:val="00501EFD"/>
    <w:rsid w:val="0050273F"/>
    <w:rsid w:val="00503C3F"/>
    <w:rsid w:val="00504937"/>
    <w:rsid w:val="00504FC5"/>
    <w:rsid w:val="00510054"/>
    <w:rsid w:val="0051008E"/>
    <w:rsid w:val="005104C8"/>
    <w:rsid w:val="00510A35"/>
    <w:rsid w:val="0051127D"/>
    <w:rsid w:val="00514F61"/>
    <w:rsid w:val="00515103"/>
    <w:rsid w:val="005160A3"/>
    <w:rsid w:val="005176DB"/>
    <w:rsid w:val="00521245"/>
    <w:rsid w:val="00521DD7"/>
    <w:rsid w:val="00523048"/>
    <w:rsid w:val="00523F4E"/>
    <w:rsid w:val="00525FA1"/>
    <w:rsid w:val="00527A5A"/>
    <w:rsid w:val="00527E67"/>
    <w:rsid w:val="00532333"/>
    <w:rsid w:val="00533654"/>
    <w:rsid w:val="00535CAA"/>
    <w:rsid w:val="00536193"/>
    <w:rsid w:val="00536EEF"/>
    <w:rsid w:val="00537536"/>
    <w:rsid w:val="0054164A"/>
    <w:rsid w:val="00541736"/>
    <w:rsid w:val="00541786"/>
    <w:rsid w:val="005418F8"/>
    <w:rsid w:val="00541DDB"/>
    <w:rsid w:val="005454B3"/>
    <w:rsid w:val="00546DD9"/>
    <w:rsid w:val="00550B80"/>
    <w:rsid w:val="0055294F"/>
    <w:rsid w:val="00552ACA"/>
    <w:rsid w:val="00554BC7"/>
    <w:rsid w:val="00554E92"/>
    <w:rsid w:val="005552BF"/>
    <w:rsid w:val="00555656"/>
    <w:rsid w:val="00557EBE"/>
    <w:rsid w:val="0056005B"/>
    <w:rsid w:val="00561007"/>
    <w:rsid w:val="00561137"/>
    <w:rsid w:val="00561B0D"/>
    <w:rsid w:val="00561E14"/>
    <w:rsid w:val="005621F0"/>
    <w:rsid w:val="005640E2"/>
    <w:rsid w:val="005663CA"/>
    <w:rsid w:val="0056648E"/>
    <w:rsid w:val="00566FC0"/>
    <w:rsid w:val="00567CF8"/>
    <w:rsid w:val="0057095D"/>
    <w:rsid w:val="0057379A"/>
    <w:rsid w:val="00574C57"/>
    <w:rsid w:val="00576DFC"/>
    <w:rsid w:val="00576E85"/>
    <w:rsid w:val="00580A18"/>
    <w:rsid w:val="00582453"/>
    <w:rsid w:val="00584795"/>
    <w:rsid w:val="00585E1F"/>
    <w:rsid w:val="00586647"/>
    <w:rsid w:val="00586DD3"/>
    <w:rsid w:val="0058747A"/>
    <w:rsid w:val="0059046B"/>
    <w:rsid w:val="005924F3"/>
    <w:rsid w:val="00593371"/>
    <w:rsid w:val="005937AF"/>
    <w:rsid w:val="00594224"/>
    <w:rsid w:val="00594C3B"/>
    <w:rsid w:val="0059542D"/>
    <w:rsid w:val="00595576"/>
    <w:rsid w:val="00595F4D"/>
    <w:rsid w:val="00597D1D"/>
    <w:rsid w:val="005A0696"/>
    <w:rsid w:val="005A1AAB"/>
    <w:rsid w:val="005A2B96"/>
    <w:rsid w:val="005A2D4F"/>
    <w:rsid w:val="005A4567"/>
    <w:rsid w:val="005A46BF"/>
    <w:rsid w:val="005B1057"/>
    <w:rsid w:val="005B29B8"/>
    <w:rsid w:val="005B325C"/>
    <w:rsid w:val="005B3ACE"/>
    <w:rsid w:val="005B4A52"/>
    <w:rsid w:val="005B7F7F"/>
    <w:rsid w:val="005C1D70"/>
    <w:rsid w:val="005C20D4"/>
    <w:rsid w:val="005C270D"/>
    <w:rsid w:val="005C2C8A"/>
    <w:rsid w:val="005C2EE4"/>
    <w:rsid w:val="005C5BDE"/>
    <w:rsid w:val="005C62A8"/>
    <w:rsid w:val="005C6E3A"/>
    <w:rsid w:val="005C75FC"/>
    <w:rsid w:val="005D1638"/>
    <w:rsid w:val="005D1A45"/>
    <w:rsid w:val="005D2815"/>
    <w:rsid w:val="005D4C65"/>
    <w:rsid w:val="005D4CBE"/>
    <w:rsid w:val="005D65A6"/>
    <w:rsid w:val="005E124F"/>
    <w:rsid w:val="005E4FA5"/>
    <w:rsid w:val="005E555C"/>
    <w:rsid w:val="005E70C5"/>
    <w:rsid w:val="005F1BF0"/>
    <w:rsid w:val="005F2A8F"/>
    <w:rsid w:val="005F3604"/>
    <w:rsid w:val="005F5466"/>
    <w:rsid w:val="005F6076"/>
    <w:rsid w:val="005F6431"/>
    <w:rsid w:val="005F7CCF"/>
    <w:rsid w:val="006013B0"/>
    <w:rsid w:val="00602E16"/>
    <w:rsid w:val="00606134"/>
    <w:rsid w:val="006074D8"/>
    <w:rsid w:val="006128A4"/>
    <w:rsid w:val="006144FA"/>
    <w:rsid w:val="0061454E"/>
    <w:rsid w:val="0061471B"/>
    <w:rsid w:val="00616FAF"/>
    <w:rsid w:val="00620AF4"/>
    <w:rsid w:val="00622141"/>
    <w:rsid w:val="00622359"/>
    <w:rsid w:val="006223C9"/>
    <w:rsid w:val="00623071"/>
    <w:rsid w:val="0062502E"/>
    <w:rsid w:val="00630922"/>
    <w:rsid w:val="006337D1"/>
    <w:rsid w:val="006338E9"/>
    <w:rsid w:val="006360E6"/>
    <w:rsid w:val="006366A0"/>
    <w:rsid w:val="00636D2B"/>
    <w:rsid w:val="00637581"/>
    <w:rsid w:val="006401E3"/>
    <w:rsid w:val="00640B9F"/>
    <w:rsid w:val="0064183D"/>
    <w:rsid w:val="00641B11"/>
    <w:rsid w:val="00641B69"/>
    <w:rsid w:val="00641FCD"/>
    <w:rsid w:val="006423FF"/>
    <w:rsid w:val="0064424E"/>
    <w:rsid w:val="00646489"/>
    <w:rsid w:val="0064650A"/>
    <w:rsid w:val="006470C7"/>
    <w:rsid w:val="00651939"/>
    <w:rsid w:val="00651B0E"/>
    <w:rsid w:val="0065238F"/>
    <w:rsid w:val="006535C8"/>
    <w:rsid w:val="006538F7"/>
    <w:rsid w:val="0065425E"/>
    <w:rsid w:val="00656CB6"/>
    <w:rsid w:val="00660074"/>
    <w:rsid w:val="006616B0"/>
    <w:rsid w:val="006635E3"/>
    <w:rsid w:val="006643EF"/>
    <w:rsid w:val="00664988"/>
    <w:rsid w:val="00665ABB"/>
    <w:rsid w:val="00665D68"/>
    <w:rsid w:val="00666FF2"/>
    <w:rsid w:val="00670D46"/>
    <w:rsid w:val="006737B4"/>
    <w:rsid w:val="006749B4"/>
    <w:rsid w:val="00674AF5"/>
    <w:rsid w:val="006752AA"/>
    <w:rsid w:val="00676E6E"/>
    <w:rsid w:val="006804F0"/>
    <w:rsid w:val="00681DA6"/>
    <w:rsid w:val="006820A3"/>
    <w:rsid w:val="00683301"/>
    <w:rsid w:val="0068595A"/>
    <w:rsid w:val="00690464"/>
    <w:rsid w:val="006915B4"/>
    <w:rsid w:val="00691AB3"/>
    <w:rsid w:val="00692783"/>
    <w:rsid w:val="006944EE"/>
    <w:rsid w:val="0069530B"/>
    <w:rsid w:val="0069631F"/>
    <w:rsid w:val="00697668"/>
    <w:rsid w:val="00697AC1"/>
    <w:rsid w:val="00697E2A"/>
    <w:rsid w:val="006A00C8"/>
    <w:rsid w:val="006A425E"/>
    <w:rsid w:val="006A43D1"/>
    <w:rsid w:val="006A6909"/>
    <w:rsid w:val="006A7C3D"/>
    <w:rsid w:val="006B0231"/>
    <w:rsid w:val="006B1745"/>
    <w:rsid w:val="006B3DC2"/>
    <w:rsid w:val="006B6B0B"/>
    <w:rsid w:val="006B78E2"/>
    <w:rsid w:val="006C1445"/>
    <w:rsid w:val="006C208B"/>
    <w:rsid w:val="006C2C33"/>
    <w:rsid w:val="006C463E"/>
    <w:rsid w:val="006C4C98"/>
    <w:rsid w:val="006C539B"/>
    <w:rsid w:val="006C55D5"/>
    <w:rsid w:val="006C579B"/>
    <w:rsid w:val="006C7478"/>
    <w:rsid w:val="006D1378"/>
    <w:rsid w:val="006D13B7"/>
    <w:rsid w:val="006D61A3"/>
    <w:rsid w:val="006E2D22"/>
    <w:rsid w:val="006E36B5"/>
    <w:rsid w:val="006E6949"/>
    <w:rsid w:val="006E764B"/>
    <w:rsid w:val="006F1067"/>
    <w:rsid w:val="006F2A5E"/>
    <w:rsid w:val="006F3415"/>
    <w:rsid w:val="006F357D"/>
    <w:rsid w:val="006F403D"/>
    <w:rsid w:val="006F40B1"/>
    <w:rsid w:val="006F48FD"/>
    <w:rsid w:val="00700187"/>
    <w:rsid w:val="00700517"/>
    <w:rsid w:val="00700C30"/>
    <w:rsid w:val="00700D75"/>
    <w:rsid w:val="00701764"/>
    <w:rsid w:val="00703EC9"/>
    <w:rsid w:val="00704B97"/>
    <w:rsid w:val="007063C7"/>
    <w:rsid w:val="007073E7"/>
    <w:rsid w:val="00710280"/>
    <w:rsid w:val="00710C98"/>
    <w:rsid w:val="00711668"/>
    <w:rsid w:val="00715270"/>
    <w:rsid w:val="00720171"/>
    <w:rsid w:val="0072079E"/>
    <w:rsid w:val="00720A5D"/>
    <w:rsid w:val="00722C6E"/>
    <w:rsid w:val="00722C75"/>
    <w:rsid w:val="00724C85"/>
    <w:rsid w:val="00724DC6"/>
    <w:rsid w:val="00727CEF"/>
    <w:rsid w:val="00733C0C"/>
    <w:rsid w:val="00733C2D"/>
    <w:rsid w:val="00737093"/>
    <w:rsid w:val="00740729"/>
    <w:rsid w:val="00741A0D"/>
    <w:rsid w:val="007442BC"/>
    <w:rsid w:val="00744D61"/>
    <w:rsid w:val="00745370"/>
    <w:rsid w:val="00746D7E"/>
    <w:rsid w:val="00750D5E"/>
    <w:rsid w:val="00751264"/>
    <w:rsid w:val="007516B5"/>
    <w:rsid w:val="007524D0"/>
    <w:rsid w:val="00752B4A"/>
    <w:rsid w:val="0075322D"/>
    <w:rsid w:val="007560A3"/>
    <w:rsid w:val="007610E9"/>
    <w:rsid w:val="00761634"/>
    <w:rsid w:val="00761B2E"/>
    <w:rsid w:val="0076247F"/>
    <w:rsid w:val="00762C7F"/>
    <w:rsid w:val="00763276"/>
    <w:rsid w:val="007640FB"/>
    <w:rsid w:val="00764874"/>
    <w:rsid w:val="00765643"/>
    <w:rsid w:val="00767B5B"/>
    <w:rsid w:val="00771C67"/>
    <w:rsid w:val="0077322A"/>
    <w:rsid w:val="007769AC"/>
    <w:rsid w:val="00776E82"/>
    <w:rsid w:val="00777A0C"/>
    <w:rsid w:val="00777E17"/>
    <w:rsid w:val="00780DBF"/>
    <w:rsid w:val="0078287C"/>
    <w:rsid w:val="0078400B"/>
    <w:rsid w:val="007848F1"/>
    <w:rsid w:val="0078542B"/>
    <w:rsid w:val="0078608E"/>
    <w:rsid w:val="00786B29"/>
    <w:rsid w:val="00790095"/>
    <w:rsid w:val="00792FEE"/>
    <w:rsid w:val="00793F36"/>
    <w:rsid w:val="007944DE"/>
    <w:rsid w:val="00795A19"/>
    <w:rsid w:val="00795AA4"/>
    <w:rsid w:val="0079616F"/>
    <w:rsid w:val="007A1033"/>
    <w:rsid w:val="007A1072"/>
    <w:rsid w:val="007A1139"/>
    <w:rsid w:val="007A14BB"/>
    <w:rsid w:val="007A1E85"/>
    <w:rsid w:val="007B054B"/>
    <w:rsid w:val="007B2299"/>
    <w:rsid w:val="007B34D9"/>
    <w:rsid w:val="007B3FC8"/>
    <w:rsid w:val="007B5976"/>
    <w:rsid w:val="007B662A"/>
    <w:rsid w:val="007C192B"/>
    <w:rsid w:val="007C1B56"/>
    <w:rsid w:val="007C3457"/>
    <w:rsid w:val="007C38EF"/>
    <w:rsid w:val="007C3C1D"/>
    <w:rsid w:val="007C4C9B"/>
    <w:rsid w:val="007C4D25"/>
    <w:rsid w:val="007C618C"/>
    <w:rsid w:val="007D1ACF"/>
    <w:rsid w:val="007D1EED"/>
    <w:rsid w:val="007D2107"/>
    <w:rsid w:val="007D272C"/>
    <w:rsid w:val="007D2FA0"/>
    <w:rsid w:val="007E0EC5"/>
    <w:rsid w:val="007E2571"/>
    <w:rsid w:val="007E4510"/>
    <w:rsid w:val="007E4864"/>
    <w:rsid w:val="007E4A30"/>
    <w:rsid w:val="007F38F2"/>
    <w:rsid w:val="007F3CA0"/>
    <w:rsid w:val="007F3D57"/>
    <w:rsid w:val="007F5627"/>
    <w:rsid w:val="0080074E"/>
    <w:rsid w:val="008026F9"/>
    <w:rsid w:val="00805AB8"/>
    <w:rsid w:val="00805CB4"/>
    <w:rsid w:val="008076EA"/>
    <w:rsid w:val="0081079C"/>
    <w:rsid w:val="008116EB"/>
    <w:rsid w:val="00811FA0"/>
    <w:rsid w:val="00813345"/>
    <w:rsid w:val="00813A08"/>
    <w:rsid w:val="00813A36"/>
    <w:rsid w:val="008153C1"/>
    <w:rsid w:val="008166CE"/>
    <w:rsid w:val="00816F06"/>
    <w:rsid w:val="0081759E"/>
    <w:rsid w:val="008175CE"/>
    <w:rsid w:val="0082064B"/>
    <w:rsid w:val="00821980"/>
    <w:rsid w:val="0082351A"/>
    <w:rsid w:val="008256D1"/>
    <w:rsid w:val="00826B63"/>
    <w:rsid w:val="00827195"/>
    <w:rsid w:val="00827BE6"/>
    <w:rsid w:val="008322D2"/>
    <w:rsid w:val="008340D4"/>
    <w:rsid w:val="008368F4"/>
    <w:rsid w:val="008377F6"/>
    <w:rsid w:val="008379ED"/>
    <w:rsid w:val="00844036"/>
    <w:rsid w:val="0084548F"/>
    <w:rsid w:val="00846C36"/>
    <w:rsid w:val="008474A3"/>
    <w:rsid w:val="008479AB"/>
    <w:rsid w:val="00847DBE"/>
    <w:rsid w:val="00852B9E"/>
    <w:rsid w:val="00853814"/>
    <w:rsid w:val="0085393F"/>
    <w:rsid w:val="00855D23"/>
    <w:rsid w:val="008562FA"/>
    <w:rsid w:val="00860550"/>
    <w:rsid w:val="00860C58"/>
    <w:rsid w:val="0086190C"/>
    <w:rsid w:val="0086211A"/>
    <w:rsid w:val="00863934"/>
    <w:rsid w:val="00863F00"/>
    <w:rsid w:val="00864A80"/>
    <w:rsid w:val="00866934"/>
    <w:rsid w:val="00866BD1"/>
    <w:rsid w:val="00870A4A"/>
    <w:rsid w:val="00871658"/>
    <w:rsid w:val="00872DE1"/>
    <w:rsid w:val="0087464F"/>
    <w:rsid w:val="00880FEA"/>
    <w:rsid w:val="00883AE2"/>
    <w:rsid w:val="0088428B"/>
    <w:rsid w:val="0089208C"/>
    <w:rsid w:val="00893ADD"/>
    <w:rsid w:val="008971E2"/>
    <w:rsid w:val="00897FC8"/>
    <w:rsid w:val="008A07F2"/>
    <w:rsid w:val="008A1C1F"/>
    <w:rsid w:val="008A1F12"/>
    <w:rsid w:val="008A37E4"/>
    <w:rsid w:val="008A393E"/>
    <w:rsid w:val="008A3A52"/>
    <w:rsid w:val="008A3DF0"/>
    <w:rsid w:val="008A411B"/>
    <w:rsid w:val="008A68EC"/>
    <w:rsid w:val="008A735B"/>
    <w:rsid w:val="008A7BD3"/>
    <w:rsid w:val="008B04EB"/>
    <w:rsid w:val="008B080F"/>
    <w:rsid w:val="008B7BFF"/>
    <w:rsid w:val="008C0CC1"/>
    <w:rsid w:val="008C20D8"/>
    <w:rsid w:val="008C2876"/>
    <w:rsid w:val="008C34B1"/>
    <w:rsid w:val="008C3583"/>
    <w:rsid w:val="008C554E"/>
    <w:rsid w:val="008D07E1"/>
    <w:rsid w:val="008D2097"/>
    <w:rsid w:val="008E287E"/>
    <w:rsid w:val="008E47F2"/>
    <w:rsid w:val="008E4A58"/>
    <w:rsid w:val="008E4DC2"/>
    <w:rsid w:val="008E54FB"/>
    <w:rsid w:val="008E6051"/>
    <w:rsid w:val="008E760E"/>
    <w:rsid w:val="008F08CB"/>
    <w:rsid w:val="008F0DD1"/>
    <w:rsid w:val="008F296E"/>
    <w:rsid w:val="008F4169"/>
    <w:rsid w:val="008F4A95"/>
    <w:rsid w:val="008F62C2"/>
    <w:rsid w:val="008F6CC3"/>
    <w:rsid w:val="008F7825"/>
    <w:rsid w:val="00901193"/>
    <w:rsid w:val="0090223B"/>
    <w:rsid w:val="00903A85"/>
    <w:rsid w:val="00906EE2"/>
    <w:rsid w:val="00907541"/>
    <w:rsid w:val="00910D15"/>
    <w:rsid w:val="00911A75"/>
    <w:rsid w:val="00912DFA"/>
    <w:rsid w:val="00913388"/>
    <w:rsid w:val="009154D2"/>
    <w:rsid w:val="009161C8"/>
    <w:rsid w:val="009168B1"/>
    <w:rsid w:val="00920818"/>
    <w:rsid w:val="0092187B"/>
    <w:rsid w:val="00923460"/>
    <w:rsid w:val="00924B94"/>
    <w:rsid w:val="00926778"/>
    <w:rsid w:val="009277B5"/>
    <w:rsid w:val="009300E4"/>
    <w:rsid w:val="009317EE"/>
    <w:rsid w:val="00934B0C"/>
    <w:rsid w:val="00935850"/>
    <w:rsid w:val="0093745C"/>
    <w:rsid w:val="00942FDB"/>
    <w:rsid w:val="00943357"/>
    <w:rsid w:val="00946F6C"/>
    <w:rsid w:val="00947DED"/>
    <w:rsid w:val="00953C2E"/>
    <w:rsid w:val="0095430A"/>
    <w:rsid w:val="00955508"/>
    <w:rsid w:val="00955B83"/>
    <w:rsid w:val="0095698B"/>
    <w:rsid w:val="009625CF"/>
    <w:rsid w:val="009628C0"/>
    <w:rsid w:val="009643F3"/>
    <w:rsid w:val="00964764"/>
    <w:rsid w:val="00965591"/>
    <w:rsid w:val="0096636E"/>
    <w:rsid w:val="009671F3"/>
    <w:rsid w:val="00970279"/>
    <w:rsid w:val="009708E7"/>
    <w:rsid w:val="00970E66"/>
    <w:rsid w:val="00971920"/>
    <w:rsid w:val="00972451"/>
    <w:rsid w:val="00973CF0"/>
    <w:rsid w:val="0097511A"/>
    <w:rsid w:val="00976E74"/>
    <w:rsid w:val="0097711C"/>
    <w:rsid w:val="0097733B"/>
    <w:rsid w:val="0097792A"/>
    <w:rsid w:val="00984E45"/>
    <w:rsid w:val="00986CBE"/>
    <w:rsid w:val="00987034"/>
    <w:rsid w:val="009912CD"/>
    <w:rsid w:val="00992643"/>
    <w:rsid w:val="0099294C"/>
    <w:rsid w:val="00993224"/>
    <w:rsid w:val="00993CB7"/>
    <w:rsid w:val="0099420D"/>
    <w:rsid w:val="009946ED"/>
    <w:rsid w:val="009965F3"/>
    <w:rsid w:val="00996753"/>
    <w:rsid w:val="00996FBD"/>
    <w:rsid w:val="0099792E"/>
    <w:rsid w:val="009A07C4"/>
    <w:rsid w:val="009A1A67"/>
    <w:rsid w:val="009A2568"/>
    <w:rsid w:val="009A59C0"/>
    <w:rsid w:val="009A6D30"/>
    <w:rsid w:val="009A79D6"/>
    <w:rsid w:val="009B324B"/>
    <w:rsid w:val="009B4084"/>
    <w:rsid w:val="009B5F3E"/>
    <w:rsid w:val="009B610E"/>
    <w:rsid w:val="009B6C0E"/>
    <w:rsid w:val="009B73D0"/>
    <w:rsid w:val="009C0C11"/>
    <w:rsid w:val="009C462D"/>
    <w:rsid w:val="009C4C1A"/>
    <w:rsid w:val="009C70D0"/>
    <w:rsid w:val="009D0D22"/>
    <w:rsid w:val="009D2044"/>
    <w:rsid w:val="009D2E76"/>
    <w:rsid w:val="009D38FF"/>
    <w:rsid w:val="009D4B1E"/>
    <w:rsid w:val="009D61D9"/>
    <w:rsid w:val="009D67BC"/>
    <w:rsid w:val="009E097A"/>
    <w:rsid w:val="009E0C54"/>
    <w:rsid w:val="009E2463"/>
    <w:rsid w:val="009E2E5E"/>
    <w:rsid w:val="009E310A"/>
    <w:rsid w:val="009E4EE0"/>
    <w:rsid w:val="009E61BE"/>
    <w:rsid w:val="009E7C40"/>
    <w:rsid w:val="009F0864"/>
    <w:rsid w:val="009F1A0E"/>
    <w:rsid w:val="009F343D"/>
    <w:rsid w:val="009F44E7"/>
    <w:rsid w:val="009F4D29"/>
    <w:rsid w:val="009F5C93"/>
    <w:rsid w:val="009F76E1"/>
    <w:rsid w:val="00A00F0D"/>
    <w:rsid w:val="00A045AC"/>
    <w:rsid w:val="00A058DB"/>
    <w:rsid w:val="00A05B45"/>
    <w:rsid w:val="00A064D0"/>
    <w:rsid w:val="00A12833"/>
    <w:rsid w:val="00A16430"/>
    <w:rsid w:val="00A21621"/>
    <w:rsid w:val="00A226E8"/>
    <w:rsid w:val="00A24052"/>
    <w:rsid w:val="00A2477C"/>
    <w:rsid w:val="00A24BB9"/>
    <w:rsid w:val="00A250B2"/>
    <w:rsid w:val="00A26FC7"/>
    <w:rsid w:val="00A27AE9"/>
    <w:rsid w:val="00A3141F"/>
    <w:rsid w:val="00A32053"/>
    <w:rsid w:val="00A32FC4"/>
    <w:rsid w:val="00A331BB"/>
    <w:rsid w:val="00A34720"/>
    <w:rsid w:val="00A35FFE"/>
    <w:rsid w:val="00A377B7"/>
    <w:rsid w:val="00A378C7"/>
    <w:rsid w:val="00A431F3"/>
    <w:rsid w:val="00A47A20"/>
    <w:rsid w:val="00A47CCC"/>
    <w:rsid w:val="00A50F29"/>
    <w:rsid w:val="00A51E69"/>
    <w:rsid w:val="00A53D2B"/>
    <w:rsid w:val="00A55FB0"/>
    <w:rsid w:val="00A57EE1"/>
    <w:rsid w:val="00A60B70"/>
    <w:rsid w:val="00A621CF"/>
    <w:rsid w:val="00A62E58"/>
    <w:rsid w:val="00A652A6"/>
    <w:rsid w:val="00A65309"/>
    <w:rsid w:val="00A67E9D"/>
    <w:rsid w:val="00A70457"/>
    <w:rsid w:val="00A706A7"/>
    <w:rsid w:val="00A73A74"/>
    <w:rsid w:val="00A74278"/>
    <w:rsid w:val="00A74524"/>
    <w:rsid w:val="00A76874"/>
    <w:rsid w:val="00A83853"/>
    <w:rsid w:val="00A8769F"/>
    <w:rsid w:val="00A9134B"/>
    <w:rsid w:val="00A9160B"/>
    <w:rsid w:val="00A937FC"/>
    <w:rsid w:val="00A9647D"/>
    <w:rsid w:val="00A965D8"/>
    <w:rsid w:val="00A96B07"/>
    <w:rsid w:val="00A97B53"/>
    <w:rsid w:val="00AA160A"/>
    <w:rsid w:val="00AA1FC0"/>
    <w:rsid w:val="00AA7966"/>
    <w:rsid w:val="00AA7EEF"/>
    <w:rsid w:val="00AB115E"/>
    <w:rsid w:val="00AB2530"/>
    <w:rsid w:val="00AB5EBA"/>
    <w:rsid w:val="00AB6284"/>
    <w:rsid w:val="00AB6BC5"/>
    <w:rsid w:val="00AC047B"/>
    <w:rsid w:val="00AC04CC"/>
    <w:rsid w:val="00AC0516"/>
    <w:rsid w:val="00AC167C"/>
    <w:rsid w:val="00AC3520"/>
    <w:rsid w:val="00AC6525"/>
    <w:rsid w:val="00AC6A6D"/>
    <w:rsid w:val="00AD0AFA"/>
    <w:rsid w:val="00AD0D4D"/>
    <w:rsid w:val="00AD11F4"/>
    <w:rsid w:val="00AD283B"/>
    <w:rsid w:val="00AD2DFD"/>
    <w:rsid w:val="00AD3302"/>
    <w:rsid w:val="00AD38D4"/>
    <w:rsid w:val="00AD46E3"/>
    <w:rsid w:val="00AD53C2"/>
    <w:rsid w:val="00AE2A45"/>
    <w:rsid w:val="00AE2BF9"/>
    <w:rsid w:val="00AE42E2"/>
    <w:rsid w:val="00AE4DFA"/>
    <w:rsid w:val="00AE55FB"/>
    <w:rsid w:val="00AE565D"/>
    <w:rsid w:val="00AE6EE5"/>
    <w:rsid w:val="00AE7526"/>
    <w:rsid w:val="00AE758A"/>
    <w:rsid w:val="00AF005D"/>
    <w:rsid w:val="00AF1EA7"/>
    <w:rsid w:val="00AF2471"/>
    <w:rsid w:val="00AF4683"/>
    <w:rsid w:val="00B00175"/>
    <w:rsid w:val="00B00375"/>
    <w:rsid w:val="00B0228B"/>
    <w:rsid w:val="00B0334A"/>
    <w:rsid w:val="00B03F7E"/>
    <w:rsid w:val="00B0474F"/>
    <w:rsid w:val="00B04C15"/>
    <w:rsid w:val="00B07982"/>
    <w:rsid w:val="00B07B59"/>
    <w:rsid w:val="00B14624"/>
    <w:rsid w:val="00B150CC"/>
    <w:rsid w:val="00B15959"/>
    <w:rsid w:val="00B179AD"/>
    <w:rsid w:val="00B17F50"/>
    <w:rsid w:val="00B210EA"/>
    <w:rsid w:val="00B2176B"/>
    <w:rsid w:val="00B2343D"/>
    <w:rsid w:val="00B23E49"/>
    <w:rsid w:val="00B27019"/>
    <w:rsid w:val="00B27873"/>
    <w:rsid w:val="00B30004"/>
    <w:rsid w:val="00B33317"/>
    <w:rsid w:val="00B3333B"/>
    <w:rsid w:val="00B3460C"/>
    <w:rsid w:val="00B357B6"/>
    <w:rsid w:val="00B36319"/>
    <w:rsid w:val="00B369CD"/>
    <w:rsid w:val="00B439B7"/>
    <w:rsid w:val="00B44813"/>
    <w:rsid w:val="00B4544C"/>
    <w:rsid w:val="00B474AC"/>
    <w:rsid w:val="00B5314E"/>
    <w:rsid w:val="00B5372B"/>
    <w:rsid w:val="00B5385F"/>
    <w:rsid w:val="00B54567"/>
    <w:rsid w:val="00B54FAE"/>
    <w:rsid w:val="00B578FD"/>
    <w:rsid w:val="00B6130D"/>
    <w:rsid w:val="00B63131"/>
    <w:rsid w:val="00B63EE5"/>
    <w:rsid w:val="00B644C7"/>
    <w:rsid w:val="00B649F4"/>
    <w:rsid w:val="00B64A72"/>
    <w:rsid w:val="00B6531B"/>
    <w:rsid w:val="00B6558C"/>
    <w:rsid w:val="00B6706A"/>
    <w:rsid w:val="00B67D7C"/>
    <w:rsid w:val="00B67DCF"/>
    <w:rsid w:val="00B71633"/>
    <w:rsid w:val="00B72FCC"/>
    <w:rsid w:val="00B74D68"/>
    <w:rsid w:val="00B769AE"/>
    <w:rsid w:val="00B773B5"/>
    <w:rsid w:val="00B776AD"/>
    <w:rsid w:val="00B80029"/>
    <w:rsid w:val="00B80FDE"/>
    <w:rsid w:val="00B82A17"/>
    <w:rsid w:val="00B838F6"/>
    <w:rsid w:val="00B83A91"/>
    <w:rsid w:val="00B84B89"/>
    <w:rsid w:val="00B861C1"/>
    <w:rsid w:val="00B86B53"/>
    <w:rsid w:val="00B903C2"/>
    <w:rsid w:val="00B94F5D"/>
    <w:rsid w:val="00B95E75"/>
    <w:rsid w:val="00B96D80"/>
    <w:rsid w:val="00B97574"/>
    <w:rsid w:val="00BA5286"/>
    <w:rsid w:val="00BA53ED"/>
    <w:rsid w:val="00BA6A42"/>
    <w:rsid w:val="00BA7DAE"/>
    <w:rsid w:val="00BB036B"/>
    <w:rsid w:val="00BB4173"/>
    <w:rsid w:val="00BB50C7"/>
    <w:rsid w:val="00BB6462"/>
    <w:rsid w:val="00BB6C3C"/>
    <w:rsid w:val="00BB6E9A"/>
    <w:rsid w:val="00BB7679"/>
    <w:rsid w:val="00BB7988"/>
    <w:rsid w:val="00BC2A71"/>
    <w:rsid w:val="00BC48E9"/>
    <w:rsid w:val="00BD1F72"/>
    <w:rsid w:val="00BD416D"/>
    <w:rsid w:val="00BD42AF"/>
    <w:rsid w:val="00BD51DA"/>
    <w:rsid w:val="00BD69DB"/>
    <w:rsid w:val="00BD7022"/>
    <w:rsid w:val="00BE0002"/>
    <w:rsid w:val="00BE2CD7"/>
    <w:rsid w:val="00BE3503"/>
    <w:rsid w:val="00BE381A"/>
    <w:rsid w:val="00BE532F"/>
    <w:rsid w:val="00BE5986"/>
    <w:rsid w:val="00BE62F6"/>
    <w:rsid w:val="00BE7446"/>
    <w:rsid w:val="00BE7AE8"/>
    <w:rsid w:val="00BF157A"/>
    <w:rsid w:val="00BF2749"/>
    <w:rsid w:val="00BF27D4"/>
    <w:rsid w:val="00BF2E80"/>
    <w:rsid w:val="00BF2E97"/>
    <w:rsid w:val="00BF519E"/>
    <w:rsid w:val="00BF5317"/>
    <w:rsid w:val="00BF7FA1"/>
    <w:rsid w:val="00C02031"/>
    <w:rsid w:val="00C02E85"/>
    <w:rsid w:val="00C03C75"/>
    <w:rsid w:val="00C0486A"/>
    <w:rsid w:val="00C05842"/>
    <w:rsid w:val="00C10D78"/>
    <w:rsid w:val="00C122D9"/>
    <w:rsid w:val="00C12D1D"/>
    <w:rsid w:val="00C1305C"/>
    <w:rsid w:val="00C1522B"/>
    <w:rsid w:val="00C154B1"/>
    <w:rsid w:val="00C15C59"/>
    <w:rsid w:val="00C20704"/>
    <w:rsid w:val="00C21ED4"/>
    <w:rsid w:val="00C225CC"/>
    <w:rsid w:val="00C22EEC"/>
    <w:rsid w:val="00C27AC7"/>
    <w:rsid w:val="00C27B8D"/>
    <w:rsid w:val="00C30119"/>
    <w:rsid w:val="00C30752"/>
    <w:rsid w:val="00C30D5C"/>
    <w:rsid w:val="00C324AD"/>
    <w:rsid w:val="00C33325"/>
    <w:rsid w:val="00C3489D"/>
    <w:rsid w:val="00C359A4"/>
    <w:rsid w:val="00C35BE3"/>
    <w:rsid w:val="00C36F28"/>
    <w:rsid w:val="00C376E4"/>
    <w:rsid w:val="00C37952"/>
    <w:rsid w:val="00C424A1"/>
    <w:rsid w:val="00C436F7"/>
    <w:rsid w:val="00C4372C"/>
    <w:rsid w:val="00C44320"/>
    <w:rsid w:val="00C45D21"/>
    <w:rsid w:val="00C46115"/>
    <w:rsid w:val="00C4651E"/>
    <w:rsid w:val="00C47141"/>
    <w:rsid w:val="00C509A4"/>
    <w:rsid w:val="00C50FA0"/>
    <w:rsid w:val="00C53CA8"/>
    <w:rsid w:val="00C55370"/>
    <w:rsid w:val="00C56554"/>
    <w:rsid w:val="00C60C46"/>
    <w:rsid w:val="00C6183A"/>
    <w:rsid w:val="00C6246C"/>
    <w:rsid w:val="00C629F0"/>
    <w:rsid w:val="00C6427B"/>
    <w:rsid w:val="00C649C2"/>
    <w:rsid w:val="00C65547"/>
    <w:rsid w:val="00C65992"/>
    <w:rsid w:val="00C70434"/>
    <w:rsid w:val="00C7086E"/>
    <w:rsid w:val="00C72698"/>
    <w:rsid w:val="00C74069"/>
    <w:rsid w:val="00C7487B"/>
    <w:rsid w:val="00C767CF"/>
    <w:rsid w:val="00C76DDE"/>
    <w:rsid w:val="00C8103E"/>
    <w:rsid w:val="00C8191A"/>
    <w:rsid w:val="00C82227"/>
    <w:rsid w:val="00C8276E"/>
    <w:rsid w:val="00C85BF7"/>
    <w:rsid w:val="00C90203"/>
    <w:rsid w:val="00C91064"/>
    <w:rsid w:val="00C91248"/>
    <w:rsid w:val="00C919D2"/>
    <w:rsid w:val="00C946FA"/>
    <w:rsid w:val="00C94AA5"/>
    <w:rsid w:val="00C96816"/>
    <w:rsid w:val="00CA0BC4"/>
    <w:rsid w:val="00CA339B"/>
    <w:rsid w:val="00CA39AE"/>
    <w:rsid w:val="00CA3D49"/>
    <w:rsid w:val="00CA40B5"/>
    <w:rsid w:val="00CA4416"/>
    <w:rsid w:val="00CA45CE"/>
    <w:rsid w:val="00CA52C6"/>
    <w:rsid w:val="00CA5403"/>
    <w:rsid w:val="00CA5868"/>
    <w:rsid w:val="00CA5AA1"/>
    <w:rsid w:val="00CB3B9C"/>
    <w:rsid w:val="00CB3BE4"/>
    <w:rsid w:val="00CB5273"/>
    <w:rsid w:val="00CB53FD"/>
    <w:rsid w:val="00CB771C"/>
    <w:rsid w:val="00CC0B0F"/>
    <w:rsid w:val="00CC6616"/>
    <w:rsid w:val="00CC6B0E"/>
    <w:rsid w:val="00CC7074"/>
    <w:rsid w:val="00CC7148"/>
    <w:rsid w:val="00CD1DA2"/>
    <w:rsid w:val="00CD28DB"/>
    <w:rsid w:val="00CD5095"/>
    <w:rsid w:val="00CD7712"/>
    <w:rsid w:val="00CD7C87"/>
    <w:rsid w:val="00CE0896"/>
    <w:rsid w:val="00CE0DBE"/>
    <w:rsid w:val="00CE0E6B"/>
    <w:rsid w:val="00CE1B12"/>
    <w:rsid w:val="00CE7481"/>
    <w:rsid w:val="00CE7977"/>
    <w:rsid w:val="00CF00BC"/>
    <w:rsid w:val="00CF148B"/>
    <w:rsid w:val="00CF235D"/>
    <w:rsid w:val="00CF2C8B"/>
    <w:rsid w:val="00CF4445"/>
    <w:rsid w:val="00CF4FAE"/>
    <w:rsid w:val="00CF6612"/>
    <w:rsid w:val="00CF70C7"/>
    <w:rsid w:val="00D000A4"/>
    <w:rsid w:val="00D00DCB"/>
    <w:rsid w:val="00D0100C"/>
    <w:rsid w:val="00D03E6A"/>
    <w:rsid w:val="00D05634"/>
    <w:rsid w:val="00D05E28"/>
    <w:rsid w:val="00D065E1"/>
    <w:rsid w:val="00D076A2"/>
    <w:rsid w:val="00D104B7"/>
    <w:rsid w:val="00D1115A"/>
    <w:rsid w:val="00D13D31"/>
    <w:rsid w:val="00D1401E"/>
    <w:rsid w:val="00D144C0"/>
    <w:rsid w:val="00D16587"/>
    <w:rsid w:val="00D21337"/>
    <w:rsid w:val="00D223D1"/>
    <w:rsid w:val="00D22A11"/>
    <w:rsid w:val="00D22D35"/>
    <w:rsid w:val="00D23B63"/>
    <w:rsid w:val="00D25644"/>
    <w:rsid w:val="00D25B15"/>
    <w:rsid w:val="00D25D66"/>
    <w:rsid w:val="00D26DB9"/>
    <w:rsid w:val="00D31089"/>
    <w:rsid w:val="00D3259B"/>
    <w:rsid w:val="00D342F3"/>
    <w:rsid w:val="00D40E3B"/>
    <w:rsid w:val="00D4201B"/>
    <w:rsid w:val="00D425BA"/>
    <w:rsid w:val="00D42EC7"/>
    <w:rsid w:val="00D43380"/>
    <w:rsid w:val="00D45420"/>
    <w:rsid w:val="00D4561D"/>
    <w:rsid w:val="00D46273"/>
    <w:rsid w:val="00D51A0B"/>
    <w:rsid w:val="00D528C4"/>
    <w:rsid w:val="00D53644"/>
    <w:rsid w:val="00D5454C"/>
    <w:rsid w:val="00D57285"/>
    <w:rsid w:val="00D5745D"/>
    <w:rsid w:val="00D57568"/>
    <w:rsid w:val="00D63140"/>
    <w:rsid w:val="00D63F63"/>
    <w:rsid w:val="00D64199"/>
    <w:rsid w:val="00D6585E"/>
    <w:rsid w:val="00D73A1E"/>
    <w:rsid w:val="00D806D1"/>
    <w:rsid w:val="00D82643"/>
    <w:rsid w:val="00D826B0"/>
    <w:rsid w:val="00D8342F"/>
    <w:rsid w:val="00D84F5A"/>
    <w:rsid w:val="00D907B8"/>
    <w:rsid w:val="00D91DCE"/>
    <w:rsid w:val="00D9586A"/>
    <w:rsid w:val="00D959FE"/>
    <w:rsid w:val="00D96E34"/>
    <w:rsid w:val="00DA2789"/>
    <w:rsid w:val="00DA3892"/>
    <w:rsid w:val="00DA473D"/>
    <w:rsid w:val="00DB291A"/>
    <w:rsid w:val="00DC1DF1"/>
    <w:rsid w:val="00DC1EA1"/>
    <w:rsid w:val="00DC2AD3"/>
    <w:rsid w:val="00DC38A3"/>
    <w:rsid w:val="00DD0F2B"/>
    <w:rsid w:val="00DD20F1"/>
    <w:rsid w:val="00DD2F4D"/>
    <w:rsid w:val="00DD3259"/>
    <w:rsid w:val="00DD60D2"/>
    <w:rsid w:val="00DE0BBF"/>
    <w:rsid w:val="00DE0E46"/>
    <w:rsid w:val="00DE1604"/>
    <w:rsid w:val="00DE21D1"/>
    <w:rsid w:val="00DE239C"/>
    <w:rsid w:val="00DE2BA7"/>
    <w:rsid w:val="00DE3B37"/>
    <w:rsid w:val="00DE46AE"/>
    <w:rsid w:val="00DF0431"/>
    <w:rsid w:val="00DF4854"/>
    <w:rsid w:val="00DF5E15"/>
    <w:rsid w:val="00DF706F"/>
    <w:rsid w:val="00DF747E"/>
    <w:rsid w:val="00E021B8"/>
    <w:rsid w:val="00E028F2"/>
    <w:rsid w:val="00E03629"/>
    <w:rsid w:val="00E05405"/>
    <w:rsid w:val="00E0729B"/>
    <w:rsid w:val="00E1146A"/>
    <w:rsid w:val="00E13A75"/>
    <w:rsid w:val="00E13EF0"/>
    <w:rsid w:val="00E16B8F"/>
    <w:rsid w:val="00E2168A"/>
    <w:rsid w:val="00E23D0B"/>
    <w:rsid w:val="00E24014"/>
    <w:rsid w:val="00E274F6"/>
    <w:rsid w:val="00E27DC3"/>
    <w:rsid w:val="00E27F1B"/>
    <w:rsid w:val="00E301B8"/>
    <w:rsid w:val="00E312DA"/>
    <w:rsid w:val="00E31673"/>
    <w:rsid w:val="00E32147"/>
    <w:rsid w:val="00E325ED"/>
    <w:rsid w:val="00E326AB"/>
    <w:rsid w:val="00E344AB"/>
    <w:rsid w:val="00E34B6A"/>
    <w:rsid w:val="00E37122"/>
    <w:rsid w:val="00E412E1"/>
    <w:rsid w:val="00E417F0"/>
    <w:rsid w:val="00E42F55"/>
    <w:rsid w:val="00E43596"/>
    <w:rsid w:val="00E44503"/>
    <w:rsid w:val="00E44900"/>
    <w:rsid w:val="00E45715"/>
    <w:rsid w:val="00E47089"/>
    <w:rsid w:val="00E558CE"/>
    <w:rsid w:val="00E55E64"/>
    <w:rsid w:val="00E55ECE"/>
    <w:rsid w:val="00E63437"/>
    <w:rsid w:val="00E638F6"/>
    <w:rsid w:val="00E63B64"/>
    <w:rsid w:val="00E647A4"/>
    <w:rsid w:val="00E66080"/>
    <w:rsid w:val="00E71B82"/>
    <w:rsid w:val="00E71EFF"/>
    <w:rsid w:val="00E72138"/>
    <w:rsid w:val="00E750B5"/>
    <w:rsid w:val="00E760E2"/>
    <w:rsid w:val="00E776BB"/>
    <w:rsid w:val="00E827FD"/>
    <w:rsid w:val="00E82BC7"/>
    <w:rsid w:val="00E83801"/>
    <w:rsid w:val="00E878D6"/>
    <w:rsid w:val="00E93783"/>
    <w:rsid w:val="00E94954"/>
    <w:rsid w:val="00E95E1E"/>
    <w:rsid w:val="00EA046B"/>
    <w:rsid w:val="00EA0C36"/>
    <w:rsid w:val="00EA1249"/>
    <w:rsid w:val="00EA18D1"/>
    <w:rsid w:val="00EA3F2F"/>
    <w:rsid w:val="00EA4649"/>
    <w:rsid w:val="00EA62D2"/>
    <w:rsid w:val="00EA659F"/>
    <w:rsid w:val="00EA6620"/>
    <w:rsid w:val="00EA6B57"/>
    <w:rsid w:val="00EA781E"/>
    <w:rsid w:val="00EB2F6B"/>
    <w:rsid w:val="00EB3B37"/>
    <w:rsid w:val="00EB5DBC"/>
    <w:rsid w:val="00EB6774"/>
    <w:rsid w:val="00EB777C"/>
    <w:rsid w:val="00EC2AC8"/>
    <w:rsid w:val="00EC2B99"/>
    <w:rsid w:val="00EC3812"/>
    <w:rsid w:val="00EC4CE5"/>
    <w:rsid w:val="00EC5044"/>
    <w:rsid w:val="00EC6213"/>
    <w:rsid w:val="00EC69AA"/>
    <w:rsid w:val="00ED1E59"/>
    <w:rsid w:val="00ED3C30"/>
    <w:rsid w:val="00ED5044"/>
    <w:rsid w:val="00ED54A0"/>
    <w:rsid w:val="00ED6954"/>
    <w:rsid w:val="00ED7805"/>
    <w:rsid w:val="00EE0EAC"/>
    <w:rsid w:val="00EE1056"/>
    <w:rsid w:val="00EE1A7B"/>
    <w:rsid w:val="00EE1B76"/>
    <w:rsid w:val="00EE2ACD"/>
    <w:rsid w:val="00EE303D"/>
    <w:rsid w:val="00EE3084"/>
    <w:rsid w:val="00EE3BE2"/>
    <w:rsid w:val="00EE41FB"/>
    <w:rsid w:val="00EE6747"/>
    <w:rsid w:val="00EE6C77"/>
    <w:rsid w:val="00EE7650"/>
    <w:rsid w:val="00EE7A59"/>
    <w:rsid w:val="00EF085F"/>
    <w:rsid w:val="00EF11E8"/>
    <w:rsid w:val="00EF181D"/>
    <w:rsid w:val="00EF25B2"/>
    <w:rsid w:val="00EF3013"/>
    <w:rsid w:val="00EF35AA"/>
    <w:rsid w:val="00EF3841"/>
    <w:rsid w:val="00F05DD5"/>
    <w:rsid w:val="00F063C9"/>
    <w:rsid w:val="00F11508"/>
    <w:rsid w:val="00F12CB8"/>
    <w:rsid w:val="00F138A6"/>
    <w:rsid w:val="00F176A3"/>
    <w:rsid w:val="00F24999"/>
    <w:rsid w:val="00F254F0"/>
    <w:rsid w:val="00F2716B"/>
    <w:rsid w:val="00F274D6"/>
    <w:rsid w:val="00F27D3C"/>
    <w:rsid w:val="00F30A61"/>
    <w:rsid w:val="00F30A84"/>
    <w:rsid w:val="00F3264F"/>
    <w:rsid w:val="00F328D7"/>
    <w:rsid w:val="00F3407E"/>
    <w:rsid w:val="00F35770"/>
    <w:rsid w:val="00F36027"/>
    <w:rsid w:val="00F37C71"/>
    <w:rsid w:val="00F400EB"/>
    <w:rsid w:val="00F42628"/>
    <w:rsid w:val="00F431FB"/>
    <w:rsid w:val="00F4450B"/>
    <w:rsid w:val="00F445A9"/>
    <w:rsid w:val="00F46C1A"/>
    <w:rsid w:val="00F51667"/>
    <w:rsid w:val="00F5500E"/>
    <w:rsid w:val="00F558E5"/>
    <w:rsid w:val="00F579DA"/>
    <w:rsid w:val="00F579E0"/>
    <w:rsid w:val="00F57DC6"/>
    <w:rsid w:val="00F62470"/>
    <w:rsid w:val="00F634B8"/>
    <w:rsid w:val="00F63FDB"/>
    <w:rsid w:val="00F641F8"/>
    <w:rsid w:val="00F65D9E"/>
    <w:rsid w:val="00F67AD8"/>
    <w:rsid w:val="00F70A08"/>
    <w:rsid w:val="00F70A3A"/>
    <w:rsid w:val="00F70AFB"/>
    <w:rsid w:val="00F71A29"/>
    <w:rsid w:val="00F7218D"/>
    <w:rsid w:val="00F7227E"/>
    <w:rsid w:val="00F754F0"/>
    <w:rsid w:val="00F76183"/>
    <w:rsid w:val="00F77310"/>
    <w:rsid w:val="00F7794F"/>
    <w:rsid w:val="00F80C68"/>
    <w:rsid w:val="00F81141"/>
    <w:rsid w:val="00F81A7C"/>
    <w:rsid w:val="00F839C5"/>
    <w:rsid w:val="00F84263"/>
    <w:rsid w:val="00F86DA0"/>
    <w:rsid w:val="00F876C4"/>
    <w:rsid w:val="00F87DBE"/>
    <w:rsid w:val="00F9102F"/>
    <w:rsid w:val="00F9174A"/>
    <w:rsid w:val="00F91A74"/>
    <w:rsid w:val="00F938E9"/>
    <w:rsid w:val="00F945CB"/>
    <w:rsid w:val="00F94849"/>
    <w:rsid w:val="00F95EB1"/>
    <w:rsid w:val="00F96411"/>
    <w:rsid w:val="00FA0E34"/>
    <w:rsid w:val="00FA1A29"/>
    <w:rsid w:val="00FA3A13"/>
    <w:rsid w:val="00FA40D0"/>
    <w:rsid w:val="00FA6D7B"/>
    <w:rsid w:val="00FA7582"/>
    <w:rsid w:val="00FB077F"/>
    <w:rsid w:val="00FB1799"/>
    <w:rsid w:val="00FB2425"/>
    <w:rsid w:val="00FB2D16"/>
    <w:rsid w:val="00FB6958"/>
    <w:rsid w:val="00FB6A1C"/>
    <w:rsid w:val="00FC1CD5"/>
    <w:rsid w:val="00FC208C"/>
    <w:rsid w:val="00FC2D34"/>
    <w:rsid w:val="00FC2D7E"/>
    <w:rsid w:val="00FC4B43"/>
    <w:rsid w:val="00FC5430"/>
    <w:rsid w:val="00FD070D"/>
    <w:rsid w:val="00FD0EF3"/>
    <w:rsid w:val="00FD0FBC"/>
    <w:rsid w:val="00FD1B7D"/>
    <w:rsid w:val="00FD29AD"/>
    <w:rsid w:val="00FD2D61"/>
    <w:rsid w:val="00FD3A94"/>
    <w:rsid w:val="00FD4403"/>
    <w:rsid w:val="00FD5A08"/>
    <w:rsid w:val="00FD7B03"/>
    <w:rsid w:val="00FD7EE3"/>
    <w:rsid w:val="00FE06B0"/>
    <w:rsid w:val="00FE1257"/>
    <w:rsid w:val="00FE2680"/>
    <w:rsid w:val="00FE3157"/>
    <w:rsid w:val="00FE3174"/>
    <w:rsid w:val="00FE3FBC"/>
    <w:rsid w:val="00FE52A3"/>
    <w:rsid w:val="00FE5CB8"/>
    <w:rsid w:val="00FE7F0D"/>
    <w:rsid w:val="00FF0B29"/>
    <w:rsid w:val="00FF2094"/>
    <w:rsid w:val="00FF2694"/>
    <w:rsid w:val="00FF2E4D"/>
    <w:rsid w:val="00FF4BFF"/>
    <w:rsid w:val="00FF4EAB"/>
    <w:rsid w:val="00FF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6A6F6"/>
  <w15:chartTrackingRefBased/>
  <w15:docId w15:val="{931138B8-9CAA-41B6-AE68-EF8F451A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767171"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767171"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767171"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44546A"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Revision">
    <w:name w:val="Revision"/>
    <w:hidden/>
    <w:uiPriority w:val="99"/>
    <w:semiHidden/>
    <w:rsid w:val="00DF0431"/>
    <w:rPr>
      <w:rFonts w:ascii="Calibri" w:eastAsia="Times New Roman" w:hAnsi="Calibri" w:cs="Times New Roman"/>
      <w:sz w:val="22"/>
      <w:szCs w:val="22"/>
    </w:rPr>
  </w:style>
  <w:style w:type="character" w:styleId="Hyperlink">
    <w:name w:val="Hyperlink"/>
    <w:basedOn w:val="DefaultParagraphFont"/>
    <w:uiPriority w:val="99"/>
    <w:unhideWhenUsed/>
    <w:rsid w:val="002417A8"/>
    <w:rPr>
      <w:color w:val="0563C1" w:themeColor="hyperlink"/>
      <w:u w:val="single"/>
    </w:rPr>
  </w:style>
  <w:style w:type="character" w:styleId="UnresolvedMention">
    <w:name w:val="Unresolved Mention"/>
    <w:basedOn w:val="DefaultParagraphFont"/>
    <w:uiPriority w:val="99"/>
    <w:rsid w:val="002417A8"/>
    <w:rPr>
      <w:color w:val="605E5C"/>
      <w:shd w:val="clear" w:color="auto" w:fill="E1DFDD"/>
    </w:rPr>
  </w:style>
  <w:style w:type="paragraph" w:styleId="EndnoteText">
    <w:name w:val="endnote text"/>
    <w:basedOn w:val="Normal"/>
    <w:link w:val="EndnoteTextChar"/>
    <w:uiPriority w:val="99"/>
    <w:semiHidden/>
    <w:unhideWhenUsed/>
    <w:rsid w:val="002417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17A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2417A8"/>
    <w:rPr>
      <w:vertAlign w:val="superscript"/>
    </w:rPr>
  </w:style>
  <w:style w:type="paragraph" w:styleId="FootnoteText">
    <w:name w:val="footnote text"/>
    <w:basedOn w:val="Normal"/>
    <w:link w:val="FootnoteTextChar"/>
    <w:uiPriority w:val="99"/>
    <w:semiHidden/>
    <w:unhideWhenUsed/>
    <w:rsid w:val="00D90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7B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907B8"/>
    <w:rPr>
      <w:vertAlign w:val="superscript"/>
    </w:rPr>
  </w:style>
  <w:style w:type="paragraph" w:styleId="NormalWeb">
    <w:name w:val="Normal (Web)"/>
    <w:basedOn w:val="Normal"/>
    <w:uiPriority w:val="99"/>
    <w:unhideWhenUsed/>
    <w:rsid w:val="005454B3"/>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953C2E"/>
    <w:rPr>
      <w:color w:val="954F72" w:themeColor="followedHyperlink"/>
      <w:u w:val="single"/>
    </w:rPr>
  </w:style>
  <w:style w:type="paragraph" w:styleId="ListParagraph">
    <w:name w:val="List Paragraph"/>
    <w:basedOn w:val="Normal"/>
    <w:uiPriority w:val="34"/>
    <w:qFormat/>
    <w:rsid w:val="00096F2C"/>
    <w:pPr>
      <w:spacing w:after="160" w:line="25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096F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7460">
      <w:bodyDiv w:val="1"/>
      <w:marLeft w:val="0"/>
      <w:marRight w:val="0"/>
      <w:marTop w:val="0"/>
      <w:marBottom w:val="0"/>
      <w:divBdr>
        <w:top w:val="none" w:sz="0" w:space="0" w:color="auto"/>
        <w:left w:val="none" w:sz="0" w:space="0" w:color="auto"/>
        <w:bottom w:val="none" w:sz="0" w:space="0" w:color="auto"/>
        <w:right w:val="none" w:sz="0" w:space="0" w:color="auto"/>
      </w:divBdr>
    </w:div>
    <w:div w:id="110127352">
      <w:bodyDiv w:val="1"/>
      <w:marLeft w:val="0"/>
      <w:marRight w:val="0"/>
      <w:marTop w:val="0"/>
      <w:marBottom w:val="0"/>
      <w:divBdr>
        <w:top w:val="none" w:sz="0" w:space="0" w:color="auto"/>
        <w:left w:val="none" w:sz="0" w:space="0" w:color="auto"/>
        <w:bottom w:val="none" w:sz="0" w:space="0" w:color="auto"/>
        <w:right w:val="none" w:sz="0" w:space="0" w:color="auto"/>
      </w:divBdr>
    </w:div>
    <w:div w:id="115216346">
      <w:bodyDiv w:val="1"/>
      <w:marLeft w:val="0"/>
      <w:marRight w:val="0"/>
      <w:marTop w:val="0"/>
      <w:marBottom w:val="0"/>
      <w:divBdr>
        <w:top w:val="none" w:sz="0" w:space="0" w:color="auto"/>
        <w:left w:val="none" w:sz="0" w:space="0" w:color="auto"/>
        <w:bottom w:val="none" w:sz="0" w:space="0" w:color="auto"/>
        <w:right w:val="none" w:sz="0" w:space="0" w:color="auto"/>
      </w:divBdr>
    </w:div>
    <w:div w:id="363949337">
      <w:bodyDiv w:val="1"/>
      <w:marLeft w:val="0"/>
      <w:marRight w:val="0"/>
      <w:marTop w:val="0"/>
      <w:marBottom w:val="0"/>
      <w:divBdr>
        <w:top w:val="none" w:sz="0" w:space="0" w:color="auto"/>
        <w:left w:val="none" w:sz="0" w:space="0" w:color="auto"/>
        <w:bottom w:val="none" w:sz="0" w:space="0" w:color="auto"/>
        <w:right w:val="none" w:sz="0" w:space="0" w:color="auto"/>
      </w:divBdr>
    </w:div>
    <w:div w:id="459348085">
      <w:bodyDiv w:val="1"/>
      <w:marLeft w:val="0"/>
      <w:marRight w:val="0"/>
      <w:marTop w:val="0"/>
      <w:marBottom w:val="0"/>
      <w:divBdr>
        <w:top w:val="none" w:sz="0" w:space="0" w:color="auto"/>
        <w:left w:val="none" w:sz="0" w:space="0" w:color="auto"/>
        <w:bottom w:val="none" w:sz="0" w:space="0" w:color="auto"/>
        <w:right w:val="none" w:sz="0" w:space="0" w:color="auto"/>
      </w:divBdr>
    </w:div>
    <w:div w:id="464810233">
      <w:bodyDiv w:val="1"/>
      <w:marLeft w:val="0"/>
      <w:marRight w:val="0"/>
      <w:marTop w:val="0"/>
      <w:marBottom w:val="0"/>
      <w:divBdr>
        <w:top w:val="none" w:sz="0" w:space="0" w:color="auto"/>
        <w:left w:val="none" w:sz="0" w:space="0" w:color="auto"/>
        <w:bottom w:val="none" w:sz="0" w:space="0" w:color="auto"/>
        <w:right w:val="none" w:sz="0" w:space="0" w:color="auto"/>
      </w:divBdr>
    </w:div>
    <w:div w:id="518081289">
      <w:bodyDiv w:val="1"/>
      <w:marLeft w:val="0"/>
      <w:marRight w:val="0"/>
      <w:marTop w:val="0"/>
      <w:marBottom w:val="0"/>
      <w:divBdr>
        <w:top w:val="none" w:sz="0" w:space="0" w:color="auto"/>
        <w:left w:val="none" w:sz="0" w:space="0" w:color="auto"/>
        <w:bottom w:val="none" w:sz="0" w:space="0" w:color="auto"/>
        <w:right w:val="none" w:sz="0" w:space="0" w:color="auto"/>
      </w:divBdr>
    </w:div>
    <w:div w:id="527523264">
      <w:bodyDiv w:val="1"/>
      <w:marLeft w:val="0"/>
      <w:marRight w:val="0"/>
      <w:marTop w:val="0"/>
      <w:marBottom w:val="0"/>
      <w:divBdr>
        <w:top w:val="none" w:sz="0" w:space="0" w:color="auto"/>
        <w:left w:val="none" w:sz="0" w:space="0" w:color="auto"/>
        <w:bottom w:val="none" w:sz="0" w:space="0" w:color="auto"/>
        <w:right w:val="none" w:sz="0" w:space="0" w:color="auto"/>
      </w:divBdr>
    </w:div>
    <w:div w:id="536770743">
      <w:bodyDiv w:val="1"/>
      <w:marLeft w:val="0"/>
      <w:marRight w:val="0"/>
      <w:marTop w:val="0"/>
      <w:marBottom w:val="0"/>
      <w:divBdr>
        <w:top w:val="none" w:sz="0" w:space="0" w:color="auto"/>
        <w:left w:val="none" w:sz="0" w:space="0" w:color="auto"/>
        <w:bottom w:val="none" w:sz="0" w:space="0" w:color="auto"/>
        <w:right w:val="none" w:sz="0" w:space="0" w:color="auto"/>
      </w:divBdr>
    </w:div>
    <w:div w:id="562375251">
      <w:bodyDiv w:val="1"/>
      <w:marLeft w:val="0"/>
      <w:marRight w:val="0"/>
      <w:marTop w:val="0"/>
      <w:marBottom w:val="0"/>
      <w:divBdr>
        <w:top w:val="none" w:sz="0" w:space="0" w:color="auto"/>
        <w:left w:val="none" w:sz="0" w:space="0" w:color="auto"/>
        <w:bottom w:val="none" w:sz="0" w:space="0" w:color="auto"/>
        <w:right w:val="none" w:sz="0" w:space="0" w:color="auto"/>
      </w:divBdr>
    </w:div>
    <w:div w:id="620453337">
      <w:bodyDiv w:val="1"/>
      <w:marLeft w:val="0"/>
      <w:marRight w:val="0"/>
      <w:marTop w:val="0"/>
      <w:marBottom w:val="0"/>
      <w:divBdr>
        <w:top w:val="none" w:sz="0" w:space="0" w:color="auto"/>
        <w:left w:val="none" w:sz="0" w:space="0" w:color="auto"/>
        <w:bottom w:val="none" w:sz="0" w:space="0" w:color="auto"/>
        <w:right w:val="none" w:sz="0" w:space="0" w:color="auto"/>
      </w:divBdr>
    </w:div>
    <w:div w:id="621880424">
      <w:bodyDiv w:val="1"/>
      <w:marLeft w:val="0"/>
      <w:marRight w:val="0"/>
      <w:marTop w:val="0"/>
      <w:marBottom w:val="0"/>
      <w:divBdr>
        <w:top w:val="none" w:sz="0" w:space="0" w:color="auto"/>
        <w:left w:val="none" w:sz="0" w:space="0" w:color="auto"/>
        <w:bottom w:val="none" w:sz="0" w:space="0" w:color="auto"/>
        <w:right w:val="none" w:sz="0" w:space="0" w:color="auto"/>
      </w:divBdr>
    </w:div>
    <w:div w:id="637416780">
      <w:bodyDiv w:val="1"/>
      <w:marLeft w:val="0"/>
      <w:marRight w:val="0"/>
      <w:marTop w:val="0"/>
      <w:marBottom w:val="0"/>
      <w:divBdr>
        <w:top w:val="none" w:sz="0" w:space="0" w:color="auto"/>
        <w:left w:val="none" w:sz="0" w:space="0" w:color="auto"/>
        <w:bottom w:val="none" w:sz="0" w:space="0" w:color="auto"/>
        <w:right w:val="none" w:sz="0" w:space="0" w:color="auto"/>
      </w:divBdr>
    </w:div>
    <w:div w:id="649141312">
      <w:bodyDiv w:val="1"/>
      <w:marLeft w:val="0"/>
      <w:marRight w:val="0"/>
      <w:marTop w:val="0"/>
      <w:marBottom w:val="0"/>
      <w:divBdr>
        <w:top w:val="none" w:sz="0" w:space="0" w:color="auto"/>
        <w:left w:val="none" w:sz="0" w:space="0" w:color="auto"/>
        <w:bottom w:val="none" w:sz="0" w:space="0" w:color="auto"/>
        <w:right w:val="none" w:sz="0" w:space="0" w:color="auto"/>
      </w:divBdr>
    </w:div>
    <w:div w:id="700087734">
      <w:bodyDiv w:val="1"/>
      <w:marLeft w:val="0"/>
      <w:marRight w:val="0"/>
      <w:marTop w:val="0"/>
      <w:marBottom w:val="0"/>
      <w:divBdr>
        <w:top w:val="none" w:sz="0" w:space="0" w:color="auto"/>
        <w:left w:val="none" w:sz="0" w:space="0" w:color="auto"/>
        <w:bottom w:val="none" w:sz="0" w:space="0" w:color="auto"/>
        <w:right w:val="none" w:sz="0" w:space="0" w:color="auto"/>
      </w:divBdr>
    </w:div>
    <w:div w:id="762799379">
      <w:bodyDiv w:val="1"/>
      <w:marLeft w:val="0"/>
      <w:marRight w:val="0"/>
      <w:marTop w:val="0"/>
      <w:marBottom w:val="0"/>
      <w:divBdr>
        <w:top w:val="none" w:sz="0" w:space="0" w:color="auto"/>
        <w:left w:val="none" w:sz="0" w:space="0" w:color="auto"/>
        <w:bottom w:val="none" w:sz="0" w:space="0" w:color="auto"/>
        <w:right w:val="none" w:sz="0" w:space="0" w:color="auto"/>
      </w:divBdr>
    </w:div>
    <w:div w:id="763494429">
      <w:bodyDiv w:val="1"/>
      <w:marLeft w:val="0"/>
      <w:marRight w:val="0"/>
      <w:marTop w:val="0"/>
      <w:marBottom w:val="0"/>
      <w:divBdr>
        <w:top w:val="none" w:sz="0" w:space="0" w:color="auto"/>
        <w:left w:val="none" w:sz="0" w:space="0" w:color="auto"/>
        <w:bottom w:val="none" w:sz="0" w:space="0" w:color="auto"/>
        <w:right w:val="none" w:sz="0" w:space="0" w:color="auto"/>
      </w:divBdr>
    </w:div>
    <w:div w:id="767196075">
      <w:bodyDiv w:val="1"/>
      <w:marLeft w:val="0"/>
      <w:marRight w:val="0"/>
      <w:marTop w:val="0"/>
      <w:marBottom w:val="0"/>
      <w:divBdr>
        <w:top w:val="none" w:sz="0" w:space="0" w:color="auto"/>
        <w:left w:val="none" w:sz="0" w:space="0" w:color="auto"/>
        <w:bottom w:val="none" w:sz="0" w:space="0" w:color="auto"/>
        <w:right w:val="none" w:sz="0" w:space="0" w:color="auto"/>
      </w:divBdr>
    </w:div>
    <w:div w:id="789591939">
      <w:bodyDiv w:val="1"/>
      <w:marLeft w:val="0"/>
      <w:marRight w:val="0"/>
      <w:marTop w:val="0"/>
      <w:marBottom w:val="0"/>
      <w:divBdr>
        <w:top w:val="none" w:sz="0" w:space="0" w:color="auto"/>
        <w:left w:val="none" w:sz="0" w:space="0" w:color="auto"/>
        <w:bottom w:val="none" w:sz="0" w:space="0" w:color="auto"/>
        <w:right w:val="none" w:sz="0" w:space="0" w:color="auto"/>
      </w:divBdr>
    </w:div>
    <w:div w:id="795180530">
      <w:bodyDiv w:val="1"/>
      <w:marLeft w:val="0"/>
      <w:marRight w:val="0"/>
      <w:marTop w:val="0"/>
      <w:marBottom w:val="0"/>
      <w:divBdr>
        <w:top w:val="none" w:sz="0" w:space="0" w:color="auto"/>
        <w:left w:val="none" w:sz="0" w:space="0" w:color="auto"/>
        <w:bottom w:val="none" w:sz="0" w:space="0" w:color="auto"/>
        <w:right w:val="none" w:sz="0" w:space="0" w:color="auto"/>
      </w:divBdr>
    </w:div>
    <w:div w:id="838886200">
      <w:bodyDiv w:val="1"/>
      <w:marLeft w:val="0"/>
      <w:marRight w:val="0"/>
      <w:marTop w:val="0"/>
      <w:marBottom w:val="0"/>
      <w:divBdr>
        <w:top w:val="none" w:sz="0" w:space="0" w:color="auto"/>
        <w:left w:val="none" w:sz="0" w:space="0" w:color="auto"/>
        <w:bottom w:val="none" w:sz="0" w:space="0" w:color="auto"/>
        <w:right w:val="none" w:sz="0" w:space="0" w:color="auto"/>
      </w:divBdr>
    </w:div>
    <w:div w:id="899025943">
      <w:bodyDiv w:val="1"/>
      <w:marLeft w:val="0"/>
      <w:marRight w:val="0"/>
      <w:marTop w:val="0"/>
      <w:marBottom w:val="0"/>
      <w:divBdr>
        <w:top w:val="none" w:sz="0" w:space="0" w:color="auto"/>
        <w:left w:val="none" w:sz="0" w:space="0" w:color="auto"/>
        <w:bottom w:val="none" w:sz="0" w:space="0" w:color="auto"/>
        <w:right w:val="none" w:sz="0" w:space="0" w:color="auto"/>
      </w:divBdr>
    </w:div>
    <w:div w:id="920870403">
      <w:bodyDiv w:val="1"/>
      <w:marLeft w:val="0"/>
      <w:marRight w:val="0"/>
      <w:marTop w:val="0"/>
      <w:marBottom w:val="0"/>
      <w:divBdr>
        <w:top w:val="none" w:sz="0" w:space="0" w:color="auto"/>
        <w:left w:val="none" w:sz="0" w:space="0" w:color="auto"/>
        <w:bottom w:val="none" w:sz="0" w:space="0" w:color="auto"/>
        <w:right w:val="none" w:sz="0" w:space="0" w:color="auto"/>
      </w:divBdr>
    </w:div>
    <w:div w:id="930167259">
      <w:bodyDiv w:val="1"/>
      <w:marLeft w:val="0"/>
      <w:marRight w:val="0"/>
      <w:marTop w:val="0"/>
      <w:marBottom w:val="0"/>
      <w:divBdr>
        <w:top w:val="none" w:sz="0" w:space="0" w:color="auto"/>
        <w:left w:val="none" w:sz="0" w:space="0" w:color="auto"/>
        <w:bottom w:val="none" w:sz="0" w:space="0" w:color="auto"/>
        <w:right w:val="none" w:sz="0" w:space="0" w:color="auto"/>
      </w:divBdr>
    </w:div>
    <w:div w:id="956329902">
      <w:bodyDiv w:val="1"/>
      <w:marLeft w:val="0"/>
      <w:marRight w:val="0"/>
      <w:marTop w:val="0"/>
      <w:marBottom w:val="0"/>
      <w:divBdr>
        <w:top w:val="none" w:sz="0" w:space="0" w:color="auto"/>
        <w:left w:val="none" w:sz="0" w:space="0" w:color="auto"/>
        <w:bottom w:val="none" w:sz="0" w:space="0" w:color="auto"/>
        <w:right w:val="none" w:sz="0" w:space="0" w:color="auto"/>
      </w:divBdr>
    </w:div>
    <w:div w:id="974876373">
      <w:bodyDiv w:val="1"/>
      <w:marLeft w:val="0"/>
      <w:marRight w:val="0"/>
      <w:marTop w:val="0"/>
      <w:marBottom w:val="0"/>
      <w:divBdr>
        <w:top w:val="none" w:sz="0" w:space="0" w:color="auto"/>
        <w:left w:val="none" w:sz="0" w:space="0" w:color="auto"/>
        <w:bottom w:val="none" w:sz="0" w:space="0" w:color="auto"/>
        <w:right w:val="none" w:sz="0" w:space="0" w:color="auto"/>
      </w:divBdr>
    </w:div>
    <w:div w:id="993603293">
      <w:bodyDiv w:val="1"/>
      <w:marLeft w:val="0"/>
      <w:marRight w:val="0"/>
      <w:marTop w:val="0"/>
      <w:marBottom w:val="0"/>
      <w:divBdr>
        <w:top w:val="none" w:sz="0" w:space="0" w:color="auto"/>
        <w:left w:val="none" w:sz="0" w:space="0" w:color="auto"/>
        <w:bottom w:val="none" w:sz="0" w:space="0" w:color="auto"/>
        <w:right w:val="none" w:sz="0" w:space="0" w:color="auto"/>
      </w:divBdr>
    </w:div>
    <w:div w:id="1027558332">
      <w:bodyDiv w:val="1"/>
      <w:marLeft w:val="0"/>
      <w:marRight w:val="0"/>
      <w:marTop w:val="0"/>
      <w:marBottom w:val="0"/>
      <w:divBdr>
        <w:top w:val="none" w:sz="0" w:space="0" w:color="auto"/>
        <w:left w:val="none" w:sz="0" w:space="0" w:color="auto"/>
        <w:bottom w:val="none" w:sz="0" w:space="0" w:color="auto"/>
        <w:right w:val="none" w:sz="0" w:space="0" w:color="auto"/>
      </w:divBdr>
    </w:div>
    <w:div w:id="1048644841">
      <w:bodyDiv w:val="1"/>
      <w:marLeft w:val="0"/>
      <w:marRight w:val="0"/>
      <w:marTop w:val="0"/>
      <w:marBottom w:val="0"/>
      <w:divBdr>
        <w:top w:val="none" w:sz="0" w:space="0" w:color="auto"/>
        <w:left w:val="none" w:sz="0" w:space="0" w:color="auto"/>
        <w:bottom w:val="none" w:sz="0" w:space="0" w:color="auto"/>
        <w:right w:val="none" w:sz="0" w:space="0" w:color="auto"/>
      </w:divBdr>
    </w:div>
    <w:div w:id="1084571253">
      <w:bodyDiv w:val="1"/>
      <w:marLeft w:val="0"/>
      <w:marRight w:val="0"/>
      <w:marTop w:val="0"/>
      <w:marBottom w:val="0"/>
      <w:divBdr>
        <w:top w:val="none" w:sz="0" w:space="0" w:color="auto"/>
        <w:left w:val="none" w:sz="0" w:space="0" w:color="auto"/>
        <w:bottom w:val="none" w:sz="0" w:space="0" w:color="auto"/>
        <w:right w:val="none" w:sz="0" w:space="0" w:color="auto"/>
      </w:divBdr>
    </w:div>
    <w:div w:id="1128205483">
      <w:bodyDiv w:val="1"/>
      <w:marLeft w:val="0"/>
      <w:marRight w:val="0"/>
      <w:marTop w:val="0"/>
      <w:marBottom w:val="0"/>
      <w:divBdr>
        <w:top w:val="none" w:sz="0" w:space="0" w:color="auto"/>
        <w:left w:val="none" w:sz="0" w:space="0" w:color="auto"/>
        <w:bottom w:val="none" w:sz="0" w:space="0" w:color="auto"/>
        <w:right w:val="none" w:sz="0" w:space="0" w:color="auto"/>
      </w:divBdr>
    </w:div>
    <w:div w:id="1150094074">
      <w:bodyDiv w:val="1"/>
      <w:marLeft w:val="0"/>
      <w:marRight w:val="0"/>
      <w:marTop w:val="0"/>
      <w:marBottom w:val="0"/>
      <w:divBdr>
        <w:top w:val="none" w:sz="0" w:space="0" w:color="auto"/>
        <w:left w:val="none" w:sz="0" w:space="0" w:color="auto"/>
        <w:bottom w:val="none" w:sz="0" w:space="0" w:color="auto"/>
        <w:right w:val="none" w:sz="0" w:space="0" w:color="auto"/>
      </w:divBdr>
    </w:div>
    <w:div w:id="1168669925">
      <w:bodyDiv w:val="1"/>
      <w:marLeft w:val="0"/>
      <w:marRight w:val="0"/>
      <w:marTop w:val="0"/>
      <w:marBottom w:val="0"/>
      <w:divBdr>
        <w:top w:val="none" w:sz="0" w:space="0" w:color="auto"/>
        <w:left w:val="none" w:sz="0" w:space="0" w:color="auto"/>
        <w:bottom w:val="none" w:sz="0" w:space="0" w:color="auto"/>
        <w:right w:val="none" w:sz="0" w:space="0" w:color="auto"/>
      </w:divBdr>
    </w:div>
    <w:div w:id="1210336035">
      <w:bodyDiv w:val="1"/>
      <w:marLeft w:val="0"/>
      <w:marRight w:val="0"/>
      <w:marTop w:val="0"/>
      <w:marBottom w:val="0"/>
      <w:divBdr>
        <w:top w:val="none" w:sz="0" w:space="0" w:color="auto"/>
        <w:left w:val="none" w:sz="0" w:space="0" w:color="auto"/>
        <w:bottom w:val="none" w:sz="0" w:space="0" w:color="auto"/>
        <w:right w:val="none" w:sz="0" w:space="0" w:color="auto"/>
      </w:divBdr>
    </w:div>
    <w:div w:id="1245266929">
      <w:bodyDiv w:val="1"/>
      <w:marLeft w:val="0"/>
      <w:marRight w:val="0"/>
      <w:marTop w:val="0"/>
      <w:marBottom w:val="0"/>
      <w:divBdr>
        <w:top w:val="none" w:sz="0" w:space="0" w:color="auto"/>
        <w:left w:val="none" w:sz="0" w:space="0" w:color="auto"/>
        <w:bottom w:val="none" w:sz="0" w:space="0" w:color="auto"/>
        <w:right w:val="none" w:sz="0" w:space="0" w:color="auto"/>
      </w:divBdr>
    </w:div>
    <w:div w:id="1343241326">
      <w:bodyDiv w:val="1"/>
      <w:marLeft w:val="0"/>
      <w:marRight w:val="0"/>
      <w:marTop w:val="0"/>
      <w:marBottom w:val="0"/>
      <w:divBdr>
        <w:top w:val="none" w:sz="0" w:space="0" w:color="auto"/>
        <w:left w:val="none" w:sz="0" w:space="0" w:color="auto"/>
        <w:bottom w:val="none" w:sz="0" w:space="0" w:color="auto"/>
        <w:right w:val="none" w:sz="0" w:space="0" w:color="auto"/>
      </w:divBdr>
    </w:div>
    <w:div w:id="1346979265">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410692251">
      <w:bodyDiv w:val="1"/>
      <w:marLeft w:val="0"/>
      <w:marRight w:val="0"/>
      <w:marTop w:val="0"/>
      <w:marBottom w:val="0"/>
      <w:divBdr>
        <w:top w:val="none" w:sz="0" w:space="0" w:color="auto"/>
        <w:left w:val="none" w:sz="0" w:space="0" w:color="auto"/>
        <w:bottom w:val="none" w:sz="0" w:space="0" w:color="auto"/>
        <w:right w:val="none" w:sz="0" w:space="0" w:color="auto"/>
      </w:divBdr>
    </w:div>
    <w:div w:id="1425494814">
      <w:bodyDiv w:val="1"/>
      <w:marLeft w:val="0"/>
      <w:marRight w:val="0"/>
      <w:marTop w:val="0"/>
      <w:marBottom w:val="0"/>
      <w:divBdr>
        <w:top w:val="none" w:sz="0" w:space="0" w:color="auto"/>
        <w:left w:val="none" w:sz="0" w:space="0" w:color="auto"/>
        <w:bottom w:val="none" w:sz="0" w:space="0" w:color="auto"/>
        <w:right w:val="none" w:sz="0" w:space="0" w:color="auto"/>
      </w:divBdr>
    </w:div>
    <w:div w:id="1527059964">
      <w:bodyDiv w:val="1"/>
      <w:marLeft w:val="0"/>
      <w:marRight w:val="0"/>
      <w:marTop w:val="0"/>
      <w:marBottom w:val="0"/>
      <w:divBdr>
        <w:top w:val="none" w:sz="0" w:space="0" w:color="auto"/>
        <w:left w:val="none" w:sz="0" w:space="0" w:color="auto"/>
        <w:bottom w:val="none" w:sz="0" w:space="0" w:color="auto"/>
        <w:right w:val="none" w:sz="0" w:space="0" w:color="auto"/>
      </w:divBdr>
    </w:div>
    <w:div w:id="1543059292">
      <w:bodyDiv w:val="1"/>
      <w:marLeft w:val="0"/>
      <w:marRight w:val="0"/>
      <w:marTop w:val="0"/>
      <w:marBottom w:val="0"/>
      <w:divBdr>
        <w:top w:val="none" w:sz="0" w:space="0" w:color="auto"/>
        <w:left w:val="none" w:sz="0" w:space="0" w:color="auto"/>
        <w:bottom w:val="none" w:sz="0" w:space="0" w:color="auto"/>
        <w:right w:val="none" w:sz="0" w:space="0" w:color="auto"/>
      </w:divBdr>
    </w:div>
    <w:div w:id="1618442922">
      <w:bodyDiv w:val="1"/>
      <w:marLeft w:val="0"/>
      <w:marRight w:val="0"/>
      <w:marTop w:val="0"/>
      <w:marBottom w:val="0"/>
      <w:divBdr>
        <w:top w:val="none" w:sz="0" w:space="0" w:color="auto"/>
        <w:left w:val="none" w:sz="0" w:space="0" w:color="auto"/>
        <w:bottom w:val="none" w:sz="0" w:space="0" w:color="auto"/>
        <w:right w:val="none" w:sz="0" w:space="0" w:color="auto"/>
      </w:divBdr>
    </w:div>
    <w:div w:id="1621572132">
      <w:bodyDiv w:val="1"/>
      <w:marLeft w:val="0"/>
      <w:marRight w:val="0"/>
      <w:marTop w:val="0"/>
      <w:marBottom w:val="0"/>
      <w:divBdr>
        <w:top w:val="none" w:sz="0" w:space="0" w:color="auto"/>
        <w:left w:val="none" w:sz="0" w:space="0" w:color="auto"/>
        <w:bottom w:val="none" w:sz="0" w:space="0" w:color="auto"/>
        <w:right w:val="none" w:sz="0" w:space="0" w:color="auto"/>
      </w:divBdr>
    </w:div>
    <w:div w:id="1634484324">
      <w:bodyDiv w:val="1"/>
      <w:marLeft w:val="0"/>
      <w:marRight w:val="0"/>
      <w:marTop w:val="0"/>
      <w:marBottom w:val="0"/>
      <w:divBdr>
        <w:top w:val="none" w:sz="0" w:space="0" w:color="auto"/>
        <w:left w:val="none" w:sz="0" w:space="0" w:color="auto"/>
        <w:bottom w:val="none" w:sz="0" w:space="0" w:color="auto"/>
        <w:right w:val="none" w:sz="0" w:space="0" w:color="auto"/>
      </w:divBdr>
    </w:div>
    <w:div w:id="1689941991">
      <w:bodyDiv w:val="1"/>
      <w:marLeft w:val="0"/>
      <w:marRight w:val="0"/>
      <w:marTop w:val="0"/>
      <w:marBottom w:val="0"/>
      <w:divBdr>
        <w:top w:val="none" w:sz="0" w:space="0" w:color="auto"/>
        <w:left w:val="none" w:sz="0" w:space="0" w:color="auto"/>
        <w:bottom w:val="none" w:sz="0" w:space="0" w:color="auto"/>
        <w:right w:val="none" w:sz="0" w:space="0" w:color="auto"/>
      </w:divBdr>
    </w:div>
    <w:div w:id="1718433249">
      <w:bodyDiv w:val="1"/>
      <w:marLeft w:val="0"/>
      <w:marRight w:val="0"/>
      <w:marTop w:val="0"/>
      <w:marBottom w:val="0"/>
      <w:divBdr>
        <w:top w:val="none" w:sz="0" w:space="0" w:color="auto"/>
        <w:left w:val="none" w:sz="0" w:space="0" w:color="auto"/>
        <w:bottom w:val="none" w:sz="0" w:space="0" w:color="auto"/>
        <w:right w:val="none" w:sz="0" w:space="0" w:color="auto"/>
      </w:divBdr>
    </w:div>
    <w:div w:id="1723478338">
      <w:bodyDiv w:val="1"/>
      <w:marLeft w:val="0"/>
      <w:marRight w:val="0"/>
      <w:marTop w:val="0"/>
      <w:marBottom w:val="0"/>
      <w:divBdr>
        <w:top w:val="none" w:sz="0" w:space="0" w:color="auto"/>
        <w:left w:val="none" w:sz="0" w:space="0" w:color="auto"/>
        <w:bottom w:val="none" w:sz="0" w:space="0" w:color="auto"/>
        <w:right w:val="none" w:sz="0" w:space="0" w:color="auto"/>
      </w:divBdr>
    </w:div>
    <w:div w:id="1753896027">
      <w:bodyDiv w:val="1"/>
      <w:marLeft w:val="0"/>
      <w:marRight w:val="0"/>
      <w:marTop w:val="0"/>
      <w:marBottom w:val="0"/>
      <w:divBdr>
        <w:top w:val="none" w:sz="0" w:space="0" w:color="auto"/>
        <w:left w:val="none" w:sz="0" w:space="0" w:color="auto"/>
        <w:bottom w:val="none" w:sz="0" w:space="0" w:color="auto"/>
        <w:right w:val="none" w:sz="0" w:space="0" w:color="auto"/>
      </w:divBdr>
    </w:div>
    <w:div w:id="1788616590">
      <w:bodyDiv w:val="1"/>
      <w:marLeft w:val="0"/>
      <w:marRight w:val="0"/>
      <w:marTop w:val="0"/>
      <w:marBottom w:val="0"/>
      <w:divBdr>
        <w:top w:val="none" w:sz="0" w:space="0" w:color="auto"/>
        <w:left w:val="none" w:sz="0" w:space="0" w:color="auto"/>
        <w:bottom w:val="none" w:sz="0" w:space="0" w:color="auto"/>
        <w:right w:val="none" w:sz="0" w:space="0" w:color="auto"/>
      </w:divBdr>
    </w:div>
    <w:div w:id="1788625434">
      <w:bodyDiv w:val="1"/>
      <w:marLeft w:val="0"/>
      <w:marRight w:val="0"/>
      <w:marTop w:val="0"/>
      <w:marBottom w:val="0"/>
      <w:divBdr>
        <w:top w:val="none" w:sz="0" w:space="0" w:color="auto"/>
        <w:left w:val="none" w:sz="0" w:space="0" w:color="auto"/>
        <w:bottom w:val="none" w:sz="0" w:space="0" w:color="auto"/>
        <w:right w:val="none" w:sz="0" w:space="0" w:color="auto"/>
      </w:divBdr>
    </w:div>
    <w:div w:id="1860895565">
      <w:bodyDiv w:val="1"/>
      <w:marLeft w:val="0"/>
      <w:marRight w:val="0"/>
      <w:marTop w:val="0"/>
      <w:marBottom w:val="0"/>
      <w:divBdr>
        <w:top w:val="none" w:sz="0" w:space="0" w:color="auto"/>
        <w:left w:val="none" w:sz="0" w:space="0" w:color="auto"/>
        <w:bottom w:val="none" w:sz="0" w:space="0" w:color="auto"/>
        <w:right w:val="none" w:sz="0" w:space="0" w:color="auto"/>
      </w:divBdr>
    </w:div>
    <w:div w:id="1939169844">
      <w:bodyDiv w:val="1"/>
      <w:marLeft w:val="0"/>
      <w:marRight w:val="0"/>
      <w:marTop w:val="0"/>
      <w:marBottom w:val="0"/>
      <w:divBdr>
        <w:top w:val="none" w:sz="0" w:space="0" w:color="auto"/>
        <w:left w:val="none" w:sz="0" w:space="0" w:color="auto"/>
        <w:bottom w:val="none" w:sz="0" w:space="0" w:color="auto"/>
        <w:right w:val="none" w:sz="0" w:space="0" w:color="auto"/>
      </w:divBdr>
    </w:div>
    <w:div w:id="1959413909">
      <w:bodyDiv w:val="1"/>
      <w:marLeft w:val="0"/>
      <w:marRight w:val="0"/>
      <w:marTop w:val="0"/>
      <w:marBottom w:val="0"/>
      <w:divBdr>
        <w:top w:val="none" w:sz="0" w:space="0" w:color="auto"/>
        <w:left w:val="none" w:sz="0" w:space="0" w:color="auto"/>
        <w:bottom w:val="none" w:sz="0" w:space="0" w:color="auto"/>
        <w:right w:val="none" w:sz="0" w:space="0" w:color="auto"/>
      </w:divBdr>
    </w:div>
    <w:div w:id="1971550998">
      <w:bodyDiv w:val="1"/>
      <w:marLeft w:val="0"/>
      <w:marRight w:val="0"/>
      <w:marTop w:val="0"/>
      <w:marBottom w:val="0"/>
      <w:divBdr>
        <w:top w:val="none" w:sz="0" w:space="0" w:color="auto"/>
        <w:left w:val="none" w:sz="0" w:space="0" w:color="auto"/>
        <w:bottom w:val="none" w:sz="0" w:space="0" w:color="auto"/>
        <w:right w:val="none" w:sz="0" w:space="0" w:color="auto"/>
      </w:divBdr>
    </w:div>
    <w:div w:id="2065371445">
      <w:bodyDiv w:val="1"/>
      <w:marLeft w:val="0"/>
      <w:marRight w:val="0"/>
      <w:marTop w:val="0"/>
      <w:marBottom w:val="0"/>
      <w:divBdr>
        <w:top w:val="none" w:sz="0" w:space="0" w:color="auto"/>
        <w:left w:val="none" w:sz="0" w:space="0" w:color="auto"/>
        <w:bottom w:val="none" w:sz="0" w:space="0" w:color="auto"/>
        <w:right w:val="none" w:sz="0" w:space="0" w:color="auto"/>
      </w:divBdr>
    </w:div>
    <w:div w:id="2070834524">
      <w:bodyDiv w:val="1"/>
      <w:marLeft w:val="0"/>
      <w:marRight w:val="0"/>
      <w:marTop w:val="0"/>
      <w:marBottom w:val="0"/>
      <w:divBdr>
        <w:top w:val="none" w:sz="0" w:space="0" w:color="auto"/>
        <w:left w:val="none" w:sz="0" w:space="0" w:color="auto"/>
        <w:bottom w:val="none" w:sz="0" w:space="0" w:color="auto"/>
        <w:right w:val="none" w:sz="0" w:space="0" w:color="auto"/>
      </w:divBdr>
    </w:div>
    <w:div w:id="21147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wealthmanager.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wealthmanager.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wsj.com/articles/fed-raises-rates-by-0-75-percentage-point-largest-increase-since-1994-11655316170" TargetMode="External"/><Relationship Id="rId2" Type="http://schemas.openxmlformats.org/officeDocument/2006/relationships/hyperlink" Target="https://www.forbes.com/advisor/investing/stock-market-outlook-and-forecast/" TargetMode="External"/><Relationship Id="rId1" Type="http://schemas.openxmlformats.org/officeDocument/2006/relationships/hyperlink" Target="https://www.bloomberg.com/news/articles/2022-06-30/china-s-world-beating-stock-rally-is-forecast-to-strengthen-more" TargetMode="External"/><Relationship Id="rId4" Type="http://schemas.openxmlformats.org/officeDocument/2006/relationships/hyperlink" Target="https://www.schroders.com/en/us/wealth-management/insights/strategy-and-economics/why-has-the-dollar-been-so-strong-and-can-it-continue/"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Returns as of June 30</a:t>
            </a:r>
            <a:r>
              <a:rPr lang="en-US" sz="1000" b="1" baseline="0"/>
              <a:t>, 2022</a:t>
            </a:r>
            <a:endParaRPr lang="en-US" sz="1000" b="1"/>
          </a:p>
        </c:rich>
      </c:tx>
      <c:layout>
        <c:manualLayout>
          <c:xMode val="edge"/>
          <c:yMode val="edge"/>
          <c:x val="0.32151960784313732"/>
          <c:y val="1.9011168325366954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1.9607843137254902E-2"/>
          <c:y val="0.2390418023260289"/>
          <c:w val="0.94607843137254899"/>
          <c:h val="0.5968900331740058"/>
        </c:manualLayout>
      </c:layout>
      <c:barChart>
        <c:barDir val="col"/>
        <c:grouping val="clustered"/>
        <c:varyColors val="0"/>
        <c:ser>
          <c:idx val="0"/>
          <c:order val="0"/>
          <c:tx>
            <c:strRef>
              <c:f>Sheet1!$B$1</c:f>
              <c:strCache>
                <c:ptCount val="1"/>
                <c:pt idx="0">
                  <c:v>US Equities</c:v>
                </c:pt>
              </c:strCache>
            </c:strRef>
          </c:tx>
          <c:spPr>
            <a:solidFill>
              <a:schemeClr val="accent6">
                <a:lumMod val="50000"/>
              </a:schemeClr>
            </a:solidFill>
            <a:ln>
              <a:noFill/>
            </a:ln>
            <a:effectLst/>
          </c:spPr>
          <c:invertIfNegative val="0"/>
          <c:dLbls>
            <c:dLbl>
              <c:idx val="0"/>
              <c:tx>
                <c:rich>
                  <a:bodyPr/>
                  <a:lstStyle/>
                  <a:p>
                    <a:fld id="{E6D63E52-1EDE-4513-9710-2ADB800FBA8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8231-44B3-BF12-AC0CF34476A8}"/>
                </c:ext>
              </c:extLst>
            </c:dLbl>
            <c:dLbl>
              <c:idx val="1"/>
              <c:tx>
                <c:rich>
                  <a:bodyPr/>
                  <a:lstStyle/>
                  <a:p>
                    <a:fld id="{8E818BC0-9AD8-4409-B1E1-5C78F58F2DF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231-44B3-BF12-AC0CF34476A8}"/>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Jun-22</c:v>
                </c:pt>
                <c:pt idx="1">
                  <c:v>Year to Date</c:v>
                </c:pt>
              </c:strCache>
            </c:strRef>
          </c:cat>
          <c:val>
            <c:numRef>
              <c:f>Sheet1!$B$2:$B$3</c:f>
              <c:numCache>
                <c:formatCode>0.0</c:formatCode>
                <c:ptCount val="2"/>
                <c:pt idx="0">
                  <c:v>-8.3000000000000007</c:v>
                </c:pt>
                <c:pt idx="1">
                  <c:v>-20</c:v>
                </c:pt>
              </c:numCache>
            </c:numRef>
          </c:val>
          <c:extLst>
            <c:ext xmlns:c16="http://schemas.microsoft.com/office/drawing/2014/chart" uri="{C3380CC4-5D6E-409C-BE32-E72D297353CC}">
              <c16:uniqueId val="{00000002-8231-44B3-BF12-AC0CF34476A8}"/>
            </c:ext>
          </c:extLst>
        </c:ser>
        <c:ser>
          <c:idx val="1"/>
          <c:order val="1"/>
          <c:tx>
            <c:strRef>
              <c:f>Sheet1!$C$1</c:f>
              <c:strCache>
                <c:ptCount val="1"/>
                <c:pt idx="0">
                  <c:v>Int'l Equities</c:v>
                </c:pt>
              </c:strCache>
            </c:strRef>
          </c:tx>
          <c:spPr>
            <a:solidFill>
              <a:schemeClr val="accent6">
                <a:lumMod val="75000"/>
              </a:schemeClr>
            </a:solidFill>
            <a:ln>
              <a:noFill/>
            </a:ln>
            <a:effectLst/>
          </c:spPr>
          <c:invertIfNegative val="0"/>
          <c:dLbls>
            <c:dLbl>
              <c:idx val="0"/>
              <c:tx>
                <c:rich>
                  <a:bodyPr/>
                  <a:lstStyle/>
                  <a:p>
                    <a:fld id="{D5895DF3-EDD8-438A-A831-DC57E27B835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231-44B3-BF12-AC0CF34476A8}"/>
                </c:ext>
              </c:extLst>
            </c:dLbl>
            <c:dLbl>
              <c:idx val="1"/>
              <c:tx>
                <c:rich>
                  <a:bodyPr/>
                  <a:lstStyle/>
                  <a:p>
                    <a:fld id="{D7BDB681-2473-41B8-A08D-D7C2E550C37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8231-44B3-BF12-AC0CF34476A8}"/>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Jun-22</c:v>
                </c:pt>
                <c:pt idx="1">
                  <c:v>Year to Date</c:v>
                </c:pt>
              </c:strCache>
            </c:strRef>
          </c:cat>
          <c:val>
            <c:numRef>
              <c:f>Sheet1!$C$2:$C$3</c:f>
              <c:numCache>
                <c:formatCode>0.0</c:formatCode>
                <c:ptCount val="2"/>
                <c:pt idx="0" formatCode="General">
                  <c:v>-9.3000000000000007</c:v>
                </c:pt>
                <c:pt idx="1">
                  <c:v>-19.3</c:v>
                </c:pt>
              </c:numCache>
            </c:numRef>
          </c:val>
          <c:extLst>
            <c:ext xmlns:c16="http://schemas.microsoft.com/office/drawing/2014/chart" uri="{C3380CC4-5D6E-409C-BE32-E72D297353CC}">
              <c16:uniqueId val="{00000005-8231-44B3-BF12-AC0CF34476A8}"/>
            </c:ext>
          </c:extLst>
        </c:ser>
        <c:ser>
          <c:idx val="2"/>
          <c:order val="2"/>
          <c:tx>
            <c:strRef>
              <c:f>Sheet1!$D$1</c:f>
              <c:strCache>
                <c:ptCount val="1"/>
                <c:pt idx="0">
                  <c:v>EM Equities</c:v>
                </c:pt>
              </c:strCache>
            </c:strRef>
          </c:tx>
          <c:spPr>
            <a:solidFill>
              <a:schemeClr val="accent6">
                <a:lumMod val="60000"/>
                <a:lumOff val="40000"/>
              </a:schemeClr>
            </a:solidFill>
            <a:ln>
              <a:noFill/>
            </a:ln>
            <a:effectLst/>
          </c:spPr>
          <c:invertIfNegative val="0"/>
          <c:dLbls>
            <c:dLbl>
              <c:idx val="0"/>
              <c:tx>
                <c:rich>
                  <a:bodyPr/>
                  <a:lstStyle/>
                  <a:p>
                    <a:fld id="{8757BB78-4493-4BA9-AB17-83A9602B7EC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231-44B3-BF12-AC0CF34476A8}"/>
                </c:ext>
              </c:extLst>
            </c:dLbl>
            <c:dLbl>
              <c:idx val="1"/>
              <c:layout>
                <c:manualLayout>
                  <c:x val="1.2254901960784314E-2"/>
                  <c:y val="9.2286734054437807E-3"/>
                </c:manualLayout>
              </c:layout>
              <c:tx>
                <c:rich>
                  <a:bodyPr/>
                  <a:lstStyle/>
                  <a:p>
                    <a:fld id="{86A5AC39-FBFD-458F-9B8F-134C61094A91}"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231-44B3-BF12-AC0CF34476A8}"/>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Jun-22</c:v>
                </c:pt>
                <c:pt idx="1">
                  <c:v>Year to Date</c:v>
                </c:pt>
              </c:strCache>
            </c:strRef>
          </c:cat>
          <c:val>
            <c:numRef>
              <c:f>Sheet1!$D$2:$D$3</c:f>
              <c:numCache>
                <c:formatCode>0.0</c:formatCode>
                <c:ptCount val="2"/>
                <c:pt idx="0" formatCode="#,##0.0">
                  <c:v>-6.6</c:v>
                </c:pt>
                <c:pt idx="1">
                  <c:v>-17.5</c:v>
                </c:pt>
              </c:numCache>
            </c:numRef>
          </c:val>
          <c:extLst>
            <c:ext xmlns:c16="http://schemas.microsoft.com/office/drawing/2014/chart" uri="{C3380CC4-5D6E-409C-BE32-E72D297353CC}">
              <c16:uniqueId val="{00000008-8231-44B3-BF12-AC0CF34476A8}"/>
            </c:ext>
          </c:extLst>
        </c:ser>
        <c:ser>
          <c:idx val="3"/>
          <c:order val="3"/>
          <c:tx>
            <c:strRef>
              <c:f>Sheet1!$E$1</c:f>
              <c:strCache>
                <c:ptCount val="1"/>
                <c:pt idx="0">
                  <c:v>US Bonds</c:v>
                </c:pt>
              </c:strCache>
            </c:strRef>
          </c:tx>
          <c:spPr>
            <a:solidFill>
              <a:schemeClr val="accent5">
                <a:lumMod val="50000"/>
              </a:schemeClr>
            </a:solidFill>
            <a:ln>
              <a:noFill/>
            </a:ln>
            <a:effectLst/>
          </c:spPr>
          <c:invertIfNegative val="0"/>
          <c:dLbls>
            <c:dLbl>
              <c:idx val="0"/>
              <c:tx>
                <c:rich>
                  <a:bodyPr/>
                  <a:lstStyle/>
                  <a:p>
                    <a:fld id="{7A05F3C6-9F03-47B3-A46D-056F7363937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8231-44B3-BF12-AC0CF34476A8}"/>
                </c:ext>
              </c:extLst>
            </c:dLbl>
            <c:dLbl>
              <c:idx val="1"/>
              <c:tx>
                <c:rich>
                  <a:bodyPr/>
                  <a:lstStyle/>
                  <a:p>
                    <a:fld id="{0CEE1A28-6841-4944-8E05-E6338B4E0E3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8231-44B3-BF12-AC0CF34476A8}"/>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Jun-22</c:v>
                </c:pt>
                <c:pt idx="1">
                  <c:v>Year to Date</c:v>
                </c:pt>
              </c:strCache>
            </c:strRef>
          </c:cat>
          <c:val>
            <c:numRef>
              <c:f>Sheet1!$E$2:$E$3</c:f>
              <c:numCache>
                <c:formatCode>0.0</c:formatCode>
                <c:ptCount val="2"/>
                <c:pt idx="0">
                  <c:v>-1.6</c:v>
                </c:pt>
                <c:pt idx="1">
                  <c:v>-10.3</c:v>
                </c:pt>
              </c:numCache>
            </c:numRef>
          </c:val>
          <c:extLst>
            <c:ext xmlns:c16="http://schemas.microsoft.com/office/drawing/2014/chart" uri="{C3380CC4-5D6E-409C-BE32-E72D297353CC}">
              <c16:uniqueId val="{0000000B-8231-44B3-BF12-AC0CF34476A8}"/>
            </c:ext>
          </c:extLst>
        </c:ser>
        <c:ser>
          <c:idx val="4"/>
          <c:order val="4"/>
          <c:tx>
            <c:strRef>
              <c:f>Sheet1!$F$1</c:f>
              <c:strCache>
                <c:ptCount val="1"/>
                <c:pt idx="0">
                  <c:v>Int'l Bonds</c:v>
                </c:pt>
              </c:strCache>
            </c:strRef>
          </c:tx>
          <c:spPr>
            <a:solidFill>
              <a:schemeClr val="accent5">
                <a:lumMod val="75000"/>
              </a:schemeClr>
            </a:solidFill>
            <a:ln>
              <a:noFill/>
            </a:ln>
            <a:effectLst/>
          </c:spPr>
          <c:invertIfNegative val="0"/>
          <c:dLbls>
            <c:dLbl>
              <c:idx val="0"/>
              <c:tx>
                <c:rich>
                  <a:bodyPr/>
                  <a:lstStyle/>
                  <a:p>
                    <a:fld id="{9370B3AD-65F3-4F2B-A027-BC5EE213ED2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8231-44B3-BF12-AC0CF34476A8}"/>
                </c:ext>
              </c:extLst>
            </c:dLbl>
            <c:dLbl>
              <c:idx val="1"/>
              <c:tx>
                <c:rich>
                  <a:bodyPr/>
                  <a:lstStyle/>
                  <a:p>
                    <a:fld id="{0ED10897-47EB-48A6-902D-31687169BE0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8231-44B3-BF12-AC0CF34476A8}"/>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Jun-22</c:v>
                </c:pt>
                <c:pt idx="1">
                  <c:v>Year to Date</c:v>
                </c:pt>
              </c:strCache>
            </c:strRef>
          </c:cat>
          <c:val>
            <c:numRef>
              <c:f>Sheet1!$F$2:$F$3</c:f>
              <c:numCache>
                <c:formatCode>0.0</c:formatCode>
                <c:ptCount val="2"/>
                <c:pt idx="0">
                  <c:v>-4.5</c:v>
                </c:pt>
                <c:pt idx="1">
                  <c:v>-16.5</c:v>
                </c:pt>
              </c:numCache>
            </c:numRef>
          </c:val>
          <c:extLst>
            <c:ext xmlns:c16="http://schemas.microsoft.com/office/drawing/2014/chart" uri="{C3380CC4-5D6E-409C-BE32-E72D297353CC}">
              <c16:uniqueId val="{0000000E-8231-44B3-BF12-AC0CF34476A8}"/>
            </c:ext>
          </c:extLst>
        </c:ser>
        <c:ser>
          <c:idx val="5"/>
          <c:order val="5"/>
          <c:tx>
            <c:strRef>
              <c:f>Sheet1!$G$1</c:f>
              <c:strCache>
                <c:ptCount val="1"/>
                <c:pt idx="0">
                  <c:v>EM Bonds</c:v>
                </c:pt>
              </c:strCache>
            </c:strRef>
          </c:tx>
          <c:spPr>
            <a:solidFill>
              <a:schemeClr val="accent5">
                <a:lumMod val="60000"/>
                <a:lumOff val="40000"/>
              </a:schemeClr>
            </a:solidFill>
            <a:ln>
              <a:noFill/>
            </a:ln>
            <a:effectLst/>
          </c:spPr>
          <c:invertIfNegative val="0"/>
          <c:dLbls>
            <c:dLbl>
              <c:idx val="0"/>
              <c:tx>
                <c:rich>
                  <a:bodyPr/>
                  <a:lstStyle/>
                  <a:p>
                    <a:fld id="{4CB15D1E-AFB6-4EF0-8000-5360582AF19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8231-44B3-BF12-AC0CF34476A8}"/>
                </c:ext>
              </c:extLst>
            </c:dLbl>
            <c:dLbl>
              <c:idx val="1"/>
              <c:layout>
                <c:manualLayout>
                  <c:x val="4.9019607843137254E-3"/>
                  <c:y val="0"/>
                </c:manualLayout>
              </c:layout>
              <c:tx>
                <c:rich>
                  <a:bodyPr/>
                  <a:lstStyle/>
                  <a:p>
                    <a:fld id="{D7CF3EFC-4827-418B-B375-6A5CBCABC3BC}"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8231-44B3-BF12-AC0CF34476A8}"/>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Jun-22</c:v>
                </c:pt>
                <c:pt idx="1">
                  <c:v>Year to Date</c:v>
                </c:pt>
              </c:strCache>
            </c:strRef>
          </c:cat>
          <c:val>
            <c:numRef>
              <c:f>Sheet1!$G$2:$G$3</c:f>
              <c:numCache>
                <c:formatCode>0.0</c:formatCode>
                <c:ptCount val="2"/>
                <c:pt idx="0">
                  <c:v>-4.5999999999999996</c:v>
                </c:pt>
                <c:pt idx="1">
                  <c:v>-17.100000000000001</c:v>
                </c:pt>
              </c:numCache>
            </c:numRef>
          </c:val>
          <c:extLst>
            <c:ext xmlns:c16="http://schemas.microsoft.com/office/drawing/2014/chart" uri="{C3380CC4-5D6E-409C-BE32-E72D297353CC}">
              <c16:uniqueId val="{00000011-8231-44B3-BF12-AC0CF34476A8}"/>
            </c:ext>
          </c:extLst>
        </c:ser>
        <c:dLbls>
          <c:showLegendKey val="0"/>
          <c:showVal val="0"/>
          <c:showCatName val="0"/>
          <c:showSerName val="0"/>
          <c:showPercent val="0"/>
          <c:showBubbleSize val="0"/>
        </c:dLbls>
        <c:gapWidth val="125"/>
        <c:overlap val="-27"/>
        <c:axId val="111373312"/>
        <c:axId val="265864992"/>
      </c:barChart>
      <c:catAx>
        <c:axId val="1113733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Algn val="ctr"/>
        <c:lblOffset val="100"/>
        <c:noMultiLvlLbl val="1"/>
      </c:cat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0"/>
          <c:y val="0.83572998687664024"/>
          <c:w val="0.9612745098039216"/>
          <c:h val="0.1642700131233595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Returns as June 30, 2022</a:t>
            </a:r>
          </a:p>
        </c:rich>
      </c:tx>
      <c:layout>
        <c:manualLayout>
          <c:xMode val="edge"/>
          <c:yMode val="edge"/>
          <c:x val="0.3183147216210116"/>
          <c:y val="1.8322336573599941E-3"/>
        </c:manualLayout>
      </c:layout>
      <c:overlay val="0"/>
      <c:spPr>
        <a:noFill/>
        <a:ln>
          <a:noFill/>
        </a:ln>
        <a:effectLst/>
      </c:spPr>
      <c:txPr>
        <a:bodyPr rot="0" spcFirstLastPara="1" vertOverflow="ellipsis" vert="horz" wrap="square" anchor="ctr" anchorCtr="1"/>
        <a:lstStyle/>
        <a:p>
          <a:pPr algn="just">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3.0731424170629597E-2"/>
          <c:y val="0.21267714669994606"/>
          <c:w val="0.94335526777533907"/>
          <c:h val="0.51924181119151147"/>
        </c:manualLayout>
      </c:layout>
      <c:barChart>
        <c:barDir val="col"/>
        <c:grouping val="clustered"/>
        <c:varyColors val="0"/>
        <c:ser>
          <c:idx val="0"/>
          <c:order val="0"/>
          <c:tx>
            <c:strRef>
              <c:f>Sheet1!$B$1</c:f>
              <c:strCache>
                <c:ptCount val="1"/>
                <c:pt idx="0">
                  <c:v>Glb 60/40</c:v>
                </c:pt>
              </c:strCache>
            </c:strRef>
          </c:tx>
          <c:spPr>
            <a:solidFill>
              <a:schemeClr val="tx1"/>
            </a:solidFill>
            <a:ln>
              <a:noFill/>
            </a:ln>
            <a:effectLst/>
          </c:spPr>
          <c:invertIfNegative val="0"/>
          <c:dLbls>
            <c:dLbl>
              <c:idx val="0"/>
              <c:tx>
                <c:rich>
                  <a:bodyPr/>
                  <a:lstStyle/>
                  <a:p>
                    <a:fld id="{BF59C2CE-4A3A-4BF9-8254-32B3ABB2849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172-44F7-9E5E-9909EE094D4A}"/>
                </c:ext>
              </c:extLst>
            </c:dLbl>
            <c:dLbl>
              <c:idx val="1"/>
              <c:tx>
                <c:rich>
                  <a:bodyPr/>
                  <a:lstStyle/>
                  <a:p>
                    <a:fld id="{1DEAEE47-CFA9-4B18-A1E0-DB820867AF6E}"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172-44F7-9E5E-9909EE094D4A}"/>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Jun-22</c:v>
                </c:pt>
                <c:pt idx="1">
                  <c:v>Year to Date</c:v>
                </c:pt>
              </c:strCache>
            </c:strRef>
          </c:cat>
          <c:val>
            <c:numRef>
              <c:f>Sheet1!$B$2:$B$3</c:f>
              <c:numCache>
                <c:formatCode>0.0</c:formatCode>
                <c:ptCount val="2"/>
                <c:pt idx="0">
                  <c:v>-6.32</c:v>
                </c:pt>
                <c:pt idx="1">
                  <c:v>-17.560000000000002</c:v>
                </c:pt>
              </c:numCache>
            </c:numRef>
          </c:val>
          <c:extLst>
            <c:ext xmlns:c16="http://schemas.microsoft.com/office/drawing/2014/chart" uri="{C3380CC4-5D6E-409C-BE32-E72D297353CC}">
              <c16:uniqueId val="{00000002-7172-44F7-9E5E-9909EE094D4A}"/>
            </c:ext>
          </c:extLst>
        </c:ser>
        <c:ser>
          <c:idx val="1"/>
          <c:order val="1"/>
          <c:tx>
            <c:strRef>
              <c:f>Sheet1!$C$1</c:f>
              <c:strCache>
                <c:ptCount val="1"/>
                <c:pt idx="0">
                  <c:v>Glb Equities</c:v>
                </c:pt>
              </c:strCache>
            </c:strRef>
          </c:tx>
          <c:spPr>
            <a:solidFill>
              <a:schemeClr val="accent6">
                <a:lumMod val="75000"/>
              </a:schemeClr>
            </a:solidFill>
            <a:ln>
              <a:noFill/>
            </a:ln>
            <a:effectLst/>
          </c:spPr>
          <c:invertIfNegative val="0"/>
          <c:dLbls>
            <c:dLbl>
              <c:idx val="0"/>
              <c:tx>
                <c:rich>
                  <a:bodyPr/>
                  <a:lstStyle/>
                  <a:p>
                    <a:fld id="{D39F284E-AA1D-442E-A171-393864CA2DB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172-44F7-9E5E-9909EE094D4A}"/>
                </c:ext>
              </c:extLst>
            </c:dLbl>
            <c:dLbl>
              <c:idx val="1"/>
              <c:tx>
                <c:rich>
                  <a:bodyPr/>
                  <a:lstStyle/>
                  <a:p>
                    <a:fld id="{BEFF0068-B178-4F4B-8BBC-EEB5BBA6DA7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7172-44F7-9E5E-9909EE094D4A}"/>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Jun-22</c:v>
                </c:pt>
                <c:pt idx="1">
                  <c:v>Year to Date</c:v>
                </c:pt>
              </c:strCache>
            </c:strRef>
          </c:cat>
          <c:val>
            <c:numRef>
              <c:f>Sheet1!$C$2:$C$3</c:f>
              <c:numCache>
                <c:formatCode>0.0</c:formatCode>
                <c:ptCount val="2"/>
                <c:pt idx="0">
                  <c:v>-8.4</c:v>
                </c:pt>
                <c:pt idx="1">
                  <c:v>-20</c:v>
                </c:pt>
              </c:numCache>
            </c:numRef>
          </c:val>
          <c:extLst>
            <c:ext xmlns:c16="http://schemas.microsoft.com/office/drawing/2014/chart" uri="{C3380CC4-5D6E-409C-BE32-E72D297353CC}">
              <c16:uniqueId val="{00000005-7172-44F7-9E5E-9909EE094D4A}"/>
            </c:ext>
          </c:extLst>
        </c:ser>
        <c:ser>
          <c:idx val="2"/>
          <c:order val="2"/>
          <c:tx>
            <c:strRef>
              <c:f>Sheet1!$D$1</c:f>
              <c:strCache>
                <c:ptCount val="1"/>
                <c:pt idx="0">
                  <c:v>Glb Bonds</c:v>
                </c:pt>
              </c:strCache>
            </c:strRef>
          </c:tx>
          <c:spPr>
            <a:solidFill>
              <a:schemeClr val="accent5">
                <a:lumMod val="75000"/>
              </a:schemeClr>
            </a:solidFill>
            <a:ln>
              <a:noFill/>
            </a:ln>
            <a:effectLst/>
          </c:spPr>
          <c:invertIfNegative val="0"/>
          <c:dLbls>
            <c:dLbl>
              <c:idx val="0"/>
              <c:tx>
                <c:rich>
                  <a:bodyPr/>
                  <a:lstStyle/>
                  <a:p>
                    <a:fld id="{189CD266-3744-466C-A968-AA74D3FD97A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7172-44F7-9E5E-9909EE094D4A}"/>
                </c:ext>
              </c:extLst>
            </c:dLbl>
            <c:dLbl>
              <c:idx val="1"/>
              <c:tx>
                <c:rich>
                  <a:bodyPr/>
                  <a:lstStyle/>
                  <a:p>
                    <a:fld id="{C1C3848E-4123-4DB5-B9ED-1D8BD656E61F}"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172-44F7-9E5E-9909EE094D4A}"/>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Jun-22</c:v>
                </c:pt>
                <c:pt idx="1">
                  <c:v>Year to Date</c:v>
                </c:pt>
              </c:strCache>
            </c:strRef>
          </c:cat>
          <c:val>
            <c:numRef>
              <c:f>Sheet1!$D$2:$D$3</c:f>
              <c:numCache>
                <c:formatCode>0.0</c:formatCode>
                <c:ptCount val="2"/>
                <c:pt idx="0">
                  <c:v>-3.2</c:v>
                </c:pt>
                <c:pt idx="1">
                  <c:v>-13.9</c:v>
                </c:pt>
              </c:numCache>
            </c:numRef>
          </c:val>
          <c:extLst>
            <c:ext xmlns:c16="http://schemas.microsoft.com/office/drawing/2014/chart" uri="{C3380CC4-5D6E-409C-BE32-E72D297353CC}">
              <c16:uniqueId val="{00000008-7172-44F7-9E5E-9909EE094D4A}"/>
            </c:ext>
          </c:extLst>
        </c:ser>
        <c:ser>
          <c:idx val="3"/>
          <c:order val="3"/>
          <c:tx>
            <c:strRef>
              <c:f>Sheet1!$E$1</c:f>
              <c:strCache>
                <c:ptCount val="1"/>
                <c:pt idx="0">
                  <c:v>US REITs</c:v>
                </c:pt>
              </c:strCache>
            </c:strRef>
          </c:tx>
          <c:spPr>
            <a:solidFill>
              <a:schemeClr val="accent3">
                <a:lumMod val="75000"/>
              </a:schemeClr>
            </a:solidFill>
            <a:ln>
              <a:noFill/>
            </a:ln>
            <a:effectLst/>
          </c:spPr>
          <c:invertIfNegative val="0"/>
          <c:dLbls>
            <c:dLbl>
              <c:idx val="0"/>
              <c:tx>
                <c:rich>
                  <a:bodyPr/>
                  <a:lstStyle/>
                  <a:p>
                    <a:fld id="{41880CD7-9990-49BF-90A1-76F26B76DCF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7172-44F7-9E5E-9909EE094D4A}"/>
                </c:ext>
              </c:extLst>
            </c:dLbl>
            <c:dLbl>
              <c:idx val="1"/>
              <c:tx>
                <c:rich>
                  <a:bodyPr/>
                  <a:lstStyle/>
                  <a:p>
                    <a:fld id="{E22C80B0-EF8C-46A4-BEF0-389A75DDF8C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7172-44F7-9E5E-9909EE094D4A}"/>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Jun-22</c:v>
                </c:pt>
                <c:pt idx="1">
                  <c:v>Year to Date</c:v>
                </c:pt>
              </c:strCache>
            </c:strRef>
          </c:cat>
          <c:val>
            <c:numRef>
              <c:f>Sheet1!$E$2:$E$3</c:f>
              <c:numCache>
                <c:formatCode>0.0</c:formatCode>
                <c:ptCount val="2"/>
                <c:pt idx="0">
                  <c:v>-7.1</c:v>
                </c:pt>
                <c:pt idx="1">
                  <c:v>-19.2</c:v>
                </c:pt>
              </c:numCache>
            </c:numRef>
          </c:val>
          <c:extLst>
            <c:ext xmlns:c16="http://schemas.microsoft.com/office/drawing/2014/chart" uri="{C3380CC4-5D6E-409C-BE32-E72D297353CC}">
              <c16:uniqueId val="{0000000B-7172-44F7-9E5E-9909EE094D4A}"/>
            </c:ext>
          </c:extLst>
        </c:ser>
        <c:ser>
          <c:idx val="4"/>
          <c:order val="4"/>
          <c:tx>
            <c:strRef>
              <c:f>Sheet1!$F$1</c:f>
              <c:strCache>
                <c:ptCount val="1"/>
                <c:pt idx="0">
                  <c:v>Commodities</c:v>
                </c:pt>
              </c:strCache>
            </c:strRef>
          </c:tx>
          <c:spPr>
            <a:solidFill>
              <a:schemeClr val="accent3"/>
            </a:solidFill>
            <a:ln>
              <a:noFill/>
            </a:ln>
            <a:effectLst/>
          </c:spPr>
          <c:invertIfNegative val="0"/>
          <c:dLbls>
            <c:dLbl>
              <c:idx val="0"/>
              <c:tx>
                <c:rich>
                  <a:bodyPr/>
                  <a:lstStyle/>
                  <a:p>
                    <a:fld id="{1F3FB801-7F7F-45DC-86DE-9EA7D8573CAD}"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7172-44F7-9E5E-9909EE094D4A}"/>
                </c:ext>
              </c:extLst>
            </c:dLbl>
            <c:dLbl>
              <c:idx val="1"/>
              <c:tx>
                <c:rich>
                  <a:bodyPr/>
                  <a:lstStyle/>
                  <a:p>
                    <a:fld id="{413E31C4-83ED-4E67-87D0-FEFFD8EC5F7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7172-44F7-9E5E-9909EE094D4A}"/>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Jun-22</c:v>
                </c:pt>
                <c:pt idx="1">
                  <c:v>Year to Date</c:v>
                </c:pt>
              </c:strCache>
            </c:strRef>
          </c:cat>
          <c:val>
            <c:numRef>
              <c:f>Sheet1!$F$2:$F$3</c:f>
              <c:numCache>
                <c:formatCode>0.0</c:formatCode>
                <c:ptCount val="2"/>
                <c:pt idx="0">
                  <c:v>-10.8</c:v>
                </c:pt>
                <c:pt idx="1">
                  <c:v>18.399999999999999</c:v>
                </c:pt>
              </c:numCache>
            </c:numRef>
          </c:val>
          <c:extLst>
            <c:ext xmlns:c16="http://schemas.microsoft.com/office/drawing/2014/chart" uri="{C3380CC4-5D6E-409C-BE32-E72D297353CC}">
              <c16:uniqueId val="{0000000E-7172-44F7-9E5E-9909EE094D4A}"/>
            </c:ext>
          </c:extLst>
        </c:ser>
        <c:ser>
          <c:idx val="5"/>
          <c:order val="5"/>
          <c:tx>
            <c:strRef>
              <c:f>Sheet1!$G$1</c:f>
              <c:strCache>
                <c:ptCount val="1"/>
                <c:pt idx="0">
                  <c:v>Gold</c:v>
                </c:pt>
              </c:strCache>
            </c:strRef>
          </c:tx>
          <c:spPr>
            <a:solidFill>
              <a:schemeClr val="accent4"/>
            </a:solidFill>
            <a:ln>
              <a:noFill/>
            </a:ln>
            <a:effectLst/>
          </c:spPr>
          <c:invertIfNegative val="0"/>
          <c:dLbls>
            <c:dLbl>
              <c:idx val="0"/>
              <c:tx>
                <c:rich>
                  <a:bodyPr/>
                  <a:lstStyle/>
                  <a:p>
                    <a:fld id="{0A64BB21-D464-46F0-93B7-3E20E9CC7CA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7172-44F7-9E5E-9909EE094D4A}"/>
                </c:ext>
              </c:extLst>
            </c:dLbl>
            <c:dLbl>
              <c:idx val="1"/>
              <c:tx>
                <c:rich>
                  <a:bodyPr/>
                  <a:lstStyle/>
                  <a:p>
                    <a:fld id="{F2195A43-361B-48DB-A0F2-5DEE857FA7A1}"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7172-44F7-9E5E-9909EE094D4A}"/>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Jun-22</c:v>
                </c:pt>
                <c:pt idx="1">
                  <c:v>Year to Date</c:v>
                </c:pt>
              </c:strCache>
            </c:strRef>
          </c:cat>
          <c:val>
            <c:numRef>
              <c:f>Sheet1!$G$2:$G$3</c:f>
              <c:numCache>
                <c:formatCode>0.0</c:formatCode>
                <c:ptCount val="2"/>
                <c:pt idx="0">
                  <c:v>-2.1</c:v>
                </c:pt>
                <c:pt idx="1">
                  <c:v>-1.5</c:v>
                </c:pt>
              </c:numCache>
            </c:numRef>
          </c:val>
          <c:extLst>
            <c:ext xmlns:c16="http://schemas.microsoft.com/office/drawing/2014/chart" uri="{C3380CC4-5D6E-409C-BE32-E72D297353CC}">
              <c16:uniqueId val="{00000011-7172-44F7-9E5E-9909EE094D4A}"/>
            </c:ext>
          </c:extLst>
        </c:ser>
        <c:dLbls>
          <c:showLegendKey val="0"/>
          <c:showVal val="0"/>
          <c:showCatName val="0"/>
          <c:showSerName val="0"/>
          <c:showPercent val="0"/>
          <c:showBubbleSize val="0"/>
        </c:dLbls>
        <c:gapWidth val="125"/>
        <c:overlap val="-27"/>
        <c:axId val="111373312"/>
        <c:axId val="265864992"/>
      </c:barChart>
      <c:catAx>
        <c:axId val="1113733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0" spcFirstLastPara="1" vertOverflow="ellipsis" wrap="square" anchor="b" anchorCtr="0"/>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Algn val="ctr"/>
        <c:lblOffset val="100"/>
        <c:tickLblSkip val="1"/>
        <c:noMultiLvlLbl val="1"/>
      </c:cat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3.4448915345650387E-2"/>
          <c:y val="0.87671099936037411"/>
          <c:w val="0.96331696289066271"/>
          <c:h val="0.1097531926156289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83FA619D2B349B00D5F0F2CE6B706" ma:contentTypeVersion="11" ma:contentTypeDescription="Create a new document." ma:contentTypeScope="" ma:versionID="192d9a45ff029d484e5ed0a8a098b1e7">
  <xsd:schema xmlns:xsd="http://www.w3.org/2001/XMLSchema" xmlns:xs="http://www.w3.org/2001/XMLSchema" xmlns:p="http://schemas.microsoft.com/office/2006/metadata/properties" xmlns:ns3="0b9e382b-daa0-4834-87ed-27ee55f638e7" xmlns:ns4="4e52db4d-ebf4-459d-8c3d-a29637997161" targetNamespace="http://schemas.microsoft.com/office/2006/metadata/properties" ma:root="true" ma:fieldsID="e81792524a29150d1eacdc5c540b452c" ns3:_="" ns4:_="">
    <xsd:import namespace="0b9e382b-daa0-4834-87ed-27ee55f638e7"/>
    <xsd:import namespace="4e52db4d-ebf4-459d-8c3d-a296379971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e382b-daa0-4834-87ed-27ee55f63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2db4d-ebf4-459d-8c3d-a296379971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BE9AC-0E0D-47B3-B9F9-DF73420F3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e382b-daa0-4834-87ed-27ee55f638e7"/>
    <ds:schemaRef ds:uri="4e52db4d-ebf4-459d-8c3d-a29637997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A8546D-53EE-4006-AA2D-987055372E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E43FE3-C3B3-4434-BE57-8CB4EF723A02}">
  <ds:schemaRefs>
    <ds:schemaRef ds:uri="http://schemas.microsoft.com/sharepoint/v3/contenttype/forms"/>
  </ds:schemaRefs>
</ds:datastoreItem>
</file>

<file path=customXml/itemProps4.xml><?xml version="1.0" encoding="utf-8"?>
<ds:datastoreItem xmlns:ds="http://schemas.openxmlformats.org/officeDocument/2006/customXml" ds:itemID="{2F4B2FC0-AEA5-47E0-B683-690659DA6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Brown, Brittney (AssetMark)</cp:lastModifiedBy>
  <cp:revision>2</cp:revision>
  <cp:lastPrinted>2019-11-05T19:19:00Z</cp:lastPrinted>
  <dcterms:created xsi:type="dcterms:W3CDTF">2022-07-11T16:48:00Z</dcterms:created>
  <dcterms:modified xsi:type="dcterms:W3CDTF">2022-07-11T16:48:00Z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0x01010037183FA619D2B349B00D5F0F2CE6B706</vt:lpwstr>
  </property>
</Properties>
</file>