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color w:val="0070C0"/>
          <w:sz w:val="20"/>
          <w:szCs w:val="20"/>
        </w:rPr>
        <w:id w:val="1609467124"/>
        <w:showingPlcHdr/>
        <w:picture/>
      </w:sdtPr>
      <w:sdtEndPr/>
      <w:sdtContent>
        <w:p w14:paraId="0CC3231F" w14:textId="47E849E2" w:rsidR="004B1C5E" w:rsidRDefault="007A1E85" w:rsidP="00996FBD">
          <w:pPr>
            <w:spacing w:after="0"/>
            <w:ind w:left="-720" w:right="-720"/>
            <w:rPr>
              <w:rFonts w:ascii="Arial" w:hAnsi="Arial" w:cs="Arial"/>
              <w:b/>
              <w:color w:val="0070C0"/>
              <w:sz w:val="20"/>
              <w:szCs w:val="20"/>
            </w:rPr>
          </w:pPr>
          <w:r>
            <w:rPr>
              <w:rFonts w:ascii="Arial" w:hAnsi="Arial" w:cs="Arial"/>
              <w:b/>
              <w:noProof/>
              <w:color w:val="0070C0"/>
              <w:sz w:val="20"/>
              <w:szCs w:val="20"/>
            </w:rPr>
            <w:drawing>
              <wp:anchor distT="0" distB="0" distL="114300" distR="114300" simplePos="0" relativeHeight="251653632" behindDoc="1" locked="1" layoutInCell="1" allowOverlap="1" wp14:anchorId="26CF89A4" wp14:editId="5A4C3752">
                <wp:simplePos x="0" y="0"/>
                <wp:positionH relativeFrom="page">
                  <wp:posOffset>5486400</wp:posOffset>
                </wp:positionH>
                <wp:positionV relativeFrom="page">
                  <wp:posOffset>640080</wp:posOffset>
                </wp:positionV>
                <wp:extent cx="1830071" cy="914400"/>
                <wp:effectExtent l="0" t="0" r="0" b="0"/>
                <wp:wrapTight wrapText="bothSides">
                  <wp:wrapPolygon edited="0">
                    <wp:start x="0" y="0"/>
                    <wp:lineTo x="0" y="21150"/>
                    <wp:lineTo x="21360" y="21150"/>
                    <wp:lineTo x="21360" y="0"/>
                    <wp:lineTo x="0" y="0"/>
                  </wp:wrapPolygon>
                </wp:wrapTight>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0071"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35272551" w14:textId="1121D204" w:rsidR="004B1C5E" w:rsidRDefault="004B1C5E" w:rsidP="00996FBD">
      <w:pPr>
        <w:spacing w:after="0"/>
        <w:ind w:left="-720" w:right="-720"/>
        <w:rPr>
          <w:rFonts w:ascii="Arial" w:hAnsi="Arial" w:cs="Arial"/>
          <w:b/>
          <w:color w:val="0070C0"/>
          <w:sz w:val="20"/>
          <w:szCs w:val="20"/>
        </w:rPr>
      </w:pPr>
    </w:p>
    <w:p w14:paraId="6EDD6CB0" w14:textId="14478B61" w:rsidR="004B1C5E" w:rsidRDefault="004B1C5E" w:rsidP="00996FBD">
      <w:pPr>
        <w:spacing w:after="0"/>
        <w:ind w:left="-720" w:right="-720"/>
        <w:rPr>
          <w:rFonts w:ascii="Arial" w:hAnsi="Arial" w:cs="Arial"/>
          <w:b/>
          <w:color w:val="0070C0"/>
          <w:sz w:val="20"/>
          <w:szCs w:val="20"/>
        </w:rPr>
      </w:pPr>
    </w:p>
    <w:p w14:paraId="3F9F7D45" w14:textId="09623574" w:rsidR="004B1C5E" w:rsidRDefault="004B1C5E" w:rsidP="00996FBD">
      <w:pPr>
        <w:spacing w:after="0"/>
        <w:ind w:left="-720" w:right="-720"/>
        <w:rPr>
          <w:rFonts w:ascii="Arial" w:hAnsi="Arial" w:cs="Arial"/>
          <w:b/>
          <w:color w:val="0070C0"/>
          <w:sz w:val="20"/>
          <w:szCs w:val="20"/>
        </w:rPr>
      </w:pPr>
    </w:p>
    <w:p w14:paraId="59F92E0E" w14:textId="00284864" w:rsidR="004B1C5E" w:rsidRDefault="004B1C5E" w:rsidP="00996FBD">
      <w:pPr>
        <w:spacing w:after="0"/>
        <w:ind w:left="-720" w:right="-720"/>
        <w:rPr>
          <w:rFonts w:ascii="Arial" w:hAnsi="Arial" w:cs="Arial"/>
          <w:b/>
          <w:color w:val="0070C0"/>
          <w:sz w:val="20"/>
          <w:szCs w:val="20"/>
        </w:rPr>
      </w:pPr>
    </w:p>
    <w:p w14:paraId="3962AC07" w14:textId="77777777" w:rsidR="00F647BF" w:rsidRPr="00FB2425" w:rsidRDefault="00F647BF" w:rsidP="00F647BF">
      <w:pPr>
        <w:spacing w:after="0"/>
        <w:ind w:left="1440" w:right="-360"/>
        <w:rPr>
          <w:rFonts w:ascii="Arial" w:hAnsi="Arial" w:cs="Arial"/>
          <w:b/>
          <w:color w:val="037EBB"/>
          <w:szCs w:val="20"/>
        </w:rPr>
      </w:pPr>
      <w:r>
        <w:rPr>
          <w:noProof/>
        </w:rPr>
        <w:drawing>
          <wp:anchor distT="0" distB="0" distL="114300" distR="114300" simplePos="0" relativeHeight="251666944" behindDoc="0" locked="0" layoutInCell="1" allowOverlap="1" wp14:anchorId="21229DFF" wp14:editId="48140A7D">
            <wp:simplePos x="0" y="0"/>
            <wp:positionH relativeFrom="column">
              <wp:posOffset>933450</wp:posOffset>
            </wp:positionH>
            <wp:positionV relativeFrom="page">
              <wp:posOffset>2171700</wp:posOffset>
            </wp:positionV>
            <wp:extent cx="5181600" cy="2752725"/>
            <wp:effectExtent l="0" t="0" r="0" b="9525"/>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7D272C">
        <w:rPr>
          <w:rFonts w:ascii="Arial" w:hAnsi="Arial" w:cs="Arial"/>
          <w:b/>
          <w:noProof/>
          <w:color w:val="3B3838" w:themeColor="background2" w:themeShade="40"/>
          <w:sz w:val="21"/>
          <w:szCs w:val="20"/>
        </w:rPr>
        <w:drawing>
          <wp:anchor distT="0" distB="0" distL="114300" distR="114300" simplePos="0" relativeHeight="251665920" behindDoc="0" locked="0" layoutInCell="1" allowOverlap="1" wp14:anchorId="43E348DB" wp14:editId="016EE589">
            <wp:simplePos x="0" y="0"/>
            <wp:positionH relativeFrom="column">
              <wp:posOffset>-174625</wp:posOffset>
            </wp:positionH>
            <wp:positionV relativeFrom="paragraph">
              <wp:posOffset>68580</wp:posOffset>
            </wp:positionV>
            <wp:extent cx="558182" cy="658368"/>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58182" cy="658368"/>
                    </a:xfrm>
                    <a:prstGeom prst="rect">
                      <a:avLst/>
                    </a:prstGeom>
                  </pic:spPr>
                </pic:pic>
              </a:graphicData>
            </a:graphic>
            <wp14:sizeRelH relativeFrom="page">
              <wp14:pctWidth>0</wp14:pctWidth>
            </wp14:sizeRelH>
            <wp14:sizeRelV relativeFrom="page">
              <wp14:pctHeight>0</wp14:pctHeight>
            </wp14:sizeRelV>
          </wp:anchor>
        </w:drawing>
      </w:r>
      <w:r w:rsidRPr="007D272C">
        <w:rPr>
          <w:rFonts w:ascii="Arial" w:hAnsi="Arial" w:cs="Arial"/>
          <w:b/>
          <w:color w:val="037EBB"/>
          <w:sz w:val="24"/>
          <w:szCs w:val="20"/>
        </w:rPr>
        <w:t>Market Review</w:t>
      </w:r>
    </w:p>
    <w:p w14:paraId="196E6B4D" w14:textId="77777777" w:rsidR="00F647BF" w:rsidRPr="002815AB" w:rsidRDefault="00F647BF" w:rsidP="00F647BF">
      <w:pPr>
        <w:spacing w:after="0"/>
        <w:ind w:left="1440" w:right="-360"/>
        <w:rPr>
          <w:rFonts w:ascii="Arial" w:hAnsi="Arial" w:cs="Arial"/>
          <w:b/>
          <w:color w:val="3B3838" w:themeColor="background2" w:themeShade="40"/>
          <w:sz w:val="20"/>
          <w:szCs w:val="20"/>
        </w:rPr>
      </w:pPr>
      <w:r w:rsidRPr="003127F9">
        <w:rPr>
          <w:rFonts w:ascii="Arial" w:hAnsi="Arial" w:cs="Arial"/>
          <w:color w:val="767171" w:themeColor="background2" w:themeShade="80"/>
          <w:sz w:val="18"/>
          <w:szCs w:val="18"/>
        </w:rPr>
        <w:t>Source:  Zephyr Style Advisor</w:t>
      </w:r>
    </w:p>
    <w:p w14:paraId="3C172BE2" w14:textId="77777777" w:rsidR="00F647BF" w:rsidRPr="00525FA1" w:rsidRDefault="00F647BF" w:rsidP="00F647BF">
      <w:pPr>
        <w:spacing w:after="0"/>
        <w:ind w:left="1440" w:right="-360"/>
        <w:rPr>
          <w:rFonts w:ascii="Arial" w:hAnsi="Arial" w:cs="Arial"/>
          <w:b/>
          <w:color w:val="3B3838" w:themeColor="background2" w:themeShade="40"/>
          <w:sz w:val="20"/>
          <w:szCs w:val="20"/>
        </w:rPr>
      </w:pPr>
    </w:p>
    <w:p w14:paraId="5FFB5ECE" w14:textId="77777777" w:rsidR="00F647BF" w:rsidRDefault="00F647BF" w:rsidP="00F647BF">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July</w:t>
      </w:r>
      <w:r w:rsidRPr="007F51DD">
        <w:rPr>
          <w:rFonts w:ascii="Arial" w:hAnsi="Arial" w:cs="Arial"/>
          <w:color w:val="3B3838" w:themeColor="background2" w:themeShade="40"/>
          <w:sz w:val="20"/>
          <w:szCs w:val="20"/>
        </w:rPr>
        <w:t xml:space="preserve"> was a strong month for equities, after </w:t>
      </w:r>
      <w:r>
        <w:rPr>
          <w:rFonts w:ascii="Arial" w:hAnsi="Arial" w:cs="Arial"/>
          <w:color w:val="3B3838" w:themeColor="background2" w:themeShade="40"/>
          <w:sz w:val="20"/>
          <w:szCs w:val="20"/>
        </w:rPr>
        <w:t xml:space="preserve">a rough first half in 2022. </w:t>
      </w:r>
      <w:r w:rsidRPr="007F51DD">
        <w:rPr>
          <w:rFonts w:ascii="Arial" w:hAnsi="Arial" w:cs="Arial"/>
          <w:color w:val="3B3838" w:themeColor="background2" w:themeShade="40"/>
          <w:sz w:val="20"/>
          <w:szCs w:val="20"/>
        </w:rPr>
        <w:t xml:space="preserve">Despite ongoing concerns </w:t>
      </w:r>
      <w:r>
        <w:rPr>
          <w:rFonts w:ascii="Arial" w:hAnsi="Arial" w:cs="Arial"/>
          <w:color w:val="3B3838" w:themeColor="background2" w:themeShade="40"/>
          <w:sz w:val="20"/>
          <w:szCs w:val="20"/>
        </w:rPr>
        <w:t xml:space="preserve">of economic growth and </w:t>
      </w:r>
      <w:r w:rsidRPr="007F51DD">
        <w:rPr>
          <w:rFonts w:ascii="Arial" w:hAnsi="Arial" w:cs="Arial"/>
          <w:color w:val="3B3838" w:themeColor="background2" w:themeShade="40"/>
          <w:sz w:val="20"/>
          <w:szCs w:val="20"/>
        </w:rPr>
        <w:t>inflation,</w:t>
      </w:r>
      <w:r>
        <w:rPr>
          <w:rFonts w:ascii="Arial" w:hAnsi="Arial" w:cs="Arial"/>
          <w:color w:val="3B3838" w:themeColor="background2" w:themeShade="40"/>
          <w:sz w:val="20"/>
          <w:szCs w:val="20"/>
        </w:rPr>
        <w:t xml:space="preserve"> the US (9.2%) had its best month since November 2020</w:t>
      </w:r>
      <w:r>
        <w:rPr>
          <w:rStyle w:val="EndnoteReference"/>
          <w:rFonts w:ascii="Arial" w:hAnsi="Arial" w:cs="Arial"/>
          <w:color w:val="3B3838" w:themeColor="background2" w:themeShade="40"/>
          <w:sz w:val="20"/>
          <w:szCs w:val="20"/>
        </w:rPr>
        <w:endnoteReference w:id="1"/>
      </w:r>
      <w:r>
        <w:rPr>
          <w:rFonts w:ascii="Arial" w:hAnsi="Arial" w:cs="Arial"/>
          <w:color w:val="3B3838" w:themeColor="background2" w:themeShade="40"/>
          <w:sz w:val="20"/>
          <w:szCs w:val="20"/>
        </w:rPr>
        <w:t xml:space="preserve">, outperforming both international developed equities (5.0%) and emerging markets (-0.2%) in July The US rally can be attributed to </w:t>
      </w:r>
      <w:r w:rsidRPr="007F51DD">
        <w:rPr>
          <w:rFonts w:ascii="Arial" w:hAnsi="Arial" w:cs="Arial"/>
          <w:color w:val="3B3838" w:themeColor="background2" w:themeShade="40"/>
          <w:sz w:val="20"/>
          <w:szCs w:val="20"/>
        </w:rPr>
        <w:t>corporate earning</w:t>
      </w:r>
      <w:r>
        <w:rPr>
          <w:rFonts w:ascii="Arial" w:hAnsi="Arial" w:cs="Arial"/>
          <w:color w:val="3B3838" w:themeColor="background2" w:themeShade="40"/>
          <w:sz w:val="20"/>
          <w:szCs w:val="20"/>
        </w:rPr>
        <w:t xml:space="preserve">s, as 73% of </w:t>
      </w:r>
      <w:r w:rsidRPr="006D4B07">
        <w:rPr>
          <w:rFonts w:ascii="Arial" w:hAnsi="Arial" w:cs="Arial"/>
          <w:color w:val="3B3838" w:themeColor="background2" w:themeShade="40"/>
          <w:sz w:val="20"/>
          <w:szCs w:val="20"/>
        </w:rPr>
        <w:t>S&amp;P 500 companies</w:t>
      </w:r>
      <w:r>
        <w:rPr>
          <w:rFonts w:ascii="Arial" w:hAnsi="Arial" w:cs="Arial"/>
          <w:color w:val="3B3838" w:themeColor="background2" w:themeShade="40"/>
          <w:sz w:val="20"/>
          <w:szCs w:val="20"/>
        </w:rPr>
        <w:t xml:space="preserve"> reported </w:t>
      </w:r>
      <w:r w:rsidRPr="006D4B07">
        <w:rPr>
          <w:rFonts w:ascii="Arial" w:hAnsi="Arial" w:cs="Arial"/>
          <w:color w:val="3B3838" w:themeColor="background2" w:themeShade="40"/>
          <w:sz w:val="20"/>
          <w:szCs w:val="20"/>
        </w:rPr>
        <w:t>actual</w:t>
      </w:r>
      <w:r>
        <w:rPr>
          <w:rFonts w:ascii="Arial" w:hAnsi="Arial" w:cs="Arial"/>
          <w:color w:val="3B3838" w:themeColor="background2" w:themeShade="40"/>
          <w:sz w:val="20"/>
          <w:szCs w:val="20"/>
        </w:rPr>
        <w:t xml:space="preserve"> earnings</w:t>
      </w:r>
      <w:r w:rsidRPr="006D4B07">
        <w:rPr>
          <w:rFonts w:ascii="Arial" w:hAnsi="Arial" w:cs="Arial"/>
          <w:color w:val="3B3838" w:themeColor="background2" w:themeShade="40"/>
          <w:sz w:val="20"/>
          <w:szCs w:val="20"/>
        </w:rPr>
        <w:t xml:space="preserve"> above estimates</w:t>
      </w:r>
      <w:r>
        <w:rPr>
          <w:rFonts w:ascii="Arial" w:hAnsi="Arial" w:cs="Arial"/>
          <w:color w:val="3B3838" w:themeColor="background2" w:themeShade="40"/>
          <w:sz w:val="20"/>
          <w:szCs w:val="20"/>
        </w:rPr>
        <w:t xml:space="preserve"> in July offsetting weak economic data.</w:t>
      </w:r>
      <w:r>
        <w:rPr>
          <w:rStyle w:val="EndnoteReference"/>
          <w:rFonts w:ascii="Arial" w:hAnsi="Arial" w:cs="Arial"/>
          <w:color w:val="3B3838" w:themeColor="background2" w:themeShade="40"/>
          <w:sz w:val="20"/>
          <w:szCs w:val="20"/>
        </w:rPr>
        <w:endnoteReference w:id="2"/>
      </w:r>
      <w:r>
        <w:rPr>
          <w:rFonts w:ascii="Arial" w:hAnsi="Arial" w:cs="Arial"/>
          <w:color w:val="3B3838" w:themeColor="background2" w:themeShade="40"/>
          <w:sz w:val="20"/>
          <w:szCs w:val="20"/>
        </w:rPr>
        <w:t xml:space="preserve">  Emerging markets remained relatively flat during the month as China (-9.4%) continued to struggle</w:t>
      </w:r>
      <w:r w:rsidRPr="00690736">
        <w:rPr>
          <w:rFonts w:ascii="Arial" w:hAnsi="Arial" w:cs="Arial"/>
          <w:color w:val="3B3838" w:themeColor="background2" w:themeShade="40"/>
          <w:sz w:val="20"/>
          <w:szCs w:val="20"/>
        </w:rPr>
        <w:t xml:space="preserve"> with </w:t>
      </w:r>
      <w:r>
        <w:rPr>
          <w:rFonts w:ascii="Arial" w:hAnsi="Arial" w:cs="Arial"/>
          <w:color w:val="3B3838" w:themeColor="background2" w:themeShade="40"/>
          <w:sz w:val="20"/>
          <w:szCs w:val="20"/>
        </w:rPr>
        <w:t>COVID-19</w:t>
      </w:r>
      <w:r w:rsidRPr="00690736">
        <w:rPr>
          <w:rFonts w:ascii="Arial" w:hAnsi="Arial" w:cs="Arial"/>
          <w:color w:val="3B3838" w:themeColor="background2" w:themeShade="40"/>
          <w:sz w:val="20"/>
          <w:szCs w:val="20"/>
        </w:rPr>
        <w:t xml:space="preserve"> outbreak</w:t>
      </w:r>
      <w:r>
        <w:rPr>
          <w:rFonts w:ascii="Arial" w:hAnsi="Arial" w:cs="Arial"/>
          <w:color w:val="3B3838" w:themeColor="background2" w:themeShade="40"/>
          <w:sz w:val="20"/>
          <w:szCs w:val="20"/>
        </w:rPr>
        <w:t xml:space="preserve">s. </w:t>
      </w:r>
    </w:p>
    <w:p w14:paraId="4970FFA5" w14:textId="77777777" w:rsidR="00F647BF" w:rsidRPr="00E55DE2" w:rsidRDefault="00F647BF" w:rsidP="00F647BF">
      <w:pPr>
        <w:spacing w:after="0"/>
        <w:ind w:left="1440" w:right="-360"/>
        <w:rPr>
          <w:rFonts w:ascii="Arial" w:hAnsi="Arial" w:cs="Arial"/>
          <w:color w:val="3B3838" w:themeColor="background2" w:themeShade="40"/>
          <w:sz w:val="20"/>
          <w:szCs w:val="20"/>
        </w:rPr>
      </w:pPr>
    </w:p>
    <w:p w14:paraId="0F0C2B9F" w14:textId="77777777" w:rsidR="00F647BF" w:rsidRDefault="00F647BF" w:rsidP="00F647BF">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Within the S&amp;P 500, all eleven sectors were positive for the month. Consumer discretionary and technology</w:t>
      </w:r>
      <w:r w:rsidRPr="00690464">
        <w:rPr>
          <w:rFonts w:ascii="Arial" w:hAnsi="Arial" w:cs="Arial"/>
          <w:color w:val="3B3838" w:themeColor="background2" w:themeShade="40"/>
          <w:sz w:val="20"/>
          <w:szCs w:val="20"/>
        </w:rPr>
        <w:t xml:space="preserve"> </w:t>
      </w:r>
      <w:r>
        <w:rPr>
          <w:rFonts w:ascii="Arial" w:hAnsi="Arial" w:cs="Arial"/>
          <w:color w:val="3B3838" w:themeColor="background2" w:themeShade="40"/>
          <w:sz w:val="20"/>
          <w:szCs w:val="20"/>
        </w:rPr>
        <w:t>led the gains,</w:t>
      </w:r>
      <w:r w:rsidRPr="00690464">
        <w:rPr>
          <w:rFonts w:ascii="Arial" w:hAnsi="Arial" w:cs="Arial"/>
          <w:color w:val="3B3838" w:themeColor="background2" w:themeShade="40"/>
          <w:sz w:val="20"/>
          <w:szCs w:val="20"/>
        </w:rPr>
        <w:t xml:space="preserve"> returning </w:t>
      </w:r>
      <w:r>
        <w:rPr>
          <w:rFonts w:ascii="Arial" w:hAnsi="Arial" w:cs="Arial"/>
          <w:color w:val="3B3838" w:themeColor="background2" w:themeShade="40"/>
          <w:sz w:val="20"/>
          <w:szCs w:val="20"/>
        </w:rPr>
        <w:t>18.9</w:t>
      </w:r>
      <w:r w:rsidRPr="00690464">
        <w:rPr>
          <w:rFonts w:ascii="Arial" w:hAnsi="Arial" w:cs="Arial"/>
          <w:color w:val="3B3838" w:themeColor="background2" w:themeShade="40"/>
          <w:sz w:val="20"/>
          <w:szCs w:val="20"/>
        </w:rPr>
        <w:t>%</w:t>
      </w:r>
      <w:r>
        <w:rPr>
          <w:rFonts w:ascii="Arial" w:hAnsi="Arial" w:cs="Arial"/>
          <w:color w:val="3B3838" w:themeColor="background2" w:themeShade="40"/>
          <w:sz w:val="20"/>
          <w:szCs w:val="20"/>
        </w:rPr>
        <w:t xml:space="preserve"> and 13.5% in July, while defensive sectors like Healthcare and Consumer Staples were the weakest, returning 3.3% each</w:t>
      </w:r>
      <w:r w:rsidRPr="00690464">
        <w:rPr>
          <w:rFonts w:ascii="Arial" w:hAnsi="Arial" w:cs="Arial"/>
          <w:color w:val="3B3838" w:themeColor="background2" w:themeShade="40"/>
          <w:sz w:val="20"/>
          <w:szCs w:val="20"/>
        </w:rPr>
        <w:t xml:space="preserve">. </w:t>
      </w:r>
      <w:r>
        <w:rPr>
          <w:rFonts w:ascii="Arial" w:hAnsi="Arial" w:cs="Arial"/>
          <w:color w:val="3B3838" w:themeColor="background2" w:themeShade="40"/>
          <w:sz w:val="20"/>
          <w:szCs w:val="20"/>
        </w:rPr>
        <w:t xml:space="preserve">Energy (9.7%) had another strong month and is now up 44.7% for the year. Looking across size and style, large growth led large value again in July. Companies like Apple and Tesla, which both rallied over the month, are considered large growth companies (and part of the technology and consumer discretionary sectors) which helps explain outperformance across size, style, and sector. </w:t>
      </w:r>
    </w:p>
    <w:p w14:paraId="60F21B99" w14:textId="77777777" w:rsidR="00F647BF" w:rsidRDefault="00F647BF" w:rsidP="00F647BF">
      <w:pPr>
        <w:spacing w:after="0"/>
        <w:ind w:left="1440" w:right="-360"/>
        <w:rPr>
          <w:rFonts w:ascii="Arial" w:hAnsi="Arial" w:cs="Arial"/>
          <w:color w:val="3B3838" w:themeColor="background2" w:themeShade="40"/>
          <w:sz w:val="20"/>
          <w:szCs w:val="20"/>
        </w:rPr>
      </w:pPr>
    </w:p>
    <w:p w14:paraId="43199632" w14:textId="77777777" w:rsidR="00F647BF" w:rsidRDefault="00F647BF" w:rsidP="00F647BF">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Bonds reversed course during the month and saw gains across all major markets. The Fed (Federal Reserve) increased rates by 0.75% for the second consecutive time as inflation remained stubbornly high. Despite the interest rate hike, the overall bond market rally can be attributed to fears of a Fed induced recession causing potentially smaller and fewer rate hikes going forward. US fixed income was up 2.4% during the month, followed by emerging markets (2.1%) and international developed (1.9%). Across US bond</w:t>
      </w:r>
      <w:r w:rsidRPr="00E55DE2">
        <w:rPr>
          <w:rFonts w:ascii="Arial" w:hAnsi="Arial" w:cs="Arial"/>
          <w:color w:val="3B3838" w:themeColor="background2" w:themeShade="40"/>
          <w:sz w:val="20"/>
          <w:szCs w:val="20"/>
        </w:rPr>
        <w:t xml:space="preserve"> sectors</w:t>
      </w:r>
      <w:r>
        <w:rPr>
          <w:rFonts w:ascii="Arial" w:hAnsi="Arial" w:cs="Arial"/>
          <w:color w:val="3B3838" w:themeColor="background2" w:themeShade="40"/>
          <w:sz w:val="20"/>
          <w:szCs w:val="20"/>
        </w:rPr>
        <w:t xml:space="preserve">, corporate high </w:t>
      </w:r>
      <w:r>
        <w:rPr>
          <w:rFonts w:ascii="Arial" w:hAnsi="Arial" w:cs="Arial"/>
          <w:color w:val="3B3838" w:themeColor="background2" w:themeShade="40"/>
          <w:sz w:val="20"/>
          <w:szCs w:val="20"/>
        </w:rPr>
        <w:lastRenderedPageBreak/>
        <w:t xml:space="preserve">yield (5.9%) was the top performer in July and had its best month </w:t>
      </w:r>
      <w:r w:rsidRPr="004B42F6">
        <w:rPr>
          <w:rFonts w:ascii="Arial" w:hAnsi="Arial" w:cs="Arial"/>
          <w:color w:val="3B3838" w:themeColor="background2" w:themeShade="40"/>
          <w:sz w:val="20"/>
          <w:szCs w:val="20"/>
        </w:rPr>
        <w:t>since 2009</w:t>
      </w:r>
      <w:r>
        <w:rPr>
          <w:rStyle w:val="EndnoteReference"/>
          <w:rFonts w:ascii="Arial" w:hAnsi="Arial" w:cs="Arial"/>
          <w:color w:val="3B3838" w:themeColor="background2" w:themeShade="40"/>
          <w:sz w:val="20"/>
          <w:szCs w:val="20"/>
        </w:rPr>
        <w:endnoteReference w:id="3"/>
      </w:r>
      <w:r>
        <w:rPr>
          <w:rFonts w:ascii="Arial" w:hAnsi="Arial" w:cs="Arial"/>
          <w:color w:val="3B3838" w:themeColor="background2" w:themeShade="40"/>
          <w:sz w:val="20"/>
          <w:szCs w:val="20"/>
        </w:rPr>
        <w:t>. TIPS (4.4%) and corporate investment grade bonds (3.2%) were also up in July. After 18 consecutive weeks of outflows, investment grade bonds saw its first week of positive inflows during the month</w:t>
      </w:r>
      <w:r>
        <w:rPr>
          <w:rStyle w:val="EndnoteReference"/>
          <w:rFonts w:ascii="Arial" w:hAnsi="Arial" w:cs="Arial"/>
          <w:color w:val="3B3838" w:themeColor="background2" w:themeShade="40"/>
          <w:sz w:val="20"/>
          <w:szCs w:val="20"/>
        </w:rPr>
        <w:endnoteReference w:id="4"/>
      </w:r>
      <w:r>
        <w:rPr>
          <w:rFonts w:ascii="Arial" w:hAnsi="Arial" w:cs="Arial"/>
          <w:color w:val="3B3838" w:themeColor="background2" w:themeShade="40"/>
          <w:sz w:val="20"/>
          <w:szCs w:val="20"/>
        </w:rPr>
        <w:t>, which helped boost returns.</w:t>
      </w:r>
    </w:p>
    <w:p w14:paraId="47A3DF4B" w14:textId="77777777" w:rsidR="00F647BF" w:rsidRDefault="00F647BF" w:rsidP="00F647BF">
      <w:pPr>
        <w:spacing w:after="0"/>
        <w:ind w:left="1440" w:right="-360"/>
        <w:rPr>
          <w:rFonts w:ascii="Arial" w:hAnsi="Arial" w:cs="Arial"/>
          <w:color w:val="3B3838" w:themeColor="background2" w:themeShade="40"/>
          <w:sz w:val="20"/>
          <w:szCs w:val="20"/>
        </w:rPr>
      </w:pPr>
    </w:p>
    <w:p w14:paraId="74BA25FF" w14:textId="77777777" w:rsidR="00F647BF" w:rsidRDefault="00F647BF" w:rsidP="00F647BF">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The broad c</w:t>
      </w:r>
      <w:r w:rsidRPr="00E55DE2">
        <w:rPr>
          <w:rFonts w:ascii="Arial" w:hAnsi="Arial" w:cs="Arial"/>
          <w:color w:val="3B3838" w:themeColor="background2" w:themeShade="40"/>
          <w:sz w:val="20"/>
          <w:szCs w:val="20"/>
        </w:rPr>
        <w:t>ommodit</w:t>
      </w:r>
      <w:r>
        <w:rPr>
          <w:rFonts w:ascii="Arial" w:hAnsi="Arial" w:cs="Arial"/>
          <w:color w:val="3B3838" w:themeColor="background2" w:themeShade="40"/>
          <w:sz w:val="20"/>
          <w:szCs w:val="20"/>
        </w:rPr>
        <w:t>y index</w:t>
      </w:r>
      <w:r w:rsidRPr="00E55DE2">
        <w:rPr>
          <w:rFonts w:ascii="Arial" w:hAnsi="Arial" w:cs="Arial"/>
          <w:color w:val="3B3838" w:themeColor="background2" w:themeShade="40"/>
          <w:sz w:val="20"/>
          <w:szCs w:val="20"/>
        </w:rPr>
        <w:t xml:space="preserve"> </w:t>
      </w:r>
      <w:r>
        <w:rPr>
          <w:rFonts w:ascii="Arial" w:hAnsi="Arial" w:cs="Arial"/>
          <w:color w:val="3B3838" w:themeColor="background2" w:themeShade="40"/>
          <w:sz w:val="20"/>
          <w:szCs w:val="20"/>
        </w:rPr>
        <w:t>was up 4.3% in July. Energy was once again the top contributor to the index up 12.4% during the month. Gold continued to struggle in July and fell by 2.3%.  US REITs were up 8.5% in July and has its best month since December 2020</w:t>
      </w:r>
      <w:r>
        <w:rPr>
          <w:rStyle w:val="EndnoteReference"/>
          <w:rFonts w:ascii="Arial" w:hAnsi="Arial" w:cs="Arial"/>
          <w:color w:val="3B3838" w:themeColor="background2" w:themeShade="40"/>
          <w:sz w:val="20"/>
          <w:szCs w:val="20"/>
        </w:rPr>
        <w:endnoteReference w:id="5"/>
      </w:r>
      <w:r>
        <w:rPr>
          <w:rFonts w:ascii="Arial" w:hAnsi="Arial" w:cs="Arial"/>
          <w:color w:val="3B3838" w:themeColor="background2" w:themeShade="40"/>
          <w:sz w:val="20"/>
          <w:szCs w:val="20"/>
        </w:rPr>
        <w:t xml:space="preserve">. All major sectors within real estate were up during the month, as quarterly earnings reports for REITs have so far been strong. The US dollar, which is considered </w:t>
      </w:r>
      <w:proofErr w:type="gramStart"/>
      <w:r>
        <w:rPr>
          <w:rFonts w:ascii="Arial" w:hAnsi="Arial" w:cs="Arial"/>
          <w:color w:val="3B3838" w:themeColor="background2" w:themeShade="40"/>
          <w:sz w:val="20"/>
          <w:szCs w:val="20"/>
        </w:rPr>
        <w:t>a safe haven</w:t>
      </w:r>
      <w:proofErr w:type="gramEnd"/>
      <w:r>
        <w:rPr>
          <w:rFonts w:ascii="Arial" w:hAnsi="Arial" w:cs="Arial"/>
          <w:color w:val="3B3838" w:themeColor="background2" w:themeShade="40"/>
          <w:sz w:val="20"/>
          <w:szCs w:val="20"/>
        </w:rPr>
        <w:t xml:space="preserve">, gained 1.2% amid recession fears and is now up 10.4% year to date.  </w:t>
      </w:r>
    </w:p>
    <w:p w14:paraId="24509B1A" w14:textId="77777777" w:rsidR="00F647BF" w:rsidRDefault="00F647BF" w:rsidP="00F647BF">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 xml:space="preserve">   </w:t>
      </w:r>
      <w:r w:rsidRPr="00E55DE2">
        <w:rPr>
          <w:rFonts w:ascii="Arial" w:hAnsi="Arial" w:cs="Arial"/>
          <w:color w:val="3B3838" w:themeColor="background2" w:themeShade="40"/>
          <w:sz w:val="20"/>
          <w:szCs w:val="20"/>
        </w:rPr>
        <w:t xml:space="preserve"> </w:t>
      </w:r>
    </w:p>
    <w:p w14:paraId="435B0AD6" w14:textId="77777777" w:rsidR="00F647BF" w:rsidRPr="006F399C" w:rsidRDefault="00F647BF" w:rsidP="00F647BF">
      <w:pPr>
        <w:spacing w:after="0"/>
        <w:ind w:left="1440" w:right="-360"/>
        <w:rPr>
          <w:rFonts w:ascii="Arial" w:hAnsi="Arial" w:cs="Arial"/>
          <w:color w:val="3B3838" w:themeColor="background2" w:themeShade="40"/>
          <w:sz w:val="20"/>
          <w:szCs w:val="20"/>
        </w:rPr>
      </w:pPr>
      <w:r>
        <w:rPr>
          <w:noProof/>
        </w:rPr>
        <w:drawing>
          <wp:anchor distT="0" distB="0" distL="114300" distR="114300" simplePos="0" relativeHeight="251664896" behindDoc="0" locked="0" layoutInCell="1" allowOverlap="1" wp14:anchorId="1668626F" wp14:editId="3D94EF80">
            <wp:simplePos x="0" y="0"/>
            <wp:positionH relativeFrom="margin">
              <wp:posOffset>864235</wp:posOffset>
            </wp:positionH>
            <wp:positionV relativeFrom="page">
              <wp:posOffset>3458845</wp:posOffset>
            </wp:positionV>
            <wp:extent cx="5271770" cy="2680335"/>
            <wp:effectExtent l="0" t="0" r="5080" b="5715"/>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Pr="000753AC">
        <w:rPr>
          <w:rFonts w:ascii="Arial" w:hAnsi="Arial" w:cs="Arial"/>
          <w:color w:val="3B3838" w:themeColor="background2" w:themeShade="40"/>
          <w:sz w:val="20"/>
          <w:szCs w:val="20"/>
        </w:rPr>
        <w:t>Relative to a globally balanced (60/40) equity/bond index, allocations to</w:t>
      </w:r>
      <w:r>
        <w:rPr>
          <w:rFonts w:ascii="Arial" w:hAnsi="Arial" w:cs="Arial"/>
          <w:color w:val="3B3838" w:themeColor="background2" w:themeShade="40"/>
          <w:sz w:val="20"/>
          <w:szCs w:val="20"/>
        </w:rPr>
        <w:t xml:space="preserve"> </w:t>
      </w:r>
      <w:r w:rsidRPr="000753AC">
        <w:rPr>
          <w:rFonts w:ascii="Arial" w:hAnsi="Arial" w:cs="Arial"/>
          <w:color w:val="3B3838" w:themeColor="background2" w:themeShade="40"/>
          <w:sz w:val="20"/>
          <w:szCs w:val="20"/>
        </w:rPr>
        <w:t xml:space="preserve">global </w:t>
      </w:r>
      <w:r>
        <w:rPr>
          <w:rFonts w:ascii="Arial" w:hAnsi="Arial" w:cs="Arial"/>
          <w:color w:val="3B3838" w:themeColor="background2" w:themeShade="40"/>
          <w:sz w:val="20"/>
          <w:szCs w:val="20"/>
        </w:rPr>
        <w:t xml:space="preserve">equities and </w:t>
      </w:r>
      <w:r w:rsidRPr="000753AC">
        <w:rPr>
          <w:rFonts w:ascii="Arial" w:hAnsi="Arial" w:cs="Arial"/>
          <w:color w:val="3B3838" w:themeColor="background2" w:themeShade="40"/>
          <w:sz w:val="20"/>
          <w:szCs w:val="20"/>
        </w:rPr>
        <w:t xml:space="preserve">US REITs </w:t>
      </w:r>
      <w:r>
        <w:rPr>
          <w:rFonts w:ascii="Arial" w:hAnsi="Arial" w:cs="Arial"/>
          <w:color w:val="3B3838" w:themeColor="background2" w:themeShade="40"/>
          <w:sz w:val="20"/>
          <w:szCs w:val="20"/>
        </w:rPr>
        <w:t xml:space="preserve">helped while </w:t>
      </w:r>
      <w:r w:rsidRPr="000753AC">
        <w:rPr>
          <w:rFonts w:ascii="Arial" w:hAnsi="Arial" w:cs="Arial"/>
          <w:color w:val="3B3838" w:themeColor="background2" w:themeShade="40"/>
          <w:sz w:val="20"/>
          <w:szCs w:val="20"/>
        </w:rPr>
        <w:t xml:space="preserve">global </w:t>
      </w:r>
      <w:r>
        <w:rPr>
          <w:rFonts w:ascii="Arial" w:hAnsi="Arial" w:cs="Arial"/>
          <w:color w:val="3B3838" w:themeColor="background2" w:themeShade="40"/>
          <w:sz w:val="20"/>
          <w:szCs w:val="20"/>
        </w:rPr>
        <w:t>bonds, commodities, and gold hurt.</w:t>
      </w:r>
    </w:p>
    <w:p w14:paraId="16BB9E25" w14:textId="77777777" w:rsidR="00F647BF" w:rsidRDefault="00F647BF" w:rsidP="00F647BF">
      <w:pPr>
        <w:autoSpaceDE w:val="0"/>
        <w:autoSpaceDN w:val="0"/>
        <w:spacing w:after="0"/>
        <w:ind w:right="-360"/>
        <w:rPr>
          <w:rFonts w:ascii="Arial" w:hAnsi="Arial" w:cs="Arial"/>
          <w:color w:val="7F7F7F" w:themeColor="text1" w:themeTint="80"/>
          <w:sz w:val="18"/>
          <w:szCs w:val="18"/>
        </w:rPr>
      </w:pPr>
    </w:p>
    <w:p w14:paraId="36AEA238" w14:textId="77777777" w:rsidR="00F647BF" w:rsidRPr="00706956" w:rsidRDefault="00F647BF" w:rsidP="00F647BF">
      <w:pPr>
        <w:autoSpaceDE w:val="0"/>
        <w:autoSpaceDN w:val="0"/>
        <w:spacing w:after="0"/>
        <w:ind w:left="1470" w:right="-360" w:firstLine="14"/>
        <w:rPr>
          <w:rFonts w:ascii="Arial" w:hAnsi="Arial" w:cs="Arial"/>
          <w:noProof/>
          <w:color w:val="3B3838" w:themeColor="background2" w:themeShade="40"/>
          <w:sz w:val="20"/>
          <w:szCs w:val="20"/>
        </w:rPr>
      </w:pPr>
      <w:r w:rsidRPr="005C2C8A">
        <w:rPr>
          <w:rFonts w:ascii="Arial" w:hAnsi="Arial" w:cs="Arial"/>
          <w:color w:val="7F7F7F" w:themeColor="text1" w:themeTint="80"/>
          <w:sz w:val="18"/>
          <w:szCs w:val="18"/>
        </w:rPr>
        <w:t>Source:  Zephyr Style Advisor</w:t>
      </w:r>
    </w:p>
    <w:p w14:paraId="649221B2" w14:textId="77777777" w:rsidR="00F647BF" w:rsidRDefault="00F647BF" w:rsidP="00F647BF">
      <w:pPr>
        <w:spacing w:after="0"/>
        <w:ind w:left="-720" w:right="-720"/>
        <w:rPr>
          <w:rFonts w:ascii="Arial" w:hAnsi="Arial" w:cs="Arial"/>
          <w:b/>
          <w:color w:val="0070C0"/>
          <w:sz w:val="20"/>
          <w:szCs w:val="20"/>
        </w:rPr>
      </w:pPr>
    </w:p>
    <w:p w14:paraId="5523A452" w14:textId="77777777" w:rsidR="00F647BF" w:rsidRDefault="00F647BF" w:rsidP="00F647BF">
      <w:pPr>
        <w:autoSpaceDE w:val="0"/>
        <w:autoSpaceDN w:val="0"/>
        <w:spacing w:after="0"/>
        <w:ind w:right="-360"/>
        <w:rPr>
          <w:rFonts w:ascii="Arial" w:hAnsi="Arial" w:cs="Arial"/>
          <w:color w:val="343433"/>
          <w:sz w:val="21"/>
        </w:rPr>
      </w:pPr>
    </w:p>
    <w:p w14:paraId="5363C4E4" w14:textId="77777777" w:rsidR="00F647BF" w:rsidRDefault="00F647BF" w:rsidP="00F647BF">
      <w:pPr>
        <w:autoSpaceDE w:val="0"/>
        <w:autoSpaceDN w:val="0"/>
        <w:spacing w:after="0"/>
        <w:ind w:right="-360" w:hanging="540"/>
        <w:rPr>
          <w:rFonts w:ascii="Arial" w:hAnsi="Arial" w:cs="Arial"/>
          <w:color w:val="343433"/>
          <w:sz w:val="21"/>
        </w:rPr>
      </w:pPr>
      <w:r>
        <w:rPr>
          <w:rFonts w:ascii="Arial" w:hAnsi="Arial" w:cs="Arial"/>
          <w:color w:val="343433"/>
          <w:sz w:val="21"/>
        </w:rPr>
        <w:t xml:space="preserve">INDEX </w:t>
      </w:r>
      <w:r w:rsidRPr="0040163B">
        <w:rPr>
          <w:rFonts w:ascii="Arial" w:hAnsi="Arial" w:cs="Arial"/>
          <w:color w:val="343433"/>
          <w:sz w:val="21"/>
        </w:rPr>
        <w:t>DEFINITIONS</w:t>
      </w:r>
    </w:p>
    <w:p w14:paraId="35853645" w14:textId="77777777" w:rsidR="00F647BF" w:rsidRDefault="00F647BF" w:rsidP="00F647BF">
      <w:pPr>
        <w:autoSpaceDE w:val="0"/>
        <w:autoSpaceDN w:val="0"/>
        <w:spacing w:after="0"/>
        <w:ind w:right="-360" w:hanging="540"/>
        <w:rPr>
          <w:rFonts w:ascii="Arial" w:hAnsi="Arial" w:cs="Arial"/>
          <w:color w:val="343433"/>
          <w:sz w:val="21"/>
        </w:rPr>
      </w:pPr>
    </w:p>
    <w:tbl>
      <w:tblPr>
        <w:tblW w:w="10656" w:type="dxa"/>
        <w:tblInd w:w="-630" w:type="dxa"/>
        <w:tblLayout w:type="fixed"/>
        <w:tblCellMar>
          <w:left w:w="101" w:type="dxa"/>
          <w:right w:w="101" w:type="dxa"/>
        </w:tblCellMar>
        <w:tblLook w:val="04A0" w:firstRow="1" w:lastRow="0" w:firstColumn="1" w:lastColumn="0" w:noHBand="0" w:noVBand="1"/>
      </w:tblPr>
      <w:tblGrid>
        <w:gridCol w:w="1654"/>
        <w:gridCol w:w="1929"/>
        <w:gridCol w:w="7073"/>
      </w:tblGrid>
      <w:tr w:rsidR="00F647BF" w:rsidRPr="00567CF8" w14:paraId="0AA97380" w14:textId="77777777" w:rsidTr="00D13D15">
        <w:trPr>
          <w:trHeight w:val="264"/>
        </w:trPr>
        <w:tc>
          <w:tcPr>
            <w:tcW w:w="1654" w:type="dxa"/>
            <w:tcBorders>
              <w:top w:val="nil"/>
              <w:left w:val="nil"/>
              <w:bottom w:val="nil"/>
              <w:right w:val="nil"/>
            </w:tcBorders>
            <w:shd w:val="clear" w:color="auto" w:fill="auto"/>
            <w:noWrap/>
            <w:vAlign w:val="bottom"/>
            <w:hideMark/>
          </w:tcPr>
          <w:p w14:paraId="527FCDEE" w14:textId="77777777" w:rsidR="00F647BF" w:rsidRPr="00567CF8" w:rsidRDefault="00F647BF" w:rsidP="00D13D15">
            <w:pPr>
              <w:spacing w:after="0" w:line="240" w:lineRule="auto"/>
              <w:rPr>
                <w:rFonts w:ascii="Arial" w:hAnsi="Arial" w:cs="Arial"/>
                <w:b/>
                <w:bCs/>
                <w:color w:val="000000"/>
                <w:sz w:val="18"/>
                <w:szCs w:val="18"/>
              </w:rPr>
            </w:pPr>
            <w:bookmarkStart w:id="0" w:name="_Hlk52777023"/>
            <w:r w:rsidRPr="00567CF8">
              <w:rPr>
                <w:rFonts w:ascii="Arial" w:hAnsi="Arial" w:cs="Arial"/>
                <w:b/>
                <w:bCs/>
                <w:color w:val="000000"/>
                <w:sz w:val="18"/>
                <w:szCs w:val="18"/>
              </w:rPr>
              <w:t>Asset Class</w:t>
            </w:r>
          </w:p>
        </w:tc>
        <w:tc>
          <w:tcPr>
            <w:tcW w:w="1929" w:type="dxa"/>
            <w:tcBorders>
              <w:top w:val="nil"/>
              <w:left w:val="nil"/>
              <w:bottom w:val="nil"/>
              <w:right w:val="nil"/>
            </w:tcBorders>
            <w:shd w:val="clear" w:color="auto" w:fill="auto"/>
            <w:noWrap/>
            <w:vAlign w:val="bottom"/>
            <w:hideMark/>
          </w:tcPr>
          <w:p w14:paraId="0C0C0DA3" w14:textId="77777777" w:rsidR="00F647BF" w:rsidRPr="00567CF8" w:rsidRDefault="00F647BF" w:rsidP="00D13D15">
            <w:pPr>
              <w:spacing w:after="0" w:line="240" w:lineRule="auto"/>
              <w:rPr>
                <w:rFonts w:ascii="Arial" w:hAnsi="Arial" w:cs="Arial"/>
                <w:b/>
                <w:bCs/>
                <w:color w:val="000000"/>
                <w:sz w:val="18"/>
                <w:szCs w:val="18"/>
              </w:rPr>
            </w:pPr>
            <w:r w:rsidRPr="00567CF8">
              <w:rPr>
                <w:rFonts w:ascii="Arial" w:hAnsi="Arial" w:cs="Arial"/>
                <w:b/>
                <w:bCs/>
                <w:color w:val="000000"/>
                <w:sz w:val="18"/>
                <w:szCs w:val="18"/>
              </w:rPr>
              <w:t>Index</w:t>
            </w:r>
          </w:p>
        </w:tc>
        <w:tc>
          <w:tcPr>
            <w:tcW w:w="7073" w:type="dxa"/>
            <w:tcBorders>
              <w:top w:val="nil"/>
              <w:left w:val="nil"/>
              <w:bottom w:val="nil"/>
              <w:right w:val="nil"/>
            </w:tcBorders>
            <w:shd w:val="clear" w:color="auto" w:fill="auto"/>
            <w:noWrap/>
            <w:vAlign w:val="bottom"/>
            <w:hideMark/>
          </w:tcPr>
          <w:p w14:paraId="4573E874" w14:textId="77777777" w:rsidR="00F647BF" w:rsidRPr="00567CF8" w:rsidRDefault="00F647BF" w:rsidP="00D13D15">
            <w:pPr>
              <w:spacing w:after="0" w:line="240" w:lineRule="auto"/>
              <w:rPr>
                <w:rFonts w:ascii="Arial" w:hAnsi="Arial" w:cs="Arial"/>
                <w:b/>
                <w:bCs/>
                <w:color w:val="000000"/>
                <w:sz w:val="18"/>
                <w:szCs w:val="18"/>
              </w:rPr>
            </w:pPr>
            <w:r w:rsidRPr="00567CF8">
              <w:rPr>
                <w:rFonts w:ascii="Arial" w:hAnsi="Arial" w:cs="Arial"/>
                <w:b/>
                <w:bCs/>
                <w:color w:val="000000"/>
                <w:sz w:val="18"/>
                <w:szCs w:val="18"/>
              </w:rPr>
              <w:t>Definition</w:t>
            </w:r>
          </w:p>
        </w:tc>
      </w:tr>
      <w:tr w:rsidR="00F647BF" w:rsidRPr="002637B9" w14:paraId="5B79F66F" w14:textId="77777777" w:rsidTr="00D13D15">
        <w:trPr>
          <w:trHeight w:val="636"/>
        </w:trPr>
        <w:tc>
          <w:tcPr>
            <w:tcW w:w="1654" w:type="dxa"/>
            <w:tcBorders>
              <w:top w:val="nil"/>
              <w:left w:val="nil"/>
              <w:bottom w:val="nil"/>
              <w:right w:val="nil"/>
            </w:tcBorders>
            <w:shd w:val="clear" w:color="auto" w:fill="auto"/>
            <w:hideMark/>
          </w:tcPr>
          <w:p w14:paraId="21C0A24F"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China</w:t>
            </w:r>
          </w:p>
        </w:tc>
        <w:tc>
          <w:tcPr>
            <w:tcW w:w="1929" w:type="dxa"/>
            <w:tcBorders>
              <w:top w:val="nil"/>
              <w:left w:val="nil"/>
              <w:bottom w:val="nil"/>
              <w:right w:val="nil"/>
            </w:tcBorders>
            <w:shd w:val="clear" w:color="auto" w:fill="auto"/>
            <w:hideMark/>
          </w:tcPr>
          <w:p w14:paraId="761F7C00"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MSCI China</w:t>
            </w:r>
          </w:p>
        </w:tc>
        <w:tc>
          <w:tcPr>
            <w:tcW w:w="7073" w:type="dxa"/>
            <w:tcBorders>
              <w:top w:val="nil"/>
              <w:left w:val="nil"/>
              <w:bottom w:val="nil"/>
              <w:right w:val="nil"/>
            </w:tcBorders>
            <w:shd w:val="clear" w:color="auto" w:fill="auto"/>
            <w:hideMark/>
          </w:tcPr>
          <w:p w14:paraId="30E4FAE5"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 xml:space="preserve">measures the performance of large and mid-cap shares in China </w:t>
            </w:r>
            <w:proofErr w:type="gramStart"/>
            <w:r w:rsidRPr="002637B9">
              <w:rPr>
                <w:rFonts w:ascii="Arial" w:hAnsi="Arial" w:cs="Arial"/>
                <w:color w:val="000000"/>
                <w:sz w:val="18"/>
                <w:szCs w:val="18"/>
              </w:rPr>
              <w:t>including:</w:t>
            </w:r>
            <w:proofErr w:type="gramEnd"/>
            <w:r w:rsidRPr="002637B9">
              <w:rPr>
                <w:rFonts w:ascii="Arial" w:hAnsi="Arial" w:cs="Arial"/>
                <w:color w:val="000000"/>
                <w:sz w:val="18"/>
                <w:szCs w:val="18"/>
              </w:rPr>
              <w:t xml:space="preserve"> China H shares, B shares, Red chips, P chips and foreign listings (e.g., ADRs).  Index covers about 85% of the China equity universe.</w:t>
            </w:r>
          </w:p>
        </w:tc>
      </w:tr>
      <w:tr w:rsidR="00F647BF" w:rsidRPr="002637B9" w14:paraId="0544D8B4" w14:textId="77777777" w:rsidTr="00D13D15">
        <w:trPr>
          <w:trHeight w:val="636"/>
        </w:trPr>
        <w:tc>
          <w:tcPr>
            <w:tcW w:w="1654" w:type="dxa"/>
            <w:tcBorders>
              <w:top w:val="nil"/>
              <w:left w:val="nil"/>
              <w:bottom w:val="nil"/>
              <w:right w:val="nil"/>
            </w:tcBorders>
            <w:shd w:val="clear" w:color="auto" w:fill="auto"/>
            <w:hideMark/>
          </w:tcPr>
          <w:p w14:paraId="70EFF8F5" w14:textId="77777777" w:rsidR="00F647BF" w:rsidRDefault="00F647BF" w:rsidP="00D13D15">
            <w:pPr>
              <w:spacing w:after="0" w:line="240" w:lineRule="auto"/>
              <w:rPr>
                <w:rFonts w:ascii="Arial" w:hAnsi="Arial" w:cs="Arial"/>
                <w:color w:val="000000"/>
                <w:sz w:val="18"/>
                <w:szCs w:val="18"/>
              </w:rPr>
            </w:pPr>
          </w:p>
          <w:p w14:paraId="412EB9C7"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Commodities</w:t>
            </w:r>
          </w:p>
        </w:tc>
        <w:tc>
          <w:tcPr>
            <w:tcW w:w="1929" w:type="dxa"/>
            <w:tcBorders>
              <w:top w:val="nil"/>
              <w:left w:val="nil"/>
              <w:bottom w:val="nil"/>
              <w:right w:val="nil"/>
            </w:tcBorders>
            <w:shd w:val="clear" w:color="auto" w:fill="auto"/>
            <w:hideMark/>
          </w:tcPr>
          <w:p w14:paraId="3899DAFD" w14:textId="77777777" w:rsidR="00F647BF" w:rsidRDefault="00F647BF" w:rsidP="00D13D15">
            <w:pPr>
              <w:spacing w:after="0" w:line="240" w:lineRule="auto"/>
              <w:rPr>
                <w:rFonts w:ascii="Arial" w:hAnsi="Arial" w:cs="Arial"/>
                <w:color w:val="000000"/>
                <w:sz w:val="18"/>
                <w:szCs w:val="18"/>
              </w:rPr>
            </w:pPr>
          </w:p>
          <w:p w14:paraId="0172F1A2"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 xml:space="preserve">Bloomberg Commodity </w:t>
            </w:r>
          </w:p>
        </w:tc>
        <w:tc>
          <w:tcPr>
            <w:tcW w:w="7073" w:type="dxa"/>
            <w:tcBorders>
              <w:top w:val="nil"/>
              <w:left w:val="nil"/>
              <w:bottom w:val="nil"/>
              <w:right w:val="nil"/>
            </w:tcBorders>
            <w:shd w:val="clear" w:color="auto" w:fill="auto"/>
            <w:hideMark/>
          </w:tcPr>
          <w:p w14:paraId="31AC7F89" w14:textId="77777777" w:rsidR="00F647BF" w:rsidRDefault="00F647BF" w:rsidP="00D13D15">
            <w:pPr>
              <w:spacing w:after="0" w:line="240" w:lineRule="auto"/>
              <w:rPr>
                <w:rFonts w:ascii="Arial" w:hAnsi="Arial" w:cs="Arial"/>
                <w:color w:val="000000"/>
                <w:sz w:val="18"/>
                <w:szCs w:val="18"/>
              </w:rPr>
            </w:pPr>
          </w:p>
          <w:p w14:paraId="41A580A4"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 xml:space="preserve">Measures the performance of a broadly diversified exposure to physical commodities via futures contracts.  </w:t>
            </w:r>
          </w:p>
        </w:tc>
      </w:tr>
      <w:tr w:rsidR="00F647BF" w:rsidRPr="002637B9" w14:paraId="5810676D" w14:textId="77777777" w:rsidTr="00D13D15">
        <w:trPr>
          <w:trHeight w:val="636"/>
        </w:trPr>
        <w:tc>
          <w:tcPr>
            <w:tcW w:w="1654" w:type="dxa"/>
            <w:tcBorders>
              <w:top w:val="nil"/>
              <w:left w:val="nil"/>
              <w:bottom w:val="nil"/>
              <w:right w:val="nil"/>
            </w:tcBorders>
            <w:shd w:val="clear" w:color="auto" w:fill="auto"/>
          </w:tcPr>
          <w:p w14:paraId="3D3A2757" w14:textId="77777777" w:rsidR="00F647BF" w:rsidRDefault="00F647BF" w:rsidP="00D13D15">
            <w:pPr>
              <w:spacing w:after="0" w:line="240" w:lineRule="auto"/>
              <w:rPr>
                <w:rFonts w:ascii="Arial" w:hAnsi="Arial" w:cs="Arial"/>
                <w:color w:val="000000"/>
                <w:sz w:val="18"/>
                <w:szCs w:val="18"/>
              </w:rPr>
            </w:pPr>
          </w:p>
          <w:p w14:paraId="7B04060D"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 xml:space="preserve">Emerging Markets </w:t>
            </w:r>
            <w:r>
              <w:rPr>
                <w:rFonts w:ascii="Arial" w:hAnsi="Arial" w:cs="Arial"/>
                <w:color w:val="000000"/>
                <w:sz w:val="18"/>
                <w:szCs w:val="18"/>
              </w:rPr>
              <w:t>Bonds</w:t>
            </w:r>
          </w:p>
        </w:tc>
        <w:tc>
          <w:tcPr>
            <w:tcW w:w="1929" w:type="dxa"/>
            <w:tcBorders>
              <w:top w:val="nil"/>
              <w:left w:val="nil"/>
              <w:bottom w:val="nil"/>
              <w:right w:val="nil"/>
            </w:tcBorders>
            <w:shd w:val="clear" w:color="auto" w:fill="auto"/>
          </w:tcPr>
          <w:p w14:paraId="64690B92" w14:textId="77777777" w:rsidR="00F647BF" w:rsidRDefault="00F647BF" w:rsidP="00D13D15">
            <w:pPr>
              <w:spacing w:after="0" w:line="240" w:lineRule="auto"/>
              <w:rPr>
                <w:rFonts w:ascii="Arial" w:hAnsi="Arial" w:cs="Arial"/>
                <w:color w:val="000000"/>
                <w:sz w:val="18"/>
                <w:szCs w:val="18"/>
              </w:rPr>
            </w:pPr>
          </w:p>
          <w:p w14:paraId="2CEDBAC7" w14:textId="77777777" w:rsidR="00F647BF"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Bloomberg Emerging Markets USD Aggregate</w:t>
            </w:r>
          </w:p>
        </w:tc>
        <w:tc>
          <w:tcPr>
            <w:tcW w:w="7073" w:type="dxa"/>
            <w:tcBorders>
              <w:top w:val="nil"/>
              <w:left w:val="nil"/>
              <w:bottom w:val="nil"/>
              <w:right w:val="nil"/>
            </w:tcBorders>
            <w:shd w:val="clear" w:color="auto" w:fill="auto"/>
          </w:tcPr>
          <w:p w14:paraId="37233CDC" w14:textId="77777777" w:rsidR="00F647BF" w:rsidRDefault="00F647BF" w:rsidP="00D13D15">
            <w:pPr>
              <w:spacing w:after="0" w:line="240" w:lineRule="auto"/>
              <w:rPr>
                <w:rFonts w:ascii="Arial" w:hAnsi="Arial" w:cs="Arial"/>
                <w:color w:val="000000"/>
                <w:sz w:val="18"/>
                <w:szCs w:val="18"/>
              </w:rPr>
            </w:pPr>
          </w:p>
          <w:p w14:paraId="5DE29238" w14:textId="77777777" w:rsidR="00F647BF"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 xml:space="preserve">measures the performance of hard-currency emerging markets debt including fixed and floating-rate USD-denominated debt issued from sovereign, quasi-sovereign, and corporate emerging markets debt.  </w:t>
            </w:r>
          </w:p>
        </w:tc>
      </w:tr>
      <w:tr w:rsidR="00F647BF" w:rsidRPr="002637B9" w14:paraId="7148453E" w14:textId="77777777" w:rsidTr="00D13D15">
        <w:trPr>
          <w:trHeight w:val="636"/>
        </w:trPr>
        <w:tc>
          <w:tcPr>
            <w:tcW w:w="1654" w:type="dxa"/>
            <w:tcBorders>
              <w:top w:val="nil"/>
              <w:left w:val="nil"/>
              <w:bottom w:val="nil"/>
              <w:right w:val="nil"/>
            </w:tcBorders>
            <w:shd w:val="clear" w:color="auto" w:fill="auto"/>
            <w:hideMark/>
          </w:tcPr>
          <w:p w14:paraId="085CAED2"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Emerging Markets (EM) Equity</w:t>
            </w:r>
          </w:p>
        </w:tc>
        <w:tc>
          <w:tcPr>
            <w:tcW w:w="1929" w:type="dxa"/>
            <w:tcBorders>
              <w:top w:val="nil"/>
              <w:left w:val="nil"/>
              <w:bottom w:val="nil"/>
              <w:right w:val="nil"/>
            </w:tcBorders>
            <w:shd w:val="clear" w:color="auto" w:fill="auto"/>
            <w:hideMark/>
          </w:tcPr>
          <w:p w14:paraId="66AB692E" w14:textId="77777777" w:rsidR="00F647BF" w:rsidRDefault="00F647BF" w:rsidP="00D13D15">
            <w:pPr>
              <w:spacing w:after="0" w:line="240" w:lineRule="auto"/>
              <w:rPr>
                <w:rFonts w:ascii="Arial" w:hAnsi="Arial" w:cs="Arial"/>
                <w:color w:val="000000"/>
                <w:sz w:val="18"/>
                <w:szCs w:val="18"/>
              </w:rPr>
            </w:pPr>
          </w:p>
          <w:p w14:paraId="58EF0112"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MSCI Emerging Markets</w:t>
            </w:r>
          </w:p>
        </w:tc>
        <w:tc>
          <w:tcPr>
            <w:tcW w:w="7073" w:type="dxa"/>
            <w:tcBorders>
              <w:top w:val="nil"/>
              <w:left w:val="nil"/>
              <w:bottom w:val="nil"/>
              <w:right w:val="nil"/>
            </w:tcBorders>
            <w:shd w:val="clear" w:color="auto" w:fill="auto"/>
            <w:hideMark/>
          </w:tcPr>
          <w:p w14:paraId="6408F6F0" w14:textId="77777777" w:rsidR="00F647BF" w:rsidRDefault="00F647BF" w:rsidP="00D13D15">
            <w:pPr>
              <w:spacing w:after="0" w:line="240" w:lineRule="auto"/>
              <w:rPr>
                <w:rFonts w:ascii="Arial" w:hAnsi="Arial" w:cs="Arial"/>
                <w:color w:val="000000"/>
                <w:sz w:val="18"/>
                <w:szCs w:val="18"/>
              </w:rPr>
            </w:pPr>
          </w:p>
          <w:p w14:paraId="46F64881"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 xml:space="preserve">measures the equity market performance of countries considered to represent emerging markets. </w:t>
            </w:r>
          </w:p>
        </w:tc>
      </w:tr>
      <w:tr w:rsidR="00F647BF" w:rsidRPr="002637B9" w14:paraId="01E40369" w14:textId="77777777" w:rsidTr="00D13D15">
        <w:trPr>
          <w:trHeight w:val="636"/>
        </w:trPr>
        <w:tc>
          <w:tcPr>
            <w:tcW w:w="1654" w:type="dxa"/>
            <w:tcBorders>
              <w:top w:val="nil"/>
              <w:left w:val="nil"/>
              <w:bottom w:val="nil"/>
              <w:right w:val="nil"/>
            </w:tcBorders>
            <w:shd w:val="clear" w:color="auto" w:fill="auto"/>
            <w:hideMark/>
          </w:tcPr>
          <w:p w14:paraId="7C954731"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lastRenderedPageBreak/>
              <w:t>Global 60/40 Index Blend</w:t>
            </w:r>
          </w:p>
        </w:tc>
        <w:tc>
          <w:tcPr>
            <w:tcW w:w="1929" w:type="dxa"/>
            <w:tcBorders>
              <w:top w:val="nil"/>
              <w:left w:val="nil"/>
              <w:bottom w:val="nil"/>
              <w:right w:val="nil"/>
            </w:tcBorders>
            <w:shd w:val="clear" w:color="auto" w:fill="auto"/>
            <w:hideMark/>
          </w:tcPr>
          <w:p w14:paraId="05D923C2" w14:textId="77777777" w:rsidR="00F647BF"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 xml:space="preserve">60% MSCI ACWI, 40% BBG Barclays </w:t>
            </w:r>
          </w:p>
          <w:p w14:paraId="763D6DD0" w14:textId="77777777" w:rsidR="00F647BF" w:rsidRDefault="00F647BF" w:rsidP="00D13D15">
            <w:pPr>
              <w:spacing w:after="0" w:line="240" w:lineRule="auto"/>
              <w:rPr>
                <w:rFonts w:ascii="Arial" w:hAnsi="Arial" w:cs="Arial"/>
                <w:color w:val="000000"/>
                <w:sz w:val="18"/>
                <w:szCs w:val="18"/>
              </w:rPr>
            </w:pPr>
          </w:p>
          <w:p w14:paraId="2DAAC870"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Global Aggregate</w:t>
            </w:r>
          </w:p>
        </w:tc>
        <w:tc>
          <w:tcPr>
            <w:tcW w:w="7073" w:type="dxa"/>
            <w:tcBorders>
              <w:top w:val="nil"/>
              <w:left w:val="nil"/>
              <w:bottom w:val="nil"/>
              <w:right w:val="nil"/>
            </w:tcBorders>
            <w:shd w:val="clear" w:color="auto" w:fill="auto"/>
            <w:hideMark/>
          </w:tcPr>
          <w:p w14:paraId="0BD83E8B"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measures the performance of a blend of global equities and global bond indexes used as a benchmark for balanced portfolios.</w:t>
            </w:r>
          </w:p>
        </w:tc>
      </w:tr>
      <w:tr w:rsidR="00F647BF" w:rsidRPr="002637B9" w14:paraId="5D9EBF40" w14:textId="77777777" w:rsidTr="00D13D15">
        <w:trPr>
          <w:trHeight w:val="636"/>
        </w:trPr>
        <w:tc>
          <w:tcPr>
            <w:tcW w:w="1654" w:type="dxa"/>
            <w:tcBorders>
              <w:top w:val="nil"/>
              <w:left w:val="nil"/>
              <w:bottom w:val="nil"/>
              <w:right w:val="nil"/>
            </w:tcBorders>
            <w:shd w:val="clear" w:color="auto" w:fill="auto"/>
            <w:hideMark/>
          </w:tcPr>
          <w:p w14:paraId="23638D5E"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Global Equity</w:t>
            </w:r>
          </w:p>
        </w:tc>
        <w:tc>
          <w:tcPr>
            <w:tcW w:w="1929" w:type="dxa"/>
            <w:tcBorders>
              <w:top w:val="nil"/>
              <w:left w:val="nil"/>
              <w:bottom w:val="nil"/>
              <w:right w:val="nil"/>
            </w:tcBorders>
            <w:shd w:val="clear" w:color="auto" w:fill="auto"/>
            <w:hideMark/>
          </w:tcPr>
          <w:p w14:paraId="3D3307CC"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 xml:space="preserve">MSCI ACWI </w:t>
            </w:r>
          </w:p>
        </w:tc>
        <w:tc>
          <w:tcPr>
            <w:tcW w:w="7073" w:type="dxa"/>
            <w:tcBorders>
              <w:top w:val="nil"/>
              <w:left w:val="nil"/>
              <w:bottom w:val="nil"/>
              <w:right w:val="nil"/>
            </w:tcBorders>
            <w:shd w:val="clear" w:color="auto" w:fill="auto"/>
            <w:hideMark/>
          </w:tcPr>
          <w:p w14:paraId="69BEF3E0"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 xml:space="preserve">measures large- and mid-cap equity performance of developed and emerging markets. Represents approximately 85% of the global equity investment universe. </w:t>
            </w:r>
          </w:p>
        </w:tc>
      </w:tr>
      <w:tr w:rsidR="00F647BF" w:rsidRPr="002637B9" w14:paraId="744A50F4" w14:textId="77777777" w:rsidTr="00D13D15">
        <w:trPr>
          <w:trHeight w:val="636"/>
        </w:trPr>
        <w:tc>
          <w:tcPr>
            <w:tcW w:w="1654" w:type="dxa"/>
            <w:tcBorders>
              <w:top w:val="nil"/>
              <w:left w:val="nil"/>
              <w:bottom w:val="nil"/>
              <w:right w:val="nil"/>
            </w:tcBorders>
            <w:shd w:val="clear" w:color="auto" w:fill="auto"/>
            <w:hideMark/>
          </w:tcPr>
          <w:p w14:paraId="2E1BE327"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 xml:space="preserve">Global </w:t>
            </w:r>
            <w:r>
              <w:rPr>
                <w:rFonts w:ascii="Arial" w:hAnsi="Arial" w:cs="Arial"/>
                <w:color w:val="000000"/>
                <w:sz w:val="18"/>
                <w:szCs w:val="18"/>
              </w:rPr>
              <w:t>Bonds</w:t>
            </w:r>
          </w:p>
        </w:tc>
        <w:tc>
          <w:tcPr>
            <w:tcW w:w="1929" w:type="dxa"/>
            <w:tcBorders>
              <w:top w:val="nil"/>
              <w:left w:val="nil"/>
              <w:bottom w:val="nil"/>
              <w:right w:val="nil"/>
            </w:tcBorders>
            <w:shd w:val="clear" w:color="auto" w:fill="auto"/>
            <w:hideMark/>
          </w:tcPr>
          <w:p w14:paraId="7EE60E07"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Bloomberg Global Aggregate</w:t>
            </w:r>
          </w:p>
        </w:tc>
        <w:tc>
          <w:tcPr>
            <w:tcW w:w="7073" w:type="dxa"/>
            <w:tcBorders>
              <w:top w:val="nil"/>
              <w:left w:val="nil"/>
              <w:bottom w:val="nil"/>
              <w:right w:val="nil"/>
            </w:tcBorders>
            <w:shd w:val="clear" w:color="auto" w:fill="auto"/>
            <w:hideMark/>
          </w:tcPr>
          <w:p w14:paraId="5AB531F4"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measures the performance of global, investment-grade debt from 24 local currency markets. This benchmark includes treasury, government-related, corporate and securitized fixed-rate bonds from both developed and emerging markets issuers.</w:t>
            </w:r>
          </w:p>
        </w:tc>
      </w:tr>
      <w:tr w:rsidR="00F647BF" w:rsidRPr="002637B9" w14:paraId="6B8A490D" w14:textId="77777777" w:rsidTr="00D13D15">
        <w:trPr>
          <w:trHeight w:val="636"/>
        </w:trPr>
        <w:tc>
          <w:tcPr>
            <w:tcW w:w="1654" w:type="dxa"/>
            <w:tcBorders>
              <w:top w:val="nil"/>
              <w:left w:val="nil"/>
              <w:bottom w:val="nil"/>
              <w:right w:val="nil"/>
            </w:tcBorders>
            <w:shd w:val="clear" w:color="auto" w:fill="auto"/>
            <w:hideMark/>
          </w:tcPr>
          <w:p w14:paraId="62108F62" w14:textId="77777777" w:rsidR="00F647BF" w:rsidRDefault="00F647BF" w:rsidP="00D13D15">
            <w:pPr>
              <w:spacing w:after="0" w:line="240" w:lineRule="auto"/>
              <w:rPr>
                <w:rFonts w:ascii="Arial" w:hAnsi="Arial" w:cs="Arial"/>
                <w:color w:val="000000"/>
                <w:sz w:val="18"/>
                <w:szCs w:val="18"/>
              </w:rPr>
            </w:pPr>
          </w:p>
          <w:p w14:paraId="30598E6D"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Gold</w:t>
            </w:r>
          </w:p>
        </w:tc>
        <w:tc>
          <w:tcPr>
            <w:tcW w:w="1929" w:type="dxa"/>
            <w:tcBorders>
              <w:top w:val="nil"/>
              <w:left w:val="nil"/>
              <w:bottom w:val="nil"/>
              <w:right w:val="nil"/>
            </w:tcBorders>
            <w:shd w:val="clear" w:color="auto" w:fill="auto"/>
            <w:hideMark/>
          </w:tcPr>
          <w:p w14:paraId="76B9ADAE" w14:textId="77777777" w:rsidR="00F647BF" w:rsidRDefault="00F647BF" w:rsidP="00D13D15">
            <w:pPr>
              <w:spacing w:after="0" w:line="240" w:lineRule="auto"/>
              <w:rPr>
                <w:rFonts w:ascii="Arial" w:hAnsi="Arial" w:cs="Arial"/>
                <w:color w:val="000000"/>
                <w:sz w:val="18"/>
                <w:szCs w:val="18"/>
              </w:rPr>
            </w:pPr>
          </w:p>
          <w:p w14:paraId="4C48F45B"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Bloomberg Sub Gold</w:t>
            </w:r>
          </w:p>
        </w:tc>
        <w:tc>
          <w:tcPr>
            <w:tcW w:w="7073" w:type="dxa"/>
            <w:tcBorders>
              <w:top w:val="nil"/>
              <w:left w:val="nil"/>
              <w:bottom w:val="nil"/>
              <w:right w:val="nil"/>
            </w:tcBorders>
            <w:shd w:val="clear" w:color="auto" w:fill="auto"/>
            <w:hideMark/>
          </w:tcPr>
          <w:p w14:paraId="25D3228C" w14:textId="77777777" w:rsidR="00F647BF" w:rsidRDefault="00F647BF" w:rsidP="00D13D15">
            <w:pPr>
              <w:spacing w:after="0" w:line="240" w:lineRule="auto"/>
              <w:rPr>
                <w:rFonts w:ascii="Arial" w:hAnsi="Arial" w:cs="Arial"/>
                <w:color w:val="000000"/>
                <w:sz w:val="18"/>
                <w:szCs w:val="18"/>
              </w:rPr>
            </w:pPr>
          </w:p>
          <w:p w14:paraId="2FE12662"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measures the performance of futures contract on Gold and is quoted in USD.</w:t>
            </w:r>
          </w:p>
        </w:tc>
      </w:tr>
      <w:tr w:rsidR="00F647BF" w:rsidRPr="002637B9" w14:paraId="37FF75E3" w14:textId="77777777" w:rsidTr="00D13D15">
        <w:trPr>
          <w:trHeight w:val="636"/>
        </w:trPr>
        <w:tc>
          <w:tcPr>
            <w:tcW w:w="1654" w:type="dxa"/>
            <w:tcBorders>
              <w:top w:val="nil"/>
              <w:left w:val="nil"/>
              <w:bottom w:val="nil"/>
              <w:right w:val="nil"/>
            </w:tcBorders>
            <w:shd w:val="clear" w:color="auto" w:fill="auto"/>
            <w:hideMark/>
          </w:tcPr>
          <w:p w14:paraId="3321748E"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 xml:space="preserve">International </w:t>
            </w:r>
            <w:r>
              <w:rPr>
                <w:rFonts w:ascii="Arial" w:hAnsi="Arial" w:cs="Arial"/>
                <w:color w:val="000000"/>
                <w:sz w:val="18"/>
                <w:szCs w:val="18"/>
              </w:rPr>
              <w:t>Bonds</w:t>
            </w:r>
          </w:p>
        </w:tc>
        <w:tc>
          <w:tcPr>
            <w:tcW w:w="1929" w:type="dxa"/>
            <w:tcBorders>
              <w:top w:val="nil"/>
              <w:left w:val="nil"/>
              <w:bottom w:val="nil"/>
              <w:right w:val="nil"/>
            </w:tcBorders>
            <w:shd w:val="clear" w:color="auto" w:fill="auto"/>
            <w:hideMark/>
          </w:tcPr>
          <w:p w14:paraId="258136BE"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Bloomberg Global Aggregate ex-USD</w:t>
            </w:r>
          </w:p>
        </w:tc>
        <w:tc>
          <w:tcPr>
            <w:tcW w:w="7073" w:type="dxa"/>
            <w:tcBorders>
              <w:top w:val="nil"/>
              <w:left w:val="nil"/>
              <w:bottom w:val="nil"/>
              <w:right w:val="nil"/>
            </w:tcBorders>
            <w:shd w:val="clear" w:color="auto" w:fill="auto"/>
            <w:hideMark/>
          </w:tcPr>
          <w:p w14:paraId="691DD19D"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measures the performance of investment-grade debt from 24 local currency markets. This multi-currency index includes treasury, government-related, corporate and securitized fixed-rate bonds from both developed and emerging markets issuers. It excludes bonds issued in USD.</w:t>
            </w:r>
          </w:p>
        </w:tc>
      </w:tr>
      <w:tr w:rsidR="00F647BF" w:rsidRPr="002637B9" w14:paraId="0F99419F" w14:textId="77777777" w:rsidTr="00D13D15">
        <w:trPr>
          <w:trHeight w:val="636"/>
        </w:trPr>
        <w:tc>
          <w:tcPr>
            <w:tcW w:w="1654" w:type="dxa"/>
            <w:tcBorders>
              <w:top w:val="nil"/>
              <w:left w:val="nil"/>
              <w:bottom w:val="nil"/>
              <w:right w:val="nil"/>
            </w:tcBorders>
            <w:shd w:val="clear" w:color="auto" w:fill="auto"/>
          </w:tcPr>
          <w:p w14:paraId="5E5A56FC"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International Developed Equity</w:t>
            </w:r>
          </w:p>
        </w:tc>
        <w:tc>
          <w:tcPr>
            <w:tcW w:w="1929" w:type="dxa"/>
            <w:tcBorders>
              <w:top w:val="nil"/>
              <w:left w:val="nil"/>
              <w:bottom w:val="nil"/>
              <w:right w:val="nil"/>
            </w:tcBorders>
            <w:shd w:val="clear" w:color="auto" w:fill="auto"/>
          </w:tcPr>
          <w:p w14:paraId="4AC7F35D"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MSCI EAFE</w:t>
            </w:r>
          </w:p>
        </w:tc>
        <w:tc>
          <w:tcPr>
            <w:tcW w:w="7073" w:type="dxa"/>
            <w:tcBorders>
              <w:top w:val="nil"/>
              <w:left w:val="nil"/>
              <w:bottom w:val="nil"/>
              <w:right w:val="nil"/>
            </w:tcBorders>
            <w:shd w:val="clear" w:color="auto" w:fill="auto"/>
          </w:tcPr>
          <w:p w14:paraId="73D00D40"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measures the equity performance of countries considered to represent developed markets, excluding the US and Canada.</w:t>
            </w:r>
          </w:p>
        </w:tc>
      </w:tr>
      <w:tr w:rsidR="00F647BF" w:rsidRPr="002637B9" w14:paraId="2C4C944E" w14:textId="77777777" w:rsidTr="00D13D15">
        <w:trPr>
          <w:trHeight w:val="636"/>
        </w:trPr>
        <w:tc>
          <w:tcPr>
            <w:tcW w:w="1654" w:type="dxa"/>
            <w:tcBorders>
              <w:top w:val="nil"/>
              <w:left w:val="nil"/>
              <w:bottom w:val="nil"/>
              <w:right w:val="nil"/>
            </w:tcBorders>
            <w:shd w:val="clear" w:color="auto" w:fill="auto"/>
            <w:hideMark/>
          </w:tcPr>
          <w:p w14:paraId="05771D7F" w14:textId="77777777" w:rsidR="00F647BF" w:rsidRDefault="00F647BF" w:rsidP="00D13D15">
            <w:pPr>
              <w:spacing w:after="0" w:line="240" w:lineRule="auto"/>
              <w:rPr>
                <w:rFonts w:ascii="Arial" w:hAnsi="Arial" w:cs="Arial"/>
                <w:color w:val="000000"/>
                <w:sz w:val="18"/>
                <w:szCs w:val="18"/>
              </w:rPr>
            </w:pPr>
          </w:p>
          <w:p w14:paraId="45B35579"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Sector - Consumer Discretionary</w:t>
            </w:r>
          </w:p>
        </w:tc>
        <w:tc>
          <w:tcPr>
            <w:tcW w:w="1929" w:type="dxa"/>
            <w:tcBorders>
              <w:top w:val="nil"/>
              <w:left w:val="nil"/>
              <w:bottom w:val="nil"/>
              <w:right w:val="nil"/>
            </w:tcBorders>
            <w:shd w:val="clear" w:color="auto" w:fill="auto"/>
            <w:hideMark/>
          </w:tcPr>
          <w:p w14:paraId="0BE2CF9D" w14:textId="77777777" w:rsidR="00F647BF" w:rsidRDefault="00F647BF" w:rsidP="00D13D15">
            <w:pPr>
              <w:spacing w:after="0" w:line="240" w:lineRule="auto"/>
              <w:rPr>
                <w:rFonts w:ascii="Arial" w:hAnsi="Arial" w:cs="Arial"/>
                <w:color w:val="000000"/>
                <w:sz w:val="18"/>
                <w:szCs w:val="18"/>
              </w:rPr>
            </w:pPr>
          </w:p>
          <w:p w14:paraId="1743668C"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S&amp;P 500 Sector Consumer Discretionary</w:t>
            </w:r>
          </w:p>
        </w:tc>
        <w:tc>
          <w:tcPr>
            <w:tcW w:w="7073" w:type="dxa"/>
            <w:tcBorders>
              <w:top w:val="nil"/>
              <w:left w:val="nil"/>
              <w:bottom w:val="nil"/>
              <w:right w:val="nil"/>
            </w:tcBorders>
            <w:shd w:val="clear" w:color="auto" w:fill="auto"/>
            <w:hideMark/>
          </w:tcPr>
          <w:p w14:paraId="0FC1B84B" w14:textId="77777777" w:rsidR="00F647BF" w:rsidRDefault="00F647BF" w:rsidP="00D13D15">
            <w:pPr>
              <w:spacing w:after="0" w:line="240" w:lineRule="auto"/>
              <w:rPr>
                <w:rFonts w:ascii="Arial" w:hAnsi="Arial" w:cs="Arial"/>
                <w:color w:val="000000"/>
                <w:sz w:val="18"/>
                <w:szCs w:val="18"/>
              </w:rPr>
            </w:pPr>
          </w:p>
          <w:p w14:paraId="15C7C7E7"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measures the performance of companies involved in industries such as: automobiles and components, consumer durables, apparel, hotels, restaurants, leisure, media, and retailing.</w:t>
            </w:r>
          </w:p>
        </w:tc>
      </w:tr>
      <w:tr w:rsidR="00F647BF" w:rsidRPr="002637B9" w14:paraId="555F38FF" w14:textId="77777777" w:rsidTr="00D13D15">
        <w:trPr>
          <w:trHeight w:val="636"/>
        </w:trPr>
        <w:tc>
          <w:tcPr>
            <w:tcW w:w="1654" w:type="dxa"/>
            <w:tcBorders>
              <w:top w:val="nil"/>
              <w:left w:val="nil"/>
              <w:bottom w:val="nil"/>
              <w:right w:val="nil"/>
            </w:tcBorders>
            <w:shd w:val="clear" w:color="auto" w:fill="auto"/>
            <w:hideMark/>
          </w:tcPr>
          <w:p w14:paraId="10E22E55" w14:textId="77777777" w:rsidR="00F647BF" w:rsidRDefault="00F647BF" w:rsidP="00D13D15">
            <w:pPr>
              <w:spacing w:after="0" w:line="240" w:lineRule="auto"/>
              <w:rPr>
                <w:rFonts w:ascii="Arial" w:hAnsi="Arial" w:cs="Arial"/>
                <w:color w:val="000000"/>
                <w:sz w:val="18"/>
                <w:szCs w:val="18"/>
              </w:rPr>
            </w:pPr>
          </w:p>
          <w:p w14:paraId="50183CFB"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Sector - Consumer Staples</w:t>
            </w:r>
          </w:p>
        </w:tc>
        <w:tc>
          <w:tcPr>
            <w:tcW w:w="1929" w:type="dxa"/>
            <w:tcBorders>
              <w:top w:val="nil"/>
              <w:left w:val="nil"/>
              <w:bottom w:val="nil"/>
              <w:right w:val="nil"/>
            </w:tcBorders>
            <w:shd w:val="clear" w:color="auto" w:fill="auto"/>
            <w:hideMark/>
          </w:tcPr>
          <w:p w14:paraId="4CE85BAC" w14:textId="77777777" w:rsidR="00F647BF" w:rsidRDefault="00F647BF" w:rsidP="00D13D15">
            <w:pPr>
              <w:spacing w:after="0" w:line="240" w:lineRule="auto"/>
              <w:rPr>
                <w:rFonts w:ascii="Arial" w:hAnsi="Arial" w:cs="Arial"/>
                <w:color w:val="000000"/>
                <w:sz w:val="18"/>
                <w:szCs w:val="18"/>
              </w:rPr>
            </w:pPr>
          </w:p>
          <w:p w14:paraId="0911C44F"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S&amp;P 500 Sector Consumer Staples</w:t>
            </w:r>
          </w:p>
        </w:tc>
        <w:tc>
          <w:tcPr>
            <w:tcW w:w="7073" w:type="dxa"/>
            <w:tcBorders>
              <w:top w:val="nil"/>
              <w:left w:val="nil"/>
              <w:bottom w:val="nil"/>
              <w:right w:val="nil"/>
            </w:tcBorders>
            <w:shd w:val="clear" w:color="auto" w:fill="auto"/>
            <w:hideMark/>
          </w:tcPr>
          <w:p w14:paraId="09A4B09E" w14:textId="77777777" w:rsidR="00F647BF" w:rsidRDefault="00F647BF" w:rsidP="00D13D15">
            <w:pPr>
              <w:spacing w:after="0" w:line="240" w:lineRule="auto"/>
              <w:rPr>
                <w:rFonts w:ascii="Arial" w:hAnsi="Arial" w:cs="Arial"/>
                <w:color w:val="000000"/>
                <w:sz w:val="18"/>
                <w:szCs w:val="18"/>
              </w:rPr>
            </w:pPr>
          </w:p>
          <w:p w14:paraId="0E184D6E"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 xml:space="preserve">measures the performance of companies involved in the development and production of consumer products </w:t>
            </w:r>
            <w:proofErr w:type="gramStart"/>
            <w:r w:rsidRPr="002637B9">
              <w:rPr>
                <w:rFonts w:ascii="Arial" w:hAnsi="Arial" w:cs="Arial"/>
                <w:color w:val="000000"/>
                <w:sz w:val="18"/>
                <w:szCs w:val="18"/>
              </w:rPr>
              <w:t>including:</w:t>
            </w:r>
            <w:proofErr w:type="gramEnd"/>
            <w:r w:rsidRPr="002637B9">
              <w:rPr>
                <w:rFonts w:ascii="Arial" w:hAnsi="Arial" w:cs="Arial"/>
                <w:color w:val="000000"/>
                <w:sz w:val="18"/>
                <w:szCs w:val="18"/>
              </w:rPr>
              <w:t xml:space="preserve"> food and drug retailing, beverages, food products, tobacco, household products and personal products.</w:t>
            </w:r>
          </w:p>
        </w:tc>
      </w:tr>
      <w:tr w:rsidR="00F647BF" w:rsidRPr="002637B9" w14:paraId="2CC1569A" w14:textId="77777777" w:rsidTr="00D13D15">
        <w:trPr>
          <w:trHeight w:val="636"/>
        </w:trPr>
        <w:tc>
          <w:tcPr>
            <w:tcW w:w="1654" w:type="dxa"/>
            <w:tcBorders>
              <w:top w:val="nil"/>
              <w:left w:val="nil"/>
              <w:bottom w:val="nil"/>
              <w:right w:val="nil"/>
            </w:tcBorders>
            <w:shd w:val="clear" w:color="auto" w:fill="auto"/>
            <w:hideMark/>
          </w:tcPr>
          <w:p w14:paraId="411A65C7" w14:textId="77777777" w:rsidR="00F647BF" w:rsidRDefault="00F647BF" w:rsidP="00D13D15">
            <w:pPr>
              <w:spacing w:after="0" w:line="240" w:lineRule="auto"/>
              <w:rPr>
                <w:rFonts w:ascii="Arial" w:hAnsi="Arial" w:cs="Arial"/>
                <w:color w:val="000000"/>
                <w:sz w:val="18"/>
                <w:szCs w:val="18"/>
              </w:rPr>
            </w:pPr>
          </w:p>
          <w:p w14:paraId="2CBF66A6"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Sector - Energy</w:t>
            </w:r>
          </w:p>
        </w:tc>
        <w:tc>
          <w:tcPr>
            <w:tcW w:w="1929" w:type="dxa"/>
            <w:tcBorders>
              <w:top w:val="nil"/>
              <w:left w:val="nil"/>
              <w:bottom w:val="nil"/>
              <w:right w:val="nil"/>
            </w:tcBorders>
            <w:shd w:val="clear" w:color="auto" w:fill="auto"/>
            <w:hideMark/>
          </w:tcPr>
          <w:p w14:paraId="45D1C299" w14:textId="77777777" w:rsidR="00F647BF" w:rsidRDefault="00F647BF" w:rsidP="00D13D15">
            <w:pPr>
              <w:spacing w:after="0" w:line="240" w:lineRule="auto"/>
              <w:rPr>
                <w:rFonts w:ascii="Arial" w:hAnsi="Arial" w:cs="Arial"/>
                <w:color w:val="000000"/>
                <w:sz w:val="18"/>
                <w:szCs w:val="18"/>
              </w:rPr>
            </w:pPr>
          </w:p>
          <w:p w14:paraId="1B234EB0"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S&amp;P 500 Sector Energy</w:t>
            </w:r>
          </w:p>
        </w:tc>
        <w:tc>
          <w:tcPr>
            <w:tcW w:w="7073" w:type="dxa"/>
            <w:tcBorders>
              <w:top w:val="nil"/>
              <w:left w:val="nil"/>
              <w:bottom w:val="nil"/>
              <w:right w:val="nil"/>
            </w:tcBorders>
            <w:shd w:val="clear" w:color="auto" w:fill="auto"/>
            <w:hideMark/>
          </w:tcPr>
          <w:p w14:paraId="348E6704" w14:textId="77777777" w:rsidR="00F647BF" w:rsidRDefault="00F647BF" w:rsidP="00D13D15">
            <w:pPr>
              <w:spacing w:after="0" w:line="240" w:lineRule="auto"/>
              <w:rPr>
                <w:rFonts w:ascii="Arial" w:hAnsi="Arial" w:cs="Arial"/>
                <w:color w:val="000000"/>
                <w:sz w:val="18"/>
                <w:szCs w:val="18"/>
              </w:rPr>
            </w:pPr>
          </w:p>
          <w:p w14:paraId="5612DD51"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measures the performance of companies involved in the development and production of crude oil, natural gas and provide drilling and other energy-related services.</w:t>
            </w:r>
          </w:p>
        </w:tc>
      </w:tr>
      <w:tr w:rsidR="00F647BF" w:rsidRPr="002637B9" w14:paraId="1BD32E39" w14:textId="77777777" w:rsidTr="00D13D15">
        <w:trPr>
          <w:trHeight w:val="636"/>
        </w:trPr>
        <w:tc>
          <w:tcPr>
            <w:tcW w:w="1654" w:type="dxa"/>
            <w:tcBorders>
              <w:top w:val="nil"/>
              <w:left w:val="nil"/>
              <w:bottom w:val="nil"/>
              <w:right w:val="nil"/>
            </w:tcBorders>
            <w:shd w:val="clear" w:color="auto" w:fill="auto"/>
            <w:hideMark/>
          </w:tcPr>
          <w:p w14:paraId="1024142F" w14:textId="77777777" w:rsidR="00F647BF" w:rsidRDefault="00F647BF" w:rsidP="00D13D15">
            <w:pPr>
              <w:spacing w:after="0" w:line="240" w:lineRule="auto"/>
              <w:rPr>
                <w:rFonts w:ascii="Arial" w:hAnsi="Arial" w:cs="Arial"/>
                <w:color w:val="000000"/>
                <w:sz w:val="18"/>
                <w:szCs w:val="18"/>
              </w:rPr>
            </w:pPr>
          </w:p>
          <w:p w14:paraId="5327186E"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Sector - Healthcare</w:t>
            </w:r>
          </w:p>
        </w:tc>
        <w:tc>
          <w:tcPr>
            <w:tcW w:w="1929" w:type="dxa"/>
            <w:tcBorders>
              <w:top w:val="nil"/>
              <w:left w:val="nil"/>
              <w:bottom w:val="nil"/>
              <w:right w:val="nil"/>
            </w:tcBorders>
            <w:shd w:val="clear" w:color="auto" w:fill="auto"/>
            <w:hideMark/>
          </w:tcPr>
          <w:p w14:paraId="1DE10722" w14:textId="77777777" w:rsidR="00F647BF" w:rsidRDefault="00F647BF" w:rsidP="00D13D15">
            <w:pPr>
              <w:spacing w:after="0" w:line="240" w:lineRule="auto"/>
              <w:rPr>
                <w:rFonts w:ascii="Arial" w:hAnsi="Arial" w:cs="Arial"/>
                <w:color w:val="000000"/>
                <w:sz w:val="18"/>
                <w:szCs w:val="18"/>
              </w:rPr>
            </w:pPr>
          </w:p>
          <w:p w14:paraId="5CDB6EA7"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S&amp;P 500 Sector Healthcare</w:t>
            </w:r>
          </w:p>
        </w:tc>
        <w:tc>
          <w:tcPr>
            <w:tcW w:w="7073" w:type="dxa"/>
            <w:tcBorders>
              <w:top w:val="nil"/>
              <w:left w:val="nil"/>
              <w:bottom w:val="nil"/>
              <w:right w:val="nil"/>
            </w:tcBorders>
            <w:shd w:val="clear" w:color="auto" w:fill="auto"/>
            <w:hideMark/>
          </w:tcPr>
          <w:p w14:paraId="6930EB8F" w14:textId="77777777" w:rsidR="00F647BF" w:rsidRDefault="00F647BF" w:rsidP="00D13D15">
            <w:pPr>
              <w:spacing w:after="0" w:line="240" w:lineRule="auto"/>
              <w:rPr>
                <w:rFonts w:ascii="Arial" w:hAnsi="Arial" w:cs="Arial"/>
                <w:color w:val="000000"/>
                <w:sz w:val="18"/>
                <w:szCs w:val="18"/>
              </w:rPr>
            </w:pPr>
          </w:p>
          <w:p w14:paraId="14C9C690"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 xml:space="preserve">measures the performance of companies involved in health care equipment and supplies, health care providers and services, biotechnology, and pharmaceutical industries. </w:t>
            </w:r>
          </w:p>
        </w:tc>
      </w:tr>
      <w:tr w:rsidR="00F647BF" w:rsidRPr="002637B9" w14:paraId="71ADB3BD" w14:textId="77777777" w:rsidTr="00D13D15">
        <w:trPr>
          <w:trHeight w:val="636"/>
        </w:trPr>
        <w:tc>
          <w:tcPr>
            <w:tcW w:w="1654" w:type="dxa"/>
            <w:tcBorders>
              <w:top w:val="nil"/>
              <w:left w:val="nil"/>
              <w:bottom w:val="nil"/>
              <w:right w:val="nil"/>
            </w:tcBorders>
            <w:shd w:val="clear" w:color="auto" w:fill="auto"/>
            <w:hideMark/>
          </w:tcPr>
          <w:p w14:paraId="0FA1051F" w14:textId="77777777" w:rsidR="00F647BF" w:rsidRDefault="00F647BF" w:rsidP="00D13D15">
            <w:pPr>
              <w:spacing w:after="0" w:line="240" w:lineRule="auto"/>
              <w:rPr>
                <w:rFonts w:ascii="Arial" w:hAnsi="Arial" w:cs="Arial"/>
                <w:color w:val="000000"/>
                <w:sz w:val="18"/>
                <w:szCs w:val="18"/>
              </w:rPr>
            </w:pPr>
          </w:p>
          <w:p w14:paraId="2F4E2385"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Sector - Technology</w:t>
            </w:r>
          </w:p>
        </w:tc>
        <w:tc>
          <w:tcPr>
            <w:tcW w:w="1929" w:type="dxa"/>
            <w:tcBorders>
              <w:top w:val="nil"/>
              <w:left w:val="nil"/>
              <w:bottom w:val="nil"/>
              <w:right w:val="nil"/>
            </w:tcBorders>
            <w:shd w:val="clear" w:color="auto" w:fill="auto"/>
            <w:hideMark/>
          </w:tcPr>
          <w:p w14:paraId="63B57410" w14:textId="77777777" w:rsidR="00F647BF" w:rsidRDefault="00F647BF" w:rsidP="00D13D15">
            <w:pPr>
              <w:spacing w:after="0" w:line="240" w:lineRule="auto"/>
              <w:rPr>
                <w:rFonts w:ascii="Arial" w:hAnsi="Arial" w:cs="Arial"/>
                <w:color w:val="000000"/>
                <w:sz w:val="18"/>
                <w:szCs w:val="18"/>
              </w:rPr>
            </w:pPr>
          </w:p>
          <w:p w14:paraId="43328658"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S&amp;P 500 Sector Technology</w:t>
            </w:r>
          </w:p>
        </w:tc>
        <w:tc>
          <w:tcPr>
            <w:tcW w:w="7073" w:type="dxa"/>
            <w:tcBorders>
              <w:top w:val="nil"/>
              <w:left w:val="nil"/>
              <w:bottom w:val="nil"/>
              <w:right w:val="nil"/>
            </w:tcBorders>
            <w:shd w:val="clear" w:color="auto" w:fill="auto"/>
            <w:hideMark/>
          </w:tcPr>
          <w:p w14:paraId="0458B377" w14:textId="77777777" w:rsidR="00F647BF" w:rsidRDefault="00F647BF" w:rsidP="00D13D15">
            <w:pPr>
              <w:spacing w:after="0" w:line="240" w:lineRule="auto"/>
              <w:rPr>
                <w:rFonts w:ascii="Arial" w:hAnsi="Arial" w:cs="Arial"/>
                <w:color w:val="000000"/>
                <w:sz w:val="18"/>
                <w:szCs w:val="18"/>
              </w:rPr>
            </w:pPr>
          </w:p>
          <w:p w14:paraId="59E9995F"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measures the performance of companies involved in technology hardware, storage and peripherals, software, communications equipment, semiconductors and semiconductor equipment, internet software and services, IT services, electronic equipment, instruments and components.</w:t>
            </w:r>
          </w:p>
        </w:tc>
      </w:tr>
      <w:tr w:rsidR="00F647BF" w:rsidRPr="002637B9" w14:paraId="43B82EFD" w14:textId="77777777" w:rsidTr="00D13D15">
        <w:trPr>
          <w:trHeight w:val="636"/>
        </w:trPr>
        <w:tc>
          <w:tcPr>
            <w:tcW w:w="1654" w:type="dxa"/>
            <w:tcBorders>
              <w:top w:val="nil"/>
              <w:left w:val="nil"/>
              <w:bottom w:val="nil"/>
              <w:right w:val="nil"/>
            </w:tcBorders>
            <w:shd w:val="clear" w:color="auto" w:fill="auto"/>
            <w:hideMark/>
          </w:tcPr>
          <w:p w14:paraId="2FD55EE2" w14:textId="77777777" w:rsidR="00F647BF" w:rsidRDefault="00F647BF" w:rsidP="00D13D15">
            <w:pPr>
              <w:spacing w:after="0" w:line="240" w:lineRule="auto"/>
              <w:rPr>
                <w:rFonts w:ascii="Arial" w:hAnsi="Arial" w:cs="Arial"/>
                <w:color w:val="000000"/>
                <w:sz w:val="18"/>
                <w:szCs w:val="18"/>
              </w:rPr>
            </w:pPr>
          </w:p>
          <w:p w14:paraId="27A5DC72"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US Dollar</w:t>
            </w:r>
          </w:p>
        </w:tc>
        <w:tc>
          <w:tcPr>
            <w:tcW w:w="1929" w:type="dxa"/>
            <w:tcBorders>
              <w:top w:val="nil"/>
              <w:left w:val="nil"/>
              <w:bottom w:val="nil"/>
              <w:right w:val="nil"/>
            </w:tcBorders>
            <w:shd w:val="clear" w:color="auto" w:fill="auto"/>
            <w:hideMark/>
          </w:tcPr>
          <w:p w14:paraId="2106BAD0" w14:textId="77777777" w:rsidR="00F647BF" w:rsidRDefault="00F647BF" w:rsidP="00D13D15">
            <w:pPr>
              <w:spacing w:after="0" w:line="240" w:lineRule="auto"/>
              <w:rPr>
                <w:rFonts w:ascii="Arial" w:hAnsi="Arial" w:cs="Arial"/>
                <w:color w:val="000000"/>
                <w:sz w:val="18"/>
                <w:szCs w:val="18"/>
              </w:rPr>
            </w:pPr>
          </w:p>
          <w:p w14:paraId="1A397649"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US Dollar Index</w:t>
            </w:r>
          </w:p>
        </w:tc>
        <w:tc>
          <w:tcPr>
            <w:tcW w:w="7073" w:type="dxa"/>
            <w:tcBorders>
              <w:top w:val="nil"/>
              <w:left w:val="nil"/>
              <w:bottom w:val="nil"/>
              <w:right w:val="nil"/>
            </w:tcBorders>
            <w:shd w:val="clear" w:color="auto" w:fill="auto"/>
            <w:hideMark/>
          </w:tcPr>
          <w:p w14:paraId="297B9541" w14:textId="77777777" w:rsidR="00F647BF" w:rsidRDefault="00F647BF" w:rsidP="00D13D15">
            <w:pPr>
              <w:spacing w:after="0" w:line="240" w:lineRule="auto"/>
              <w:rPr>
                <w:rFonts w:ascii="Arial" w:hAnsi="Arial" w:cs="Arial"/>
                <w:color w:val="000000"/>
                <w:sz w:val="18"/>
                <w:szCs w:val="18"/>
              </w:rPr>
            </w:pPr>
          </w:p>
          <w:p w14:paraId="0519A413"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 xml:space="preserve">measures the value of the US dollar relative to the value of a 'basket' of currencies of </w:t>
            </w:r>
            <w:proofErr w:type="gramStart"/>
            <w:r w:rsidRPr="002637B9">
              <w:rPr>
                <w:rFonts w:ascii="Arial" w:hAnsi="Arial" w:cs="Arial"/>
                <w:color w:val="000000"/>
                <w:sz w:val="18"/>
                <w:szCs w:val="18"/>
              </w:rPr>
              <w:t>the majority of</w:t>
            </w:r>
            <w:proofErr w:type="gramEnd"/>
            <w:r w:rsidRPr="002637B9">
              <w:rPr>
                <w:rFonts w:ascii="Arial" w:hAnsi="Arial" w:cs="Arial"/>
                <w:color w:val="000000"/>
                <w:sz w:val="18"/>
                <w:szCs w:val="18"/>
              </w:rPr>
              <w:t xml:space="preserve"> the US's most significant trading partners. Factors the exchange rates of six major world currencies:  euro, Japanese yen, Canadian dollar, British pound, Swedish krona and Swiss franc. </w:t>
            </w:r>
          </w:p>
        </w:tc>
      </w:tr>
      <w:tr w:rsidR="00F647BF" w:rsidRPr="002637B9" w14:paraId="23C5CC93" w14:textId="77777777" w:rsidTr="00D13D15">
        <w:trPr>
          <w:trHeight w:val="636"/>
        </w:trPr>
        <w:tc>
          <w:tcPr>
            <w:tcW w:w="1654" w:type="dxa"/>
            <w:tcBorders>
              <w:top w:val="nil"/>
              <w:left w:val="nil"/>
              <w:bottom w:val="nil"/>
              <w:right w:val="nil"/>
            </w:tcBorders>
            <w:shd w:val="clear" w:color="auto" w:fill="auto"/>
          </w:tcPr>
          <w:p w14:paraId="0BEF81B2" w14:textId="77777777" w:rsidR="00F647BF" w:rsidRDefault="00F647BF" w:rsidP="00D13D15">
            <w:pPr>
              <w:spacing w:after="0" w:line="240" w:lineRule="auto"/>
              <w:rPr>
                <w:rFonts w:ascii="Arial" w:hAnsi="Arial" w:cs="Arial"/>
                <w:color w:val="000000"/>
                <w:sz w:val="18"/>
                <w:szCs w:val="18"/>
              </w:rPr>
            </w:pPr>
          </w:p>
          <w:p w14:paraId="7E4F3EB6" w14:textId="77777777" w:rsidR="00F647BF"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 xml:space="preserve">US </w:t>
            </w:r>
            <w:r>
              <w:rPr>
                <w:rFonts w:ascii="Arial" w:hAnsi="Arial" w:cs="Arial"/>
                <w:color w:val="000000"/>
                <w:sz w:val="18"/>
                <w:szCs w:val="18"/>
              </w:rPr>
              <w:t>Bonds</w:t>
            </w:r>
          </w:p>
        </w:tc>
        <w:tc>
          <w:tcPr>
            <w:tcW w:w="1929" w:type="dxa"/>
            <w:tcBorders>
              <w:top w:val="nil"/>
              <w:left w:val="nil"/>
              <w:bottom w:val="nil"/>
              <w:right w:val="nil"/>
            </w:tcBorders>
            <w:shd w:val="clear" w:color="auto" w:fill="auto"/>
          </w:tcPr>
          <w:p w14:paraId="4125BD09" w14:textId="77777777" w:rsidR="00F647BF" w:rsidRDefault="00F647BF" w:rsidP="00D13D15">
            <w:pPr>
              <w:spacing w:after="0" w:line="240" w:lineRule="auto"/>
              <w:rPr>
                <w:rFonts w:ascii="Arial" w:hAnsi="Arial" w:cs="Arial"/>
                <w:color w:val="000000"/>
                <w:sz w:val="18"/>
                <w:szCs w:val="18"/>
              </w:rPr>
            </w:pPr>
          </w:p>
          <w:p w14:paraId="5FD1D1EB" w14:textId="77777777" w:rsidR="00F647BF"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Bloomberg US Aggregate</w:t>
            </w:r>
          </w:p>
        </w:tc>
        <w:tc>
          <w:tcPr>
            <w:tcW w:w="7073" w:type="dxa"/>
            <w:tcBorders>
              <w:top w:val="nil"/>
              <w:left w:val="nil"/>
              <w:bottom w:val="nil"/>
              <w:right w:val="nil"/>
            </w:tcBorders>
            <w:shd w:val="clear" w:color="auto" w:fill="auto"/>
          </w:tcPr>
          <w:p w14:paraId="0F6F016F" w14:textId="77777777" w:rsidR="00F647BF" w:rsidRDefault="00F647BF" w:rsidP="00D13D15">
            <w:pPr>
              <w:spacing w:after="0" w:line="240" w:lineRule="auto"/>
              <w:rPr>
                <w:rFonts w:ascii="Arial" w:hAnsi="Arial" w:cs="Arial"/>
                <w:color w:val="000000"/>
                <w:sz w:val="18"/>
                <w:szCs w:val="18"/>
              </w:rPr>
            </w:pPr>
          </w:p>
          <w:p w14:paraId="3096C9BB" w14:textId="77777777" w:rsidR="00F647BF"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measures the performance of USD-denominated, investment-grade, fixed-rate taxable bond market of SEC-registered securities. The index includes Treasury bonds, Government-related Corporate, MBS (agency fixed-rate and hybrid ARM pass-throughs), ABS and CMBS sectors.</w:t>
            </w:r>
          </w:p>
        </w:tc>
      </w:tr>
      <w:tr w:rsidR="00F647BF" w:rsidRPr="002637B9" w14:paraId="4F8BDC6D" w14:textId="77777777" w:rsidTr="00D13D15">
        <w:trPr>
          <w:trHeight w:val="636"/>
        </w:trPr>
        <w:tc>
          <w:tcPr>
            <w:tcW w:w="1654" w:type="dxa"/>
            <w:tcBorders>
              <w:top w:val="nil"/>
              <w:left w:val="nil"/>
              <w:bottom w:val="nil"/>
              <w:right w:val="nil"/>
            </w:tcBorders>
            <w:shd w:val="clear" w:color="auto" w:fill="auto"/>
            <w:hideMark/>
          </w:tcPr>
          <w:p w14:paraId="7645DB5F" w14:textId="77777777" w:rsidR="00F647BF" w:rsidRDefault="00F647BF" w:rsidP="00D13D15">
            <w:pPr>
              <w:spacing w:after="0" w:line="240" w:lineRule="auto"/>
              <w:rPr>
                <w:rFonts w:ascii="Arial" w:hAnsi="Arial" w:cs="Arial"/>
                <w:color w:val="000000"/>
                <w:sz w:val="18"/>
                <w:szCs w:val="18"/>
              </w:rPr>
            </w:pPr>
          </w:p>
          <w:p w14:paraId="70FDBFA6"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US Equity</w:t>
            </w:r>
          </w:p>
        </w:tc>
        <w:tc>
          <w:tcPr>
            <w:tcW w:w="1929" w:type="dxa"/>
            <w:tcBorders>
              <w:top w:val="nil"/>
              <w:left w:val="nil"/>
              <w:bottom w:val="nil"/>
              <w:right w:val="nil"/>
            </w:tcBorders>
            <w:shd w:val="clear" w:color="auto" w:fill="auto"/>
            <w:hideMark/>
          </w:tcPr>
          <w:p w14:paraId="51AE321F" w14:textId="77777777" w:rsidR="00F647BF" w:rsidRDefault="00F647BF" w:rsidP="00D13D15">
            <w:pPr>
              <w:spacing w:after="0" w:line="240" w:lineRule="auto"/>
              <w:rPr>
                <w:rFonts w:ascii="Arial" w:hAnsi="Arial" w:cs="Arial"/>
                <w:color w:val="000000"/>
                <w:sz w:val="18"/>
                <w:szCs w:val="18"/>
              </w:rPr>
            </w:pPr>
          </w:p>
          <w:p w14:paraId="22C5C1FB"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S&amp;P 500</w:t>
            </w:r>
          </w:p>
        </w:tc>
        <w:tc>
          <w:tcPr>
            <w:tcW w:w="7073" w:type="dxa"/>
            <w:tcBorders>
              <w:top w:val="nil"/>
              <w:left w:val="nil"/>
              <w:bottom w:val="nil"/>
              <w:right w:val="nil"/>
            </w:tcBorders>
            <w:shd w:val="clear" w:color="auto" w:fill="auto"/>
            <w:hideMark/>
          </w:tcPr>
          <w:p w14:paraId="17AF712F" w14:textId="77777777" w:rsidR="00F647BF" w:rsidRDefault="00F647BF" w:rsidP="00D13D15">
            <w:pPr>
              <w:spacing w:after="0" w:line="240" w:lineRule="auto"/>
              <w:rPr>
                <w:rFonts w:ascii="Arial" w:hAnsi="Arial" w:cs="Arial"/>
                <w:color w:val="000000"/>
                <w:sz w:val="18"/>
                <w:szCs w:val="18"/>
              </w:rPr>
            </w:pPr>
          </w:p>
          <w:p w14:paraId="4095D7FD"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 xml:space="preserve">measures the performance of 500 leading companies in the US Constituents generally have a market-cap above $5 billion and represent approximately 80% of the investable market. </w:t>
            </w:r>
          </w:p>
        </w:tc>
      </w:tr>
      <w:tr w:rsidR="00F647BF" w:rsidRPr="002637B9" w14:paraId="1340C28B" w14:textId="77777777" w:rsidTr="00D13D15">
        <w:trPr>
          <w:trHeight w:val="636"/>
        </w:trPr>
        <w:tc>
          <w:tcPr>
            <w:tcW w:w="1654" w:type="dxa"/>
            <w:tcBorders>
              <w:top w:val="nil"/>
              <w:left w:val="nil"/>
              <w:bottom w:val="nil"/>
              <w:right w:val="nil"/>
            </w:tcBorders>
            <w:shd w:val="clear" w:color="auto" w:fill="auto"/>
            <w:hideMark/>
          </w:tcPr>
          <w:p w14:paraId="4394216E" w14:textId="77777777" w:rsidR="00F647BF" w:rsidRDefault="00F647BF" w:rsidP="00D13D15">
            <w:pPr>
              <w:spacing w:after="0" w:line="240" w:lineRule="auto"/>
              <w:rPr>
                <w:rFonts w:ascii="Arial" w:hAnsi="Arial" w:cs="Arial"/>
                <w:color w:val="000000"/>
                <w:sz w:val="18"/>
                <w:szCs w:val="18"/>
              </w:rPr>
            </w:pPr>
          </w:p>
          <w:p w14:paraId="24D35F04"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US Growth</w:t>
            </w:r>
          </w:p>
        </w:tc>
        <w:tc>
          <w:tcPr>
            <w:tcW w:w="1929" w:type="dxa"/>
            <w:tcBorders>
              <w:top w:val="nil"/>
              <w:left w:val="nil"/>
              <w:bottom w:val="nil"/>
              <w:right w:val="nil"/>
            </w:tcBorders>
            <w:shd w:val="clear" w:color="auto" w:fill="auto"/>
            <w:hideMark/>
          </w:tcPr>
          <w:p w14:paraId="5BF0DF10" w14:textId="77777777" w:rsidR="00F647BF" w:rsidRDefault="00F647BF" w:rsidP="00D13D15">
            <w:pPr>
              <w:spacing w:after="0" w:line="240" w:lineRule="auto"/>
              <w:rPr>
                <w:rFonts w:ascii="Arial" w:hAnsi="Arial" w:cs="Arial"/>
                <w:color w:val="000000"/>
                <w:sz w:val="18"/>
                <w:szCs w:val="18"/>
              </w:rPr>
            </w:pPr>
          </w:p>
          <w:p w14:paraId="42AA5502"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S&amp;P 500 Growth</w:t>
            </w:r>
          </w:p>
        </w:tc>
        <w:tc>
          <w:tcPr>
            <w:tcW w:w="7073" w:type="dxa"/>
            <w:tcBorders>
              <w:top w:val="nil"/>
              <w:left w:val="nil"/>
              <w:bottom w:val="nil"/>
              <w:right w:val="nil"/>
            </w:tcBorders>
            <w:shd w:val="clear" w:color="auto" w:fill="auto"/>
            <w:hideMark/>
          </w:tcPr>
          <w:p w14:paraId="1B8C12A8" w14:textId="77777777" w:rsidR="00F647BF" w:rsidRDefault="00F647BF" w:rsidP="00D13D15">
            <w:pPr>
              <w:spacing w:after="0" w:line="240" w:lineRule="auto"/>
              <w:rPr>
                <w:rFonts w:ascii="Arial" w:hAnsi="Arial" w:cs="Arial"/>
                <w:color w:val="000000"/>
                <w:sz w:val="18"/>
                <w:szCs w:val="18"/>
              </w:rPr>
            </w:pPr>
          </w:p>
          <w:p w14:paraId="67B48435"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 xml:space="preserve">measures the performance of large-cap growth stocks in the US, which are identified by sales growth, price-to-earnings and momentum. Constituents generally have a market-cap above $5 billion. </w:t>
            </w:r>
          </w:p>
        </w:tc>
      </w:tr>
      <w:tr w:rsidR="00F647BF" w:rsidRPr="002637B9" w14:paraId="4A0954D6" w14:textId="77777777" w:rsidTr="00D13D15">
        <w:trPr>
          <w:trHeight w:val="636"/>
        </w:trPr>
        <w:tc>
          <w:tcPr>
            <w:tcW w:w="1654" w:type="dxa"/>
            <w:tcBorders>
              <w:top w:val="nil"/>
              <w:left w:val="nil"/>
              <w:bottom w:val="nil"/>
              <w:right w:val="nil"/>
            </w:tcBorders>
            <w:shd w:val="clear" w:color="auto" w:fill="auto"/>
            <w:hideMark/>
          </w:tcPr>
          <w:p w14:paraId="36740771" w14:textId="77777777" w:rsidR="00F647BF" w:rsidRDefault="00F647BF" w:rsidP="00D13D15">
            <w:pPr>
              <w:spacing w:after="0" w:line="240" w:lineRule="auto"/>
              <w:rPr>
                <w:rFonts w:ascii="Arial" w:hAnsi="Arial" w:cs="Arial"/>
                <w:color w:val="000000"/>
                <w:sz w:val="18"/>
                <w:szCs w:val="18"/>
              </w:rPr>
            </w:pPr>
          </w:p>
          <w:p w14:paraId="1C4E55B1"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US High Yield</w:t>
            </w:r>
          </w:p>
        </w:tc>
        <w:tc>
          <w:tcPr>
            <w:tcW w:w="1929" w:type="dxa"/>
            <w:tcBorders>
              <w:top w:val="nil"/>
              <w:left w:val="nil"/>
              <w:bottom w:val="nil"/>
              <w:right w:val="nil"/>
            </w:tcBorders>
            <w:shd w:val="clear" w:color="auto" w:fill="auto"/>
            <w:hideMark/>
          </w:tcPr>
          <w:p w14:paraId="043A2066" w14:textId="77777777" w:rsidR="00F647BF" w:rsidRDefault="00F647BF" w:rsidP="00D13D15">
            <w:pPr>
              <w:spacing w:after="0" w:line="240" w:lineRule="auto"/>
              <w:rPr>
                <w:rFonts w:ascii="Arial" w:hAnsi="Arial" w:cs="Arial"/>
                <w:color w:val="000000"/>
                <w:sz w:val="18"/>
                <w:szCs w:val="18"/>
              </w:rPr>
            </w:pPr>
          </w:p>
          <w:p w14:paraId="44F9AC44"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Bloomberg US Corporate High Yield</w:t>
            </w:r>
          </w:p>
        </w:tc>
        <w:tc>
          <w:tcPr>
            <w:tcW w:w="7073" w:type="dxa"/>
            <w:tcBorders>
              <w:top w:val="nil"/>
              <w:left w:val="nil"/>
              <w:bottom w:val="nil"/>
              <w:right w:val="nil"/>
            </w:tcBorders>
            <w:shd w:val="clear" w:color="auto" w:fill="auto"/>
            <w:hideMark/>
          </w:tcPr>
          <w:p w14:paraId="395283EC" w14:textId="77777777" w:rsidR="00F647BF" w:rsidRDefault="00F647BF" w:rsidP="00D13D15">
            <w:pPr>
              <w:spacing w:after="0" w:line="240" w:lineRule="auto"/>
              <w:rPr>
                <w:rFonts w:ascii="Arial" w:hAnsi="Arial" w:cs="Arial"/>
                <w:color w:val="000000"/>
                <w:sz w:val="18"/>
                <w:szCs w:val="18"/>
              </w:rPr>
            </w:pPr>
          </w:p>
          <w:p w14:paraId="2D9BB8B2"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measures the performance of USD-denominated, non-investment-grade, fixed-rate taxable corporate bonds. "High-yield" securities have the middle rating from Moody's, Fitch or S&amp;P of Ba1/BB+/BB+ or below. Index excludes emerging market debt.</w:t>
            </w:r>
          </w:p>
        </w:tc>
      </w:tr>
      <w:tr w:rsidR="00F647BF" w:rsidRPr="002637B9" w14:paraId="677899E8" w14:textId="77777777" w:rsidTr="00D13D15">
        <w:trPr>
          <w:trHeight w:val="636"/>
        </w:trPr>
        <w:tc>
          <w:tcPr>
            <w:tcW w:w="1654" w:type="dxa"/>
            <w:tcBorders>
              <w:top w:val="nil"/>
              <w:left w:val="nil"/>
              <w:bottom w:val="nil"/>
              <w:right w:val="nil"/>
            </w:tcBorders>
            <w:shd w:val="clear" w:color="auto" w:fill="auto"/>
            <w:hideMark/>
          </w:tcPr>
          <w:p w14:paraId="63087D37" w14:textId="77777777" w:rsidR="00F647BF" w:rsidRDefault="00F647BF" w:rsidP="00D13D15">
            <w:pPr>
              <w:spacing w:after="0" w:line="240" w:lineRule="auto"/>
              <w:rPr>
                <w:rFonts w:ascii="Arial" w:hAnsi="Arial" w:cs="Arial"/>
                <w:color w:val="000000"/>
                <w:sz w:val="18"/>
                <w:szCs w:val="18"/>
              </w:rPr>
            </w:pPr>
          </w:p>
          <w:p w14:paraId="57B8A143"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US Investment Grade Credit</w:t>
            </w:r>
          </w:p>
        </w:tc>
        <w:tc>
          <w:tcPr>
            <w:tcW w:w="1929" w:type="dxa"/>
            <w:tcBorders>
              <w:top w:val="nil"/>
              <w:left w:val="nil"/>
              <w:bottom w:val="nil"/>
              <w:right w:val="nil"/>
            </w:tcBorders>
            <w:shd w:val="clear" w:color="auto" w:fill="auto"/>
            <w:hideMark/>
          </w:tcPr>
          <w:p w14:paraId="610F71F6" w14:textId="77777777" w:rsidR="00F647BF" w:rsidRDefault="00F647BF" w:rsidP="00D13D15">
            <w:pPr>
              <w:spacing w:after="0" w:line="240" w:lineRule="auto"/>
              <w:rPr>
                <w:rFonts w:ascii="Arial" w:hAnsi="Arial" w:cs="Arial"/>
                <w:color w:val="000000"/>
                <w:sz w:val="18"/>
                <w:szCs w:val="18"/>
              </w:rPr>
            </w:pPr>
          </w:p>
          <w:p w14:paraId="2893D66A"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 xml:space="preserve">Bloomberg US Corporate </w:t>
            </w:r>
          </w:p>
        </w:tc>
        <w:tc>
          <w:tcPr>
            <w:tcW w:w="7073" w:type="dxa"/>
            <w:tcBorders>
              <w:top w:val="nil"/>
              <w:left w:val="nil"/>
              <w:bottom w:val="nil"/>
              <w:right w:val="nil"/>
            </w:tcBorders>
            <w:shd w:val="clear" w:color="auto" w:fill="auto"/>
            <w:hideMark/>
          </w:tcPr>
          <w:p w14:paraId="4A957780" w14:textId="77777777" w:rsidR="00F647BF" w:rsidRDefault="00F647BF" w:rsidP="00D13D15">
            <w:pPr>
              <w:spacing w:after="0" w:line="240" w:lineRule="auto"/>
              <w:rPr>
                <w:rFonts w:ascii="Arial" w:hAnsi="Arial" w:cs="Arial"/>
                <w:color w:val="000000"/>
                <w:sz w:val="18"/>
                <w:szCs w:val="18"/>
              </w:rPr>
            </w:pPr>
          </w:p>
          <w:p w14:paraId="63163EEB"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measures the performance of the investment-grade, fixed-rate, taxable corporate bond market. Includes USD-denominated securities publicly issued by US and non-US industrial, utility and financial issuers that meet specified maturity, liquidity and quality requirements.</w:t>
            </w:r>
          </w:p>
        </w:tc>
      </w:tr>
      <w:tr w:rsidR="00F647BF" w:rsidRPr="002637B9" w14:paraId="5CB29011" w14:textId="77777777" w:rsidTr="00D13D15">
        <w:trPr>
          <w:trHeight w:val="636"/>
        </w:trPr>
        <w:tc>
          <w:tcPr>
            <w:tcW w:w="1654" w:type="dxa"/>
            <w:tcBorders>
              <w:top w:val="nil"/>
              <w:left w:val="nil"/>
              <w:bottom w:val="nil"/>
              <w:right w:val="nil"/>
            </w:tcBorders>
            <w:shd w:val="clear" w:color="auto" w:fill="auto"/>
            <w:hideMark/>
          </w:tcPr>
          <w:p w14:paraId="18B53FA3" w14:textId="77777777" w:rsidR="00F647BF" w:rsidRDefault="00F647BF" w:rsidP="00D13D15">
            <w:pPr>
              <w:spacing w:after="0" w:line="240" w:lineRule="auto"/>
              <w:rPr>
                <w:rFonts w:ascii="Arial" w:hAnsi="Arial" w:cs="Arial"/>
                <w:color w:val="000000"/>
                <w:sz w:val="18"/>
                <w:szCs w:val="18"/>
              </w:rPr>
            </w:pPr>
          </w:p>
          <w:p w14:paraId="7C570855"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US Long Treasuries</w:t>
            </w:r>
          </w:p>
        </w:tc>
        <w:tc>
          <w:tcPr>
            <w:tcW w:w="1929" w:type="dxa"/>
            <w:tcBorders>
              <w:top w:val="nil"/>
              <w:left w:val="nil"/>
              <w:bottom w:val="nil"/>
              <w:right w:val="nil"/>
            </w:tcBorders>
            <w:shd w:val="clear" w:color="auto" w:fill="auto"/>
            <w:hideMark/>
          </w:tcPr>
          <w:p w14:paraId="31E7A6F5" w14:textId="77777777" w:rsidR="00F647BF" w:rsidRDefault="00F647BF" w:rsidP="00D13D15">
            <w:pPr>
              <w:spacing w:after="0" w:line="240" w:lineRule="auto"/>
              <w:rPr>
                <w:rFonts w:ascii="Arial" w:hAnsi="Arial" w:cs="Arial"/>
                <w:color w:val="000000"/>
                <w:sz w:val="18"/>
                <w:szCs w:val="18"/>
              </w:rPr>
            </w:pPr>
          </w:p>
          <w:p w14:paraId="1EFCC512"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Bloomberg US Treasury Long</w:t>
            </w:r>
          </w:p>
        </w:tc>
        <w:tc>
          <w:tcPr>
            <w:tcW w:w="7073" w:type="dxa"/>
            <w:tcBorders>
              <w:top w:val="nil"/>
              <w:left w:val="nil"/>
              <w:bottom w:val="nil"/>
              <w:right w:val="nil"/>
            </w:tcBorders>
            <w:shd w:val="clear" w:color="auto" w:fill="auto"/>
            <w:hideMark/>
          </w:tcPr>
          <w:p w14:paraId="622102A0" w14:textId="77777777" w:rsidR="00F647BF" w:rsidRDefault="00F647BF" w:rsidP="00D13D15">
            <w:pPr>
              <w:spacing w:after="0" w:line="240" w:lineRule="auto"/>
              <w:rPr>
                <w:rFonts w:ascii="Arial" w:hAnsi="Arial" w:cs="Arial"/>
                <w:color w:val="000000"/>
                <w:sz w:val="18"/>
                <w:szCs w:val="18"/>
              </w:rPr>
            </w:pPr>
          </w:p>
          <w:p w14:paraId="276EB215"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measures the performance of long-term US Treasury bonds, including all publicly issued securities that have a remaining maturity of ten or more years, are: non-convertible, denominated in US dollars, rated investment-grade, fixed-rate and have $250 or more of outstanding face value.</w:t>
            </w:r>
          </w:p>
        </w:tc>
      </w:tr>
      <w:tr w:rsidR="00F647BF" w:rsidRPr="002637B9" w14:paraId="25221F52" w14:textId="77777777" w:rsidTr="00D13D15">
        <w:trPr>
          <w:trHeight w:val="636"/>
        </w:trPr>
        <w:tc>
          <w:tcPr>
            <w:tcW w:w="1654" w:type="dxa"/>
            <w:tcBorders>
              <w:top w:val="nil"/>
              <w:left w:val="nil"/>
              <w:bottom w:val="nil"/>
              <w:right w:val="nil"/>
            </w:tcBorders>
            <w:shd w:val="clear" w:color="auto" w:fill="auto"/>
            <w:hideMark/>
          </w:tcPr>
          <w:p w14:paraId="494DBE1B" w14:textId="77777777" w:rsidR="00F647BF" w:rsidRDefault="00F647BF" w:rsidP="00D13D15">
            <w:pPr>
              <w:spacing w:after="0" w:line="240" w:lineRule="auto"/>
              <w:rPr>
                <w:rFonts w:ascii="Arial" w:hAnsi="Arial" w:cs="Arial"/>
                <w:color w:val="000000"/>
                <w:sz w:val="18"/>
                <w:szCs w:val="18"/>
              </w:rPr>
            </w:pPr>
          </w:p>
          <w:p w14:paraId="4682FB28"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US REIT</w:t>
            </w:r>
          </w:p>
        </w:tc>
        <w:tc>
          <w:tcPr>
            <w:tcW w:w="1929" w:type="dxa"/>
            <w:tcBorders>
              <w:top w:val="nil"/>
              <w:left w:val="nil"/>
              <w:bottom w:val="nil"/>
              <w:right w:val="nil"/>
            </w:tcBorders>
            <w:shd w:val="clear" w:color="auto" w:fill="auto"/>
            <w:hideMark/>
          </w:tcPr>
          <w:p w14:paraId="29EA1635" w14:textId="77777777" w:rsidR="00F647BF" w:rsidRDefault="00F647BF" w:rsidP="00D13D15">
            <w:pPr>
              <w:spacing w:after="0" w:line="240" w:lineRule="auto"/>
              <w:rPr>
                <w:rFonts w:ascii="Arial" w:hAnsi="Arial" w:cs="Arial"/>
                <w:color w:val="000000"/>
                <w:sz w:val="18"/>
                <w:szCs w:val="18"/>
              </w:rPr>
            </w:pPr>
          </w:p>
          <w:p w14:paraId="1462BF94"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 xml:space="preserve">FTSE NAREIT All Equity REITs </w:t>
            </w:r>
          </w:p>
        </w:tc>
        <w:tc>
          <w:tcPr>
            <w:tcW w:w="7073" w:type="dxa"/>
            <w:tcBorders>
              <w:top w:val="nil"/>
              <w:left w:val="nil"/>
              <w:bottom w:val="nil"/>
              <w:right w:val="nil"/>
            </w:tcBorders>
            <w:shd w:val="clear" w:color="auto" w:fill="auto"/>
            <w:hideMark/>
          </w:tcPr>
          <w:p w14:paraId="2B5C5FD1" w14:textId="77777777" w:rsidR="00F647BF" w:rsidRDefault="00F647BF" w:rsidP="00D13D15">
            <w:pPr>
              <w:spacing w:after="0" w:line="240" w:lineRule="auto"/>
              <w:rPr>
                <w:rFonts w:ascii="Arial" w:hAnsi="Arial" w:cs="Arial"/>
                <w:color w:val="000000"/>
                <w:sz w:val="18"/>
                <w:szCs w:val="18"/>
              </w:rPr>
            </w:pPr>
          </w:p>
          <w:p w14:paraId="11D4A09B"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measures the performance of a comprehensive family of REIT indexes that spans the commercial real estate space across the US economy. The index series provides investors with exposure to all investment and property sectors.</w:t>
            </w:r>
          </w:p>
        </w:tc>
      </w:tr>
      <w:tr w:rsidR="00F647BF" w:rsidRPr="002637B9" w14:paraId="4DC134E3" w14:textId="77777777" w:rsidTr="00D13D15">
        <w:trPr>
          <w:trHeight w:val="636"/>
        </w:trPr>
        <w:tc>
          <w:tcPr>
            <w:tcW w:w="1654" w:type="dxa"/>
            <w:tcBorders>
              <w:top w:val="nil"/>
              <w:left w:val="nil"/>
              <w:bottom w:val="nil"/>
              <w:right w:val="nil"/>
            </w:tcBorders>
            <w:shd w:val="clear" w:color="auto" w:fill="auto"/>
            <w:hideMark/>
          </w:tcPr>
          <w:p w14:paraId="29184B6E"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US Treasury Inflation Protected Securities</w:t>
            </w:r>
          </w:p>
        </w:tc>
        <w:tc>
          <w:tcPr>
            <w:tcW w:w="1929" w:type="dxa"/>
            <w:tcBorders>
              <w:top w:val="nil"/>
              <w:left w:val="nil"/>
              <w:bottom w:val="nil"/>
              <w:right w:val="nil"/>
            </w:tcBorders>
            <w:shd w:val="clear" w:color="auto" w:fill="auto"/>
            <w:hideMark/>
          </w:tcPr>
          <w:p w14:paraId="24128F1C" w14:textId="77777777" w:rsidR="00F647BF" w:rsidRDefault="00F647BF" w:rsidP="00D13D15">
            <w:pPr>
              <w:spacing w:after="0" w:line="240" w:lineRule="auto"/>
              <w:rPr>
                <w:rFonts w:ascii="Arial" w:hAnsi="Arial" w:cs="Arial"/>
                <w:color w:val="000000"/>
                <w:sz w:val="18"/>
                <w:szCs w:val="18"/>
              </w:rPr>
            </w:pPr>
          </w:p>
          <w:p w14:paraId="7708D7F8"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Bloomberg US TIPS</w:t>
            </w:r>
          </w:p>
        </w:tc>
        <w:tc>
          <w:tcPr>
            <w:tcW w:w="7073" w:type="dxa"/>
            <w:tcBorders>
              <w:top w:val="nil"/>
              <w:left w:val="nil"/>
              <w:bottom w:val="nil"/>
              <w:right w:val="nil"/>
            </w:tcBorders>
            <w:shd w:val="clear" w:color="auto" w:fill="auto"/>
            <w:hideMark/>
          </w:tcPr>
          <w:p w14:paraId="29524B24" w14:textId="77777777" w:rsidR="00F647BF" w:rsidRDefault="00F647BF" w:rsidP="00D13D15">
            <w:pPr>
              <w:spacing w:after="0" w:line="240" w:lineRule="auto"/>
              <w:rPr>
                <w:rFonts w:ascii="Arial" w:hAnsi="Arial" w:cs="Arial"/>
                <w:color w:val="000000"/>
                <w:sz w:val="18"/>
                <w:szCs w:val="18"/>
              </w:rPr>
            </w:pPr>
          </w:p>
          <w:p w14:paraId="55197C45"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measures the performance of inflation-protected securities issued by the US Treasury.</w:t>
            </w:r>
          </w:p>
        </w:tc>
      </w:tr>
      <w:tr w:rsidR="00F647BF" w:rsidRPr="002637B9" w14:paraId="1C54CDDF" w14:textId="77777777" w:rsidTr="00D13D15">
        <w:trPr>
          <w:trHeight w:val="636"/>
        </w:trPr>
        <w:tc>
          <w:tcPr>
            <w:tcW w:w="1654" w:type="dxa"/>
            <w:tcBorders>
              <w:top w:val="nil"/>
              <w:left w:val="nil"/>
              <w:bottom w:val="nil"/>
              <w:right w:val="nil"/>
            </w:tcBorders>
            <w:shd w:val="clear" w:color="auto" w:fill="auto"/>
            <w:hideMark/>
          </w:tcPr>
          <w:p w14:paraId="0816CFCB" w14:textId="77777777" w:rsidR="00F647BF" w:rsidRDefault="00F647BF" w:rsidP="00D13D15">
            <w:pPr>
              <w:spacing w:after="0" w:line="240" w:lineRule="auto"/>
              <w:rPr>
                <w:rFonts w:ascii="Arial" w:hAnsi="Arial" w:cs="Arial"/>
                <w:color w:val="000000"/>
                <w:sz w:val="18"/>
                <w:szCs w:val="18"/>
              </w:rPr>
            </w:pPr>
          </w:p>
          <w:p w14:paraId="6E2E64BA"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US Value</w:t>
            </w:r>
          </w:p>
        </w:tc>
        <w:tc>
          <w:tcPr>
            <w:tcW w:w="1929" w:type="dxa"/>
            <w:tcBorders>
              <w:top w:val="nil"/>
              <w:left w:val="nil"/>
              <w:bottom w:val="nil"/>
              <w:right w:val="nil"/>
            </w:tcBorders>
            <w:shd w:val="clear" w:color="auto" w:fill="auto"/>
            <w:hideMark/>
          </w:tcPr>
          <w:p w14:paraId="04DB2670" w14:textId="77777777" w:rsidR="00F647BF" w:rsidRDefault="00F647BF" w:rsidP="00D13D15">
            <w:pPr>
              <w:spacing w:after="0" w:line="240" w:lineRule="auto"/>
              <w:rPr>
                <w:rFonts w:ascii="Arial" w:hAnsi="Arial" w:cs="Arial"/>
                <w:color w:val="000000"/>
                <w:sz w:val="18"/>
                <w:szCs w:val="18"/>
              </w:rPr>
            </w:pPr>
          </w:p>
          <w:p w14:paraId="665E5BB2"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S&amp;P 500 Value</w:t>
            </w:r>
          </w:p>
        </w:tc>
        <w:tc>
          <w:tcPr>
            <w:tcW w:w="7073" w:type="dxa"/>
            <w:tcBorders>
              <w:top w:val="nil"/>
              <w:left w:val="nil"/>
              <w:bottom w:val="nil"/>
              <w:right w:val="nil"/>
            </w:tcBorders>
            <w:shd w:val="clear" w:color="auto" w:fill="auto"/>
            <w:hideMark/>
          </w:tcPr>
          <w:p w14:paraId="4CF0A0AB" w14:textId="77777777" w:rsidR="00F647BF" w:rsidRDefault="00F647BF" w:rsidP="00D13D15">
            <w:pPr>
              <w:spacing w:after="0" w:line="240" w:lineRule="auto"/>
              <w:rPr>
                <w:rFonts w:ascii="Arial" w:hAnsi="Arial" w:cs="Arial"/>
                <w:color w:val="000000"/>
                <w:sz w:val="18"/>
                <w:szCs w:val="18"/>
              </w:rPr>
            </w:pPr>
          </w:p>
          <w:p w14:paraId="46509444" w14:textId="77777777" w:rsidR="00F647BF" w:rsidRPr="002637B9" w:rsidRDefault="00F647BF" w:rsidP="00D13D15">
            <w:pPr>
              <w:spacing w:after="0" w:line="240" w:lineRule="auto"/>
              <w:rPr>
                <w:rFonts w:ascii="Arial" w:hAnsi="Arial" w:cs="Arial"/>
                <w:color w:val="000000"/>
                <w:sz w:val="18"/>
                <w:szCs w:val="18"/>
              </w:rPr>
            </w:pPr>
            <w:r w:rsidRPr="002637B9">
              <w:rPr>
                <w:rFonts w:ascii="Arial" w:hAnsi="Arial" w:cs="Arial"/>
                <w:color w:val="000000"/>
                <w:sz w:val="18"/>
                <w:szCs w:val="18"/>
              </w:rPr>
              <w:t xml:space="preserve">measures the performance of value stocks in the US, which are identified by sales growth, price-to-earnings and momentum. Constituents generally have a market-cap above $5 billion. </w:t>
            </w:r>
          </w:p>
        </w:tc>
      </w:tr>
      <w:bookmarkEnd w:id="0"/>
    </w:tbl>
    <w:p w14:paraId="7C6A9D54" w14:textId="77777777" w:rsidR="00F647BF" w:rsidRPr="0040163B" w:rsidRDefault="00F647BF" w:rsidP="00F647BF">
      <w:pPr>
        <w:spacing w:after="160"/>
        <w:ind w:right="-720"/>
        <w:rPr>
          <w:rFonts w:ascii="Arial" w:hAnsi="Arial" w:cs="Arial"/>
          <w:color w:val="343433"/>
          <w:sz w:val="16"/>
          <w:szCs w:val="16"/>
        </w:rPr>
      </w:pPr>
    </w:p>
    <w:p w14:paraId="1CA21405" w14:textId="77777777" w:rsidR="00DE0BBF" w:rsidRPr="00844036" w:rsidRDefault="00DE0BBF" w:rsidP="00FE7F0D">
      <w:pPr>
        <w:spacing w:after="160"/>
        <w:ind w:right="-720"/>
        <w:rPr>
          <w:rFonts w:ascii="Arial" w:hAnsi="Arial" w:cs="Arial"/>
          <w:color w:val="343433"/>
          <w:sz w:val="18"/>
          <w:szCs w:val="18"/>
        </w:rPr>
      </w:pPr>
    </w:p>
    <w:p w14:paraId="7FB63708" w14:textId="77777777" w:rsidR="00DE0BBF" w:rsidRPr="00844036" w:rsidRDefault="00DE0BBF" w:rsidP="00FE7F0D">
      <w:pPr>
        <w:spacing w:after="160"/>
        <w:ind w:right="-720"/>
        <w:rPr>
          <w:rFonts w:ascii="Arial" w:hAnsi="Arial" w:cs="Arial"/>
          <w:color w:val="343433"/>
          <w:sz w:val="18"/>
          <w:szCs w:val="18"/>
        </w:rPr>
      </w:pPr>
    </w:p>
    <w:p w14:paraId="640A84B7" w14:textId="10E6C23C" w:rsidR="003A27B5" w:rsidRPr="0040163B" w:rsidRDefault="005D1A45" w:rsidP="00FE7F0D">
      <w:pPr>
        <w:spacing w:after="160"/>
        <w:ind w:right="-720"/>
        <w:rPr>
          <w:rFonts w:ascii="Arial" w:hAnsi="Arial" w:cs="Arial"/>
          <w:color w:val="343433"/>
          <w:sz w:val="16"/>
          <w:szCs w:val="16"/>
        </w:rPr>
      </w:pPr>
      <w:r>
        <w:rPr>
          <w:rFonts w:ascii="Arial" w:hAnsi="Arial" w:cs="Arial"/>
          <w:noProof/>
          <w:color w:val="343433"/>
          <w:sz w:val="16"/>
          <w:szCs w:val="16"/>
        </w:rPr>
        <w:lastRenderedPageBreak/>
        <mc:AlternateContent>
          <mc:Choice Requires="wpg">
            <w:drawing>
              <wp:anchor distT="0" distB="0" distL="114300" distR="114300" simplePos="0" relativeHeight="251662848" behindDoc="0" locked="0" layoutInCell="1" allowOverlap="1" wp14:anchorId="35A1F3A9" wp14:editId="6B84CF5B">
                <wp:simplePos x="0" y="0"/>
                <wp:positionH relativeFrom="margin">
                  <wp:posOffset>-660400</wp:posOffset>
                </wp:positionH>
                <wp:positionV relativeFrom="paragraph">
                  <wp:posOffset>3251835</wp:posOffset>
                </wp:positionV>
                <wp:extent cx="6927850" cy="4057650"/>
                <wp:effectExtent l="0" t="0" r="6350" b="0"/>
                <wp:wrapTopAndBottom/>
                <wp:docPr id="3" name="Group 3"/>
                <wp:cNvGraphicFramePr/>
                <a:graphic xmlns:a="http://schemas.openxmlformats.org/drawingml/2006/main">
                  <a:graphicData uri="http://schemas.microsoft.com/office/word/2010/wordprocessingGroup">
                    <wpg:wgp>
                      <wpg:cNvGrpSpPr/>
                      <wpg:grpSpPr>
                        <a:xfrm>
                          <a:off x="0" y="0"/>
                          <a:ext cx="6927850" cy="4057650"/>
                          <a:chOff x="0" y="0"/>
                          <a:chExt cx="6927850" cy="2527540"/>
                        </a:xfrm>
                      </wpg:grpSpPr>
                      <wpg:grpSp>
                        <wpg:cNvPr id="21" name="Group 21"/>
                        <wpg:cNvGrpSpPr/>
                        <wpg:grpSpPr>
                          <a:xfrm>
                            <a:off x="0" y="0"/>
                            <a:ext cx="6927850" cy="2527540"/>
                            <a:chOff x="0" y="299834"/>
                            <a:chExt cx="6858000" cy="2216733"/>
                          </a:xfrm>
                        </wpg:grpSpPr>
                        <wps:wsp>
                          <wps:cNvPr id="17" name="Rectangle 17"/>
                          <wps:cNvSpPr/>
                          <wps:spPr>
                            <a:xfrm>
                              <a:off x="0" y="299834"/>
                              <a:ext cx="6858000" cy="221673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92639" y="373324"/>
                              <a:ext cx="1303507" cy="1945482"/>
                            </a:xfrm>
                            <a:prstGeom prst="rect">
                              <a:avLst/>
                            </a:prstGeom>
                            <a:noFill/>
                            <a:ln w="6350">
                              <a:noFill/>
                            </a:ln>
                          </wps:spPr>
                          <wps:txbx>
                            <w:txbxContent>
                              <w:p w14:paraId="64B16CFF" w14:textId="77777777" w:rsidR="00AB6BC5" w:rsidRDefault="00AB6BC5" w:rsidP="00AB6BC5">
                                <w:pPr>
                                  <w:spacing w:after="120"/>
                                  <w:rPr>
                                    <w:rFonts w:ascii="Arial" w:hAnsi="Arial" w:cs="Arial"/>
                                    <w:b/>
                                    <w:sz w:val="15"/>
                                    <w:szCs w:val="15"/>
                                  </w:rPr>
                                </w:pPr>
                                <w:r>
                                  <w:rPr>
                                    <w:rFonts w:ascii="Arial" w:hAnsi="Arial" w:cs="Arial"/>
                                    <w:b/>
                                    <w:sz w:val="15"/>
                                    <w:szCs w:val="15"/>
                                  </w:rPr>
                                  <w:t>AssetMark, Inc.</w:t>
                                </w:r>
                              </w:p>
                              <w:p w14:paraId="05AF5373" w14:textId="7662CDC7" w:rsidR="00AB6BC5" w:rsidRPr="009B73D0" w:rsidRDefault="00AB6BC5" w:rsidP="00AB6BC5">
                                <w:pPr>
                                  <w:spacing w:after="120"/>
                                  <w:rPr>
                                    <w:rFonts w:ascii="Arial" w:hAnsi="Arial" w:cs="Arial"/>
                                    <w:sz w:val="15"/>
                                    <w:szCs w:val="15"/>
                                  </w:rPr>
                                </w:pPr>
                                <w:r w:rsidRPr="009B73D0">
                                  <w:rPr>
                                    <w:rFonts w:ascii="Arial" w:hAnsi="Arial" w:cs="Arial"/>
                                    <w:sz w:val="15"/>
                                    <w:szCs w:val="15"/>
                                  </w:rPr>
                                  <w:t>1655 Grant Street</w:t>
                                </w:r>
                                <w:r>
                                  <w:rPr>
                                    <w:rFonts w:ascii="Arial" w:hAnsi="Arial" w:cs="Arial"/>
                                    <w:sz w:val="15"/>
                                    <w:szCs w:val="15"/>
                                  </w:rPr>
                                  <w:br/>
                                </w:r>
                                <w:r w:rsidRPr="009B73D0">
                                  <w:rPr>
                                    <w:rFonts w:ascii="Arial" w:hAnsi="Arial" w:cs="Arial"/>
                                    <w:sz w:val="15"/>
                                    <w:szCs w:val="15"/>
                                  </w:rPr>
                                  <w:t>10</w:t>
                                </w:r>
                                <w:r w:rsidRPr="009B73D0">
                                  <w:rPr>
                                    <w:rFonts w:ascii="Arial" w:hAnsi="Arial" w:cs="Arial"/>
                                    <w:sz w:val="15"/>
                                    <w:szCs w:val="15"/>
                                    <w:vertAlign w:val="superscript"/>
                                  </w:rPr>
                                  <w:t>th</w:t>
                                </w:r>
                                <w:r w:rsidRPr="009B73D0">
                                  <w:rPr>
                                    <w:rFonts w:ascii="Arial" w:hAnsi="Arial" w:cs="Arial"/>
                                    <w:sz w:val="15"/>
                                    <w:szCs w:val="15"/>
                                  </w:rPr>
                                  <w:t xml:space="preserve"> Floor</w:t>
                                </w:r>
                                <w:r>
                                  <w:rPr>
                                    <w:rFonts w:ascii="Arial" w:hAnsi="Arial" w:cs="Arial"/>
                                    <w:sz w:val="15"/>
                                    <w:szCs w:val="15"/>
                                  </w:rPr>
                                  <w:br/>
                                </w:r>
                                <w:r w:rsidRPr="009B73D0">
                                  <w:rPr>
                                    <w:rFonts w:ascii="Arial" w:hAnsi="Arial" w:cs="Arial"/>
                                    <w:sz w:val="15"/>
                                    <w:szCs w:val="15"/>
                                  </w:rPr>
                                  <w:t>Concord, CA 94520-2445</w:t>
                                </w:r>
                                <w:r>
                                  <w:rPr>
                                    <w:rFonts w:ascii="Arial" w:hAnsi="Arial" w:cs="Arial"/>
                                    <w:sz w:val="15"/>
                                    <w:szCs w:val="15"/>
                                  </w:rPr>
                                  <w:br/>
                                </w:r>
                                <w:r w:rsidRPr="009B73D0">
                                  <w:rPr>
                                    <w:rFonts w:ascii="Arial" w:hAnsi="Arial" w:cs="Arial"/>
                                    <w:sz w:val="15"/>
                                    <w:szCs w:val="15"/>
                                  </w:rPr>
                                  <w:t>800-64-5345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 name="Text Box 19"/>
                        <wps:cNvSpPr txBox="1"/>
                        <wps:spPr>
                          <a:xfrm>
                            <a:off x="1355665" y="105752"/>
                            <a:ext cx="5417820" cy="2354545"/>
                          </a:xfrm>
                          <a:prstGeom prst="rect">
                            <a:avLst/>
                          </a:prstGeom>
                          <a:noFill/>
                          <a:ln w="6350">
                            <a:noFill/>
                          </a:ln>
                        </wps:spPr>
                        <wps:txbx>
                          <w:txbxContent>
                            <w:p w14:paraId="613DBB99" w14:textId="77777777" w:rsidR="00BB7679" w:rsidRPr="00E93D58" w:rsidRDefault="00BB7679" w:rsidP="00BB7679">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E83FB0B" w14:textId="719C815E"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This is for informational purposes only, is not a solicitation, and should not be considered investment, legal or tax advice</w:t>
                              </w:r>
                              <w:r w:rsidR="000802EB">
                                <w:rPr>
                                  <w:rFonts w:ascii="Arial" w:hAnsi="Arial" w:cs="Arial"/>
                                  <w:sz w:val="16"/>
                                  <w:szCs w:val="16"/>
                                </w:rPr>
                                <w:t xml:space="preserve">. </w:t>
                              </w:r>
                              <w:r w:rsidRPr="00476763">
                                <w:rPr>
                                  <w:rFonts w:ascii="Arial" w:hAnsi="Arial" w:cs="Arial"/>
                                  <w:sz w:val="16"/>
                                  <w:szCs w:val="16"/>
                                </w:rPr>
                                <w:t xml:space="preserve"> The information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5842D6D8" w14:textId="77777777" w:rsidR="00476763" w:rsidRPr="00476763" w:rsidRDefault="00476763" w:rsidP="00476763">
                              <w:pPr>
                                <w:pStyle w:val="NormalWeb"/>
                                <w:contextualSpacing/>
                                <w:rPr>
                                  <w:rFonts w:ascii="Arial" w:hAnsi="Arial" w:cs="Arial"/>
                                  <w:sz w:val="16"/>
                                  <w:szCs w:val="16"/>
                                </w:rPr>
                              </w:pPr>
                            </w:p>
                            <w:p w14:paraId="1739146F" w14:textId="77777777" w:rsidR="00476763" w:rsidRPr="00476763" w:rsidRDefault="00476763" w:rsidP="00476763">
                              <w:pPr>
                                <w:pStyle w:val="NormalWeb"/>
                                <w:contextualSpacing/>
                                <w:rPr>
                                  <w:rFonts w:ascii="Arial" w:hAnsi="Arial" w:cs="Arial"/>
                                  <w:sz w:val="16"/>
                                  <w:szCs w:val="16"/>
                                </w:rPr>
                              </w:pPr>
                              <w:r w:rsidRPr="009708E7">
                                <w:rPr>
                                  <w:rFonts w:ascii="Arial" w:hAnsi="Arial" w:cs="Arial"/>
                                  <w:b/>
                                  <w:bCs/>
                                  <w:sz w:val="16"/>
                                  <w:szCs w:val="16"/>
                                </w:rPr>
                                <w:t>Investing involves risk, including the possible loss of principal. Past performance does not guarantee future results.</w:t>
                              </w:r>
                              <w:r w:rsidRPr="00476763">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p>
                            <w:p w14:paraId="03D19263" w14:textId="77777777" w:rsidR="00476763" w:rsidRPr="00476763" w:rsidRDefault="00476763" w:rsidP="00476763">
                              <w:pPr>
                                <w:pStyle w:val="NormalWeb"/>
                                <w:contextualSpacing/>
                                <w:rPr>
                                  <w:rFonts w:ascii="Arial" w:hAnsi="Arial" w:cs="Arial"/>
                                  <w:sz w:val="16"/>
                                  <w:szCs w:val="16"/>
                                </w:rPr>
                              </w:pPr>
                            </w:p>
                            <w:p w14:paraId="19E98BF3"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2FAAB4A8" w14:textId="77777777" w:rsidR="00476763" w:rsidRPr="00476763" w:rsidRDefault="00476763" w:rsidP="00476763">
                              <w:pPr>
                                <w:pStyle w:val="NormalWeb"/>
                                <w:contextualSpacing/>
                                <w:rPr>
                                  <w:rFonts w:ascii="Arial" w:hAnsi="Arial" w:cs="Arial"/>
                                  <w:sz w:val="16"/>
                                  <w:szCs w:val="16"/>
                                </w:rPr>
                              </w:pPr>
                            </w:p>
                            <w:p w14:paraId="42E16088"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    </w:t>
                              </w:r>
                            </w:p>
                            <w:p w14:paraId="5B411087" w14:textId="77777777" w:rsidR="00476763" w:rsidRPr="00476763" w:rsidRDefault="00476763" w:rsidP="00476763">
                              <w:pPr>
                                <w:pStyle w:val="NormalWeb"/>
                                <w:contextualSpacing/>
                                <w:rPr>
                                  <w:rFonts w:ascii="Arial" w:hAnsi="Arial" w:cs="Arial"/>
                                  <w:sz w:val="16"/>
                                  <w:szCs w:val="16"/>
                                </w:rPr>
                              </w:pPr>
                            </w:p>
                            <w:p w14:paraId="6A24040D"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70DEB37A" w14:textId="77777777" w:rsidR="00476763" w:rsidRPr="00476763" w:rsidRDefault="00476763" w:rsidP="00476763">
                              <w:pPr>
                                <w:pStyle w:val="NormalWeb"/>
                                <w:contextualSpacing/>
                                <w:rPr>
                                  <w:rFonts w:ascii="Arial" w:hAnsi="Arial" w:cs="Arial"/>
                                  <w:sz w:val="16"/>
                                  <w:szCs w:val="16"/>
                                </w:rPr>
                              </w:pPr>
                            </w:p>
                            <w:p w14:paraId="2A9852E5"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AssetMark, Inc. is an investment adviser registered with the U.S. Securities and Exchange Commission. AssetMark and third-party strategists and service providers are separate and unaffiliated companies. Each party is responsible for their own content and services.</w:t>
                              </w:r>
                            </w:p>
                            <w:p w14:paraId="30B0F388" w14:textId="77777777" w:rsidR="00476763" w:rsidRPr="00476763" w:rsidRDefault="00476763" w:rsidP="00476763">
                              <w:pPr>
                                <w:pStyle w:val="NormalWeb"/>
                                <w:contextualSpacing/>
                                <w:rPr>
                                  <w:rFonts w:ascii="Arial" w:hAnsi="Arial" w:cs="Arial"/>
                                  <w:sz w:val="16"/>
                                  <w:szCs w:val="16"/>
                                </w:rPr>
                              </w:pPr>
                            </w:p>
                            <w:p w14:paraId="0F7B882B" w14:textId="4D13F8AC"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©202</w:t>
                              </w:r>
                              <w:r>
                                <w:rPr>
                                  <w:rFonts w:ascii="Arial" w:hAnsi="Arial" w:cs="Arial"/>
                                  <w:sz w:val="16"/>
                                  <w:szCs w:val="16"/>
                                </w:rPr>
                                <w:t>2</w:t>
                              </w:r>
                              <w:r w:rsidRPr="00476763">
                                <w:rPr>
                                  <w:rFonts w:ascii="Arial" w:hAnsi="Arial" w:cs="Arial"/>
                                  <w:sz w:val="16"/>
                                  <w:szCs w:val="16"/>
                                </w:rPr>
                                <w:t xml:space="preserve"> AssetMark, Inc. All rights reserved.</w:t>
                              </w:r>
                            </w:p>
                            <w:p w14:paraId="0F2FFEED" w14:textId="175E54AB" w:rsidR="002F7F11" w:rsidRPr="00BF0CB7" w:rsidRDefault="00F419DF" w:rsidP="00476763">
                              <w:pPr>
                                <w:pStyle w:val="NormalWeb"/>
                                <w:spacing w:before="0" w:beforeAutospacing="0"/>
                                <w:contextualSpacing/>
                                <w:rPr>
                                  <w:rFonts w:ascii="Arial" w:hAnsi="Arial" w:cs="Arial"/>
                                  <w:sz w:val="16"/>
                                  <w:szCs w:val="16"/>
                                </w:rPr>
                              </w:pPr>
                              <w:r w:rsidRPr="00F419DF">
                                <w:rPr>
                                  <w:rFonts w:ascii="Arial" w:hAnsi="Arial" w:cs="Arial"/>
                                  <w:sz w:val="16"/>
                                  <w:szCs w:val="16"/>
                                </w:rPr>
                                <w:t>103360</w:t>
                              </w:r>
                              <w:r w:rsidRPr="00F419DF">
                                <w:rPr>
                                  <w:rFonts w:ascii="Arial" w:hAnsi="Arial" w:cs="Arial"/>
                                  <w:sz w:val="16"/>
                                  <w:szCs w:val="16"/>
                                </w:rPr>
                                <w:t xml:space="preserve"> </w:t>
                              </w:r>
                              <w:r w:rsidR="002F7F11" w:rsidRPr="00F419DF">
                                <w:rPr>
                                  <w:rFonts w:ascii="Arial" w:hAnsi="Arial" w:cs="Arial"/>
                                  <w:sz w:val="16"/>
                                  <w:szCs w:val="16"/>
                                </w:rPr>
                                <w:t xml:space="preserve">| </w:t>
                              </w:r>
                              <w:r w:rsidRPr="00F419DF">
                                <w:rPr>
                                  <w:rFonts w:ascii="Arial" w:hAnsi="Arial" w:cs="Arial"/>
                                  <w:sz w:val="16"/>
                                  <w:szCs w:val="16"/>
                                </w:rPr>
                                <w:t>C22-19056</w:t>
                              </w:r>
                              <w:r>
                                <w:rPr>
                                  <w:rFonts w:ascii="Arial" w:hAnsi="Arial" w:cs="Arial"/>
                                  <w:sz w:val="16"/>
                                  <w:szCs w:val="16"/>
                                </w:rPr>
                                <w:t xml:space="preserve"> </w:t>
                              </w:r>
                              <w:r w:rsidR="002F7F11" w:rsidRPr="001437D6">
                                <w:rPr>
                                  <w:rFonts w:ascii="Arial" w:hAnsi="Arial" w:cs="Arial"/>
                                  <w:sz w:val="16"/>
                                  <w:szCs w:val="16"/>
                                </w:rPr>
                                <w:t>| 0</w:t>
                              </w:r>
                              <w:r w:rsidR="000802EB">
                                <w:rPr>
                                  <w:rFonts w:ascii="Arial" w:hAnsi="Arial" w:cs="Arial"/>
                                  <w:sz w:val="16"/>
                                  <w:szCs w:val="16"/>
                                </w:rPr>
                                <w:t>8</w:t>
                              </w:r>
                              <w:r w:rsidR="002F7F11" w:rsidRPr="001437D6">
                                <w:rPr>
                                  <w:rFonts w:ascii="Arial" w:hAnsi="Arial" w:cs="Arial"/>
                                  <w:sz w:val="16"/>
                                  <w:szCs w:val="16"/>
                                </w:rPr>
                                <w:t>/202</w:t>
                              </w:r>
                              <w:r w:rsidR="00F67AD8" w:rsidRPr="001437D6">
                                <w:rPr>
                                  <w:rFonts w:ascii="Arial" w:hAnsi="Arial" w:cs="Arial"/>
                                  <w:sz w:val="16"/>
                                  <w:szCs w:val="16"/>
                                </w:rPr>
                                <w:t>2</w:t>
                              </w:r>
                              <w:r w:rsidR="002F7F11" w:rsidRPr="001437D6">
                                <w:rPr>
                                  <w:rFonts w:ascii="Arial" w:hAnsi="Arial" w:cs="Arial"/>
                                  <w:sz w:val="16"/>
                                  <w:szCs w:val="16"/>
                                </w:rPr>
                                <w:t xml:space="preserve"> | EXP 0</w:t>
                              </w:r>
                              <w:r w:rsidR="000802EB">
                                <w:rPr>
                                  <w:rFonts w:ascii="Arial" w:hAnsi="Arial" w:cs="Arial"/>
                                  <w:sz w:val="16"/>
                                  <w:szCs w:val="16"/>
                                </w:rPr>
                                <w:t>8</w:t>
                              </w:r>
                              <w:r w:rsidR="002F7F11" w:rsidRPr="001437D6">
                                <w:rPr>
                                  <w:rFonts w:ascii="Arial" w:hAnsi="Arial" w:cs="Arial"/>
                                  <w:sz w:val="16"/>
                                  <w:szCs w:val="16"/>
                                </w:rPr>
                                <w:t>/</w:t>
                              </w:r>
                              <w:r w:rsidR="0054164A">
                                <w:rPr>
                                  <w:rFonts w:ascii="Arial" w:hAnsi="Arial" w:cs="Arial"/>
                                  <w:sz w:val="16"/>
                                  <w:szCs w:val="16"/>
                                </w:rPr>
                                <w:t>31</w:t>
                              </w:r>
                              <w:r w:rsidR="002F7F11" w:rsidRPr="001437D6">
                                <w:rPr>
                                  <w:rFonts w:ascii="Arial" w:hAnsi="Arial" w:cs="Arial"/>
                                  <w:sz w:val="16"/>
                                  <w:szCs w:val="16"/>
                                </w:rPr>
                                <w:t>/202</w:t>
                              </w:r>
                              <w:r w:rsidR="00F67AD8" w:rsidRPr="001437D6">
                                <w:rPr>
                                  <w:rFonts w:ascii="Arial" w:hAnsi="Arial" w:cs="Arial"/>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A1F3A9" id="Group 3" o:spid="_x0000_s1026" style="position:absolute;margin-left:-52pt;margin-top:256.05pt;width:545.5pt;height:319.5pt;z-index:251662848;mso-position-horizontal-relative:margin;mso-width-relative:margin;mso-height-relative:margin" coordsize="69278,2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">
                <v:group id="Group 21" o:spid="_x0000_s1027" style="position:absolute;width:69278;height:25275" coordorigin=",2998" coordsize="68580,2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17" o:spid="_x0000_s1028" style="position:absolute;top:2998;width:68580;height:22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" fillcolor="#f2f2f2 [3052]" stroked="f" strokeweight="1pt"/>
                  <v:shapetype id="_x0000_t202" coordsize="21600,21600" o:spt="202" path="m,l,21600r21600,l21600,xe">
                    <v:stroke joinstyle="miter"/>
                    <v:path gradientshapeok="t" o:connecttype="rect"/>
                  </v:shapetype>
                  <v:shape id="Text Box 20" o:spid="_x0000_s1029" type="#_x0000_t202" style="position:absolute;left:926;top:3733;width:13035;height:1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64B16CFF" w14:textId="77777777" w:rsidR="00AB6BC5" w:rsidRDefault="00AB6BC5" w:rsidP="00AB6BC5">
                          <w:pPr>
                            <w:spacing w:after="120"/>
                            <w:rPr>
                              <w:rFonts w:ascii="Arial" w:hAnsi="Arial" w:cs="Arial"/>
                              <w:b/>
                              <w:sz w:val="15"/>
                              <w:szCs w:val="15"/>
                            </w:rPr>
                          </w:pPr>
                          <w:r>
                            <w:rPr>
                              <w:rFonts w:ascii="Arial" w:hAnsi="Arial" w:cs="Arial"/>
                              <w:b/>
                              <w:sz w:val="15"/>
                              <w:szCs w:val="15"/>
                            </w:rPr>
                            <w:t>AssetMark, Inc.</w:t>
                          </w:r>
                        </w:p>
                        <w:p w14:paraId="05AF5373" w14:textId="7662CDC7" w:rsidR="00AB6BC5" w:rsidRPr="009B73D0" w:rsidRDefault="00AB6BC5" w:rsidP="00AB6BC5">
                          <w:pPr>
                            <w:spacing w:after="120"/>
                            <w:rPr>
                              <w:rFonts w:ascii="Arial" w:hAnsi="Arial" w:cs="Arial"/>
                              <w:sz w:val="15"/>
                              <w:szCs w:val="15"/>
                            </w:rPr>
                          </w:pPr>
                          <w:r w:rsidRPr="009B73D0">
                            <w:rPr>
                              <w:rFonts w:ascii="Arial" w:hAnsi="Arial" w:cs="Arial"/>
                              <w:sz w:val="15"/>
                              <w:szCs w:val="15"/>
                            </w:rPr>
                            <w:t>1655 Grant Street</w:t>
                          </w:r>
                          <w:r>
                            <w:rPr>
                              <w:rFonts w:ascii="Arial" w:hAnsi="Arial" w:cs="Arial"/>
                              <w:sz w:val="15"/>
                              <w:szCs w:val="15"/>
                            </w:rPr>
                            <w:br/>
                          </w:r>
                          <w:r w:rsidRPr="009B73D0">
                            <w:rPr>
                              <w:rFonts w:ascii="Arial" w:hAnsi="Arial" w:cs="Arial"/>
                              <w:sz w:val="15"/>
                              <w:szCs w:val="15"/>
                            </w:rPr>
                            <w:t>10</w:t>
                          </w:r>
                          <w:r w:rsidRPr="009B73D0">
                            <w:rPr>
                              <w:rFonts w:ascii="Arial" w:hAnsi="Arial" w:cs="Arial"/>
                              <w:sz w:val="15"/>
                              <w:szCs w:val="15"/>
                              <w:vertAlign w:val="superscript"/>
                            </w:rPr>
                            <w:t>th</w:t>
                          </w:r>
                          <w:r w:rsidRPr="009B73D0">
                            <w:rPr>
                              <w:rFonts w:ascii="Arial" w:hAnsi="Arial" w:cs="Arial"/>
                              <w:sz w:val="15"/>
                              <w:szCs w:val="15"/>
                            </w:rPr>
                            <w:t xml:space="preserve"> Floor</w:t>
                          </w:r>
                          <w:r>
                            <w:rPr>
                              <w:rFonts w:ascii="Arial" w:hAnsi="Arial" w:cs="Arial"/>
                              <w:sz w:val="15"/>
                              <w:szCs w:val="15"/>
                            </w:rPr>
                            <w:br/>
                          </w:r>
                          <w:r w:rsidRPr="009B73D0">
                            <w:rPr>
                              <w:rFonts w:ascii="Arial" w:hAnsi="Arial" w:cs="Arial"/>
                              <w:sz w:val="15"/>
                              <w:szCs w:val="15"/>
                            </w:rPr>
                            <w:t>Concord, CA 94520-2445</w:t>
                          </w:r>
                          <w:r>
                            <w:rPr>
                              <w:rFonts w:ascii="Arial" w:hAnsi="Arial" w:cs="Arial"/>
                              <w:sz w:val="15"/>
                              <w:szCs w:val="15"/>
                            </w:rPr>
                            <w:br/>
                          </w:r>
                          <w:r w:rsidRPr="009B73D0">
                            <w:rPr>
                              <w:rFonts w:ascii="Arial" w:hAnsi="Arial" w:cs="Arial"/>
                              <w:sz w:val="15"/>
                              <w:szCs w:val="15"/>
                            </w:rPr>
                            <w:t>800-64-5345</w:t>
                          </w:r>
                        </w:p>
                      </w:txbxContent>
                    </v:textbox>
                  </v:shape>
                </v:group>
                <v:shape id="Text Box 19" o:spid="_x0000_s1030" type="#_x0000_t202" style="position:absolute;left:13556;top:1057;width:54178;height:23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613DBB99" w14:textId="77777777" w:rsidR="00BB7679" w:rsidRPr="00E93D58" w:rsidRDefault="00BB7679" w:rsidP="00BB7679">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E83FB0B" w14:textId="719C815E"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This is for informational purposes only, is not a solicitation, and should not be considered investment, legal or tax advice</w:t>
                        </w:r>
                        <w:r w:rsidR="000802EB">
                          <w:rPr>
                            <w:rFonts w:ascii="Arial" w:hAnsi="Arial" w:cs="Arial"/>
                            <w:sz w:val="16"/>
                            <w:szCs w:val="16"/>
                          </w:rPr>
                          <w:t xml:space="preserve">. </w:t>
                        </w:r>
                        <w:r w:rsidRPr="00476763">
                          <w:rPr>
                            <w:rFonts w:ascii="Arial" w:hAnsi="Arial" w:cs="Arial"/>
                            <w:sz w:val="16"/>
                            <w:szCs w:val="16"/>
                          </w:rPr>
                          <w:t xml:space="preserve"> The information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5842D6D8" w14:textId="77777777" w:rsidR="00476763" w:rsidRPr="00476763" w:rsidRDefault="00476763" w:rsidP="00476763">
                        <w:pPr>
                          <w:pStyle w:val="NormalWeb"/>
                          <w:contextualSpacing/>
                          <w:rPr>
                            <w:rFonts w:ascii="Arial" w:hAnsi="Arial" w:cs="Arial"/>
                            <w:sz w:val="16"/>
                            <w:szCs w:val="16"/>
                          </w:rPr>
                        </w:pPr>
                      </w:p>
                      <w:p w14:paraId="1739146F" w14:textId="77777777" w:rsidR="00476763" w:rsidRPr="00476763" w:rsidRDefault="00476763" w:rsidP="00476763">
                        <w:pPr>
                          <w:pStyle w:val="NormalWeb"/>
                          <w:contextualSpacing/>
                          <w:rPr>
                            <w:rFonts w:ascii="Arial" w:hAnsi="Arial" w:cs="Arial"/>
                            <w:sz w:val="16"/>
                            <w:szCs w:val="16"/>
                          </w:rPr>
                        </w:pPr>
                        <w:r w:rsidRPr="009708E7">
                          <w:rPr>
                            <w:rFonts w:ascii="Arial" w:hAnsi="Arial" w:cs="Arial"/>
                            <w:b/>
                            <w:bCs/>
                            <w:sz w:val="16"/>
                            <w:szCs w:val="16"/>
                          </w:rPr>
                          <w:t>Investing involves risk, including the possible loss of principal. Past performance does not guarantee future results.</w:t>
                        </w:r>
                        <w:r w:rsidRPr="00476763">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p>
                      <w:p w14:paraId="03D19263" w14:textId="77777777" w:rsidR="00476763" w:rsidRPr="00476763" w:rsidRDefault="00476763" w:rsidP="00476763">
                        <w:pPr>
                          <w:pStyle w:val="NormalWeb"/>
                          <w:contextualSpacing/>
                          <w:rPr>
                            <w:rFonts w:ascii="Arial" w:hAnsi="Arial" w:cs="Arial"/>
                            <w:sz w:val="16"/>
                            <w:szCs w:val="16"/>
                          </w:rPr>
                        </w:pPr>
                      </w:p>
                      <w:p w14:paraId="19E98BF3"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2FAAB4A8" w14:textId="77777777" w:rsidR="00476763" w:rsidRPr="00476763" w:rsidRDefault="00476763" w:rsidP="00476763">
                        <w:pPr>
                          <w:pStyle w:val="NormalWeb"/>
                          <w:contextualSpacing/>
                          <w:rPr>
                            <w:rFonts w:ascii="Arial" w:hAnsi="Arial" w:cs="Arial"/>
                            <w:sz w:val="16"/>
                            <w:szCs w:val="16"/>
                          </w:rPr>
                        </w:pPr>
                      </w:p>
                      <w:p w14:paraId="42E16088"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    </w:t>
                        </w:r>
                      </w:p>
                      <w:p w14:paraId="5B411087" w14:textId="77777777" w:rsidR="00476763" w:rsidRPr="00476763" w:rsidRDefault="00476763" w:rsidP="00476763">
                        <w:pPr>
                          <w:pStyle w:val="NormalWeb"/>
                          <w:contextualSpacing/>
                          <w:rPr>
                            <w:rFonts w:ascii="Arial" w:hAnsi="Arial" w:cs="Arial"/>
                            <w:sz w:val="16"/>
                            <w:szCs w:val="16"/>
                          </w:rPr>
                        </w:pPr>
                      </w:p>
                      <w:p w14:paraId="6A24040D"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70DEB37A" w14:textId="77777777" w:rsidR="00476763" w:rsidRPr="00476763" w:rsidRDefault="00476763" w:rsidP="00476763">
                        <w:pPr>
                          <w:pStyle w:val="NormalWeb"/>
                          <w:contextualSpacing/>
                          <w:rPr>
                            <w:rFonts w:ascii="Arial" w:hAnsi="Arial" w:cs="Arial"/>
                            <w:sz w:val="16"/>
                            <w:szCs w:val="16"/>
                          </w:rPr>
                        </w:pPr>
                      </w:p>
                      <w:p w14:paraId="2A9852E5"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AssetMark, Inc. is an investment adviser registered with the U.S. Securities and Exchange Commission. AssetMark and third-party strategists and service providers are separate and unaffiliated companies. Each party is responsible for their own content and services.</w:t>
                        </w:r>
                      </w:p>
                      <w:p w14:paraId="30B0F388" w14:textId="77777777" w:rsidR="00476763" w:rsidRPr="00476763" w:rsidRDefault="00476763" w:rsidP="00476763">
                        <w:pPr>
                          <w:pStyle w:val="NormalWeb"/>
                          <w:contextualSpacing/>
                          <w:rPr>
                            <w:rFonts w:ascii="Arial" w:hAnsi="Arial" w:cs="Arial"/>
                            <w:sz w:val="16"/>
                            <w:szCs w:val="16"/>
                          </w:rPr>
                        </w:pPr>
                      </w:p>
                      <w:p w14:paraId="0F7B882B" w14:textId="4D13F8AC"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©202</w:t>
                        </w:r>
                        <w:r>
                          <w:rPr>
                            <w:rFonts w:ascii="Arial" w:hAnsi="Arial" w:cs="Arial"/>
                            <w:sz w:val="16"/>
                            <w:szCs w:val="16"/>
                          </w:rPr>
                          <w:t>2</w:t>
                        </w:r>
                        <w:r w:rsidRPr="00476763">
                          <w:rPr>
                            <w:rFonts w:ascii="Arial" w:hAnsi="Arial" w:cs="Arial"/>
                            <w:sz w:val="16"/>
                            <w:szCs w:val="16"/>
                          </w:rPr>
                          <w:t xml:space="preserve"> AssetMark, Inc. All rights reserved.</w:t>
                        </w:r>
                      </w:p>
                      <w:p w14:paraId="0F2FFEED" w14:textId="175E54AB" w:rsidR="002F7F11" w:rsidRPr="00BF0CB7" w:rsidRDefault="00F419DF" w:rsidP="00476763">
                        <w:pPr>
                          <w:pStyle w:val="NormalWeb"/>
                          <w:spacing w:before="0" w:beforeAutospacing="0"/>
                          <w:contextualSpacing/>
                          <w:rPr>
                            <w:rFonts w:ascii="Arial" w:hAnsi="Arial" w:cs="Arial"/>
                            <w:sz w:val="16"/>
                            <w:szCs w:val="16"/>
                          </w:rPr>
                        </w:pPr>
                        <w:r w:rsidRPr="00F419DF">
                          <w:rPr>
                            <w:rFonts w:ascii="Arial" w:hAnsi="Arial" w:cs="Arial"/>
                            <w:sz w:val="16"/>
                            <w:szCs w:val="16"/>
                          </w:rPr>
                          <w:t>103360</w:t>
                        </w:r>
                        <w:r w:rsidRPr="00F419DF">
                          <w:rPr>
                            <w:rFonts w:ascii="Arial" w:hAnsi="Arial" w:cs="Arial"/>
                            <w:sz w:val="16"/>
                            <w:szCs w:val="16"/>
                          </w:rPr>
                          <w:t xml:space="preserve"> </w:t>
                        </w:r>
                        <w:r w:rsidR="002F7F11" w:rsidRPr="00F419DF">
                          <w:rPr>
                            <w:rFonts w:ascii="Arial" w:hAnsi="Arial" w:cs="Arial"/>
                            <w:sz w:val="16"/>
                            <w:szCs w:val="16"/>
                          </w:rPr>
                          <w:t xml:space="preserve">| </w:t>
                        </w:r>
                        <w:r w:rsidRPr="00F419DF">
                          <w:rPr>
                            <w:rFonts w:ascii="Arial" w:hAnsi="Arial" w:cs="Arial"/>
                            <w:sz w:val="16"/>
                            <w:szCs w:val="16"/>
                          </w:rPr>
                          <w:t>C22-19056</w:t>
                        </w:r>
                        <w:r>
                          <w:rPr>
                            <w:rFonts w:ascii="Arial" w:hAnsi="Arial" w:cs="Arial"/>
                            <w:sz w:val="16"/>
                            <w:szCs w:val="16"/>
                          </w:rPr>
                          <w:t xml:space="preserve"> </w:t>
                        </w:r>
                        <w:r w:rsidR="002F7F11" w:rsidRPr="001437D6">
                          <w:rPr>
                            <w:rFonts w:ascii="Arial" w:hAnsi="Arial" w:cs="Arial"/>
                            <w:sz w:val="16"/>
                            <w:szCs w:val="16"/>
                          </w:rPr>
                          <w:t>| 0</w:t>
                        </w:r>
                        <w:r w:rsidR="000802EB">
                          <w:rPr>
                            <w:rFonts w:ascii="Arial" w:hAnsi="Arial" w:cs="Arial"/>
                            <w:sz w:val="16"/>
                            <w:szCs w:val="16"/>
                          </w:rPr>
                          <w:t>8</w:t>
                        </w:r>
                        <w:r w:rsidR="002F7F11" w:rsidRPr="001437D6">
                          <w:rPr>
                            <w:rFonts w:ascii="Arial" w:hAnsi="Arial" w:cs="Arial"/>
                            <w:sz w:val="16"/>
                            <w:szCs w:val="16"/>
                          </w:rPr>
                          <w:t>/202</w:t>
                        </w:r>
                        <w:r w:rsidR="00F67AD8" w:rsidRPr="001437D6">
                          <w:rPr>
                            <w:rFonts w:ascii="Arial" w:hAnsi="Arial" w:cs="Arial"/>
                            <w:sz w:val="16"/>
                            <w:szCs w:val="16"/>
                          </w:rPr>
                          <w:t>2</w:t>
                        </w:r>
                        <w:r w:rsidR="002F7F11" w:rsidRPr="001437D6">
                          <w:rPr>
                            <w:rFonts w:ascii="Arial" w:hAnsi="Arial" w:cs="Arial"/>
                            <w:sz w:val="16"/>
                            <w:szCs w:val="16"/>
                          </w:rPr>
                          <w:t xml:space="preserve"> | EXP 0</w:t>
                        </w:r>
                        <w:r w:rsidR="000802EB">
                          <w:rPr>
                            <w:rFonts w:ascii="Arial" w:hAnsi="Arial" w:cs="Arial"/>
                            <w:sz w:val="16"/>
                            <w:szCs w:val="16"/>
                          </w:rPr>
                          <w:t>8</w:t>
                        </w:r>
                        <w:r w:rsidR="002F7F11" w:rsidRPr="001437D6">
                          <w:rPr>
                            <w:rFonts w:ascii="Arial" w:hAnsi="Arial" w:cs="Arial"/>
                            <w:sz w:val="16"/>
                            <w:szCs w:val="16"/>
                          </w:rPr>
                          <w:t>/</w:t>
                        </w:r>
                        <w:r w:rsidR="0054164A">
                          <w:rPr>
                            <w:rFonts w:ascii="Arial" w:hAnsi="Arial" w:cs="Arial"/>
                            <w:sz w:val="16"/>
                            <w:szCs w:val="16"/>
                          </w:rPr>
                          <w:t>31</w:t>
                        </w:r>
                        <w:r w:rsidR="002F7F11" w:rsidRPr="001437D6">
                          <w:rPr>
                            <w:rFonts w:ascii="Arial" w:hAnsi="Arial" w:cs="Arial"/>
                            <w:sz w:val="16"/>
                            <w:szCs w:val="16"/>
                          </w:rPr>
                          <w:t>/202</w:t>
                        </w:r>
                        <w:r w:rsidR="00F67AD8" w:rsidRPr="001437D6">
                          <w:rPr>
                            <w:rFonts w:ascii="Arial" w:hAnsi="Arial" w:cs="Arial"/>
                            <w:sz w:val="16"/>
                            <w:szCs w:val="16"/>
                          </w:rPr>
                          <w:t>4</w:t>
                        </w:r>
                      </w:p>
                    </w:txbxContent>
                  </v:textbox>
                </v:shape>
                <w10:wrap type="topAndBottom" anchorx="margin"/>
              </v:group>
            </w:pict>
          </mc:Fallback>
        </mc:AlternateContent>
      </w:r>
    </w:p>
    <w:sectPr w:rsidR="003A27B5" w:rsidRPr="0040163B" w:rsidSect="006A6909">
      <w:headerReference w:type="default" r:id="rId15"/>
      <w:footerReference w:type="even" r:id="rId16"/>
      <w:footerReference w:type="default" r:id="rId17"/>
      <w:headerReference w:type="first" r:id="rId18"/>
      <w:footerReference w:type="first" r:id="rId19"/>
      <w:endnotePr>
        <w:numFmt w:val="decimal"/>
      </w:endnotePr>
      <w:pgSz w:w="12240" w:h="15840"/>
      <w:pgMar w:top="-1659" w:right="1440" w:bottom="151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8A5D4" w14:textId="77777777" w:rsidR="00D74969" w:rsidRDefault="00D74969" w:rsidP="005C1D70">
      <w:pPr>
        <w:spacing w:after="0" w:line="240" w:lineRule="auto"/>
      </w:pPr>
      <w:r>
        <w:separator/>
      </w:r>
    </w:p>
  </w:endnote>
  <w:endnote w:type="continuationSeparator" w:id="0">
    <w:p w14:paraId="7E1C8D1A" w14:textId="77777777" w:rsidR="00D74969" w:rsidRDefault="00D74969" w:rsidP="005C1D70">
      <w:pPr>
        <w:spacing w:after="0" w:line="240" w:lineRule="auto"/>
      </w:pPr>
      <w:r>
        <w:continuationSeparator/>
      </w:r>
    </w:p>
  </w:endnote>
  <w:endnote w:id="1">
    <w:p w14:paraId="15B4E92B" w14:textId="77777777" w:rsidR="00F647BF" w:rsidRPr="009D1CCE" w:rsidRDefault="00F647BF" w:rsidP="00F647BF">
      <w:pPr>
        <w:pStyle w:val="EndnoteText"/>
        <w:rPr>
          <w:rFonts w:ascii="Arial" w:hAnsi="Arial" w:cs="Arial"/>
          <w:sz w:val="16"/>
          <w:szCs w:val="16"/>
        </w:rPr>
      </w:pPr>
      <w:r w:rsidRPr="009D1CCE">
        <w:rPr>
          <w:rStyle w:val="EndnoteReference"/>
          <w:rFonts w:ascii="Arial" w:hAnsi="Arial" w:cs="Arial"/>
          <w:sz w:val="16"/>
          <w:szCs w:val="16"/>
        </w:rPr>
        <w:endnoteRef/>
      </w:r>
      <w:r w:rsidRPr="009D1CCE">
        <w:rPr>
          <w:rFonts w:ascii="Arial" w:hAnsi="Arial" w:cs="Arial"/>
          <w:sz w:val="16"/>
          <w:szCs w:val="16"/>
        </w:rPr>
        <w:t xml:space="preserve"> </w:t>
      </w:r>
      <w:hyperlink r:id="rId1" w:history="1">
        <w:r w:rsidRPr="009D1CCE">
          <w:rPr>
            <w:rStyle w:val="Hyperlink"/>
            <w:rFonts w:ascii="Arial" w:hAnsi="Arial" w:cs="Arial"/>
            <w:sz w:val="16"/>
            <w:szCs w:val="16"/>
          </w:rPr>
          <w:t>U.S. Equities Market Attributes July 2022 - Commentary | S&amp;P Dow Jones Indices (spglobal.com)</w:t>
        </w:r>
      </w:hyperlink>
    </w:p>
  </w:endnote>
  <w:endnote w:id="2">
    <w:p w14:paraId="5861C261" w14:textId="77777777" w:rsidR="00F647BF" w:rsidRPr="009D1CCE" w:rsidRDefault="00F647BF" w:rsidP="00F647BF">
      <w:pPr>
        <w:pStyle w:val="EndnoteText"/>
        <w:rPr>
          <w:rFonts w:ascii="Arial" w:hAnsi="Arial" w:cs="Arial"/>
          <w:sz w:val="16"/>
          <w:szCs w:val="16"/>
        </w:rPr>
      </w:pPr>
      <w:r w:rsidRPr="009D1CCE">
        <w:rPr>
          <w:rStyle w:val="EndnoteReference"/>
          <w:rFonts w:ascii="Arial" w:hAnsi="Arial" w:cs="Arial"/>
          <w:sz w:val="16"/>
          <w:szCs w:val="16"/>
        </w:rPr>
        <w:endnoteRef/>
      </w:r>
      <w:r w:rsidRPr="009D1CCE">
        <w:rPr>
          <w:rFonts w:ascii="Arial" w:hAnsi="Arial" w:cs="Arial"/>
          <w:sz w:val="16"/>
          <w:szCs w:val="16"/>
        </w:rPr>
        <w:t xml:space="preserve"> </w:t>
      </w:r>
      <w:hyperlink r:id="rId2" w:history="1">
        <w:r w:rsidRPr="009D1CCE">
          <w:rPr>
            <w:rStyle w:val="Hyperlink"/>
            <w:rFonts w:ascii="Arial" w:hAnsi="Arial" w:cs="Arial"/>
            <w:sz w:val="16"/>
            <w:szCs w:val="16"/>
          </w:rPr>
          <w:t>S&amp;P 500 Earnings Season Update: July 29, 2022 (factset.com)</w:t>
        </w:r>
      </w:hyperlink>
    </w:p>
  </w:endnote>
  <w:endnote w:id="3">
    <w:p w14:paraId="396AE013" w14:textId="77777777" w:rsidR="00F647BF" w:rsidRPr="009D1CCE" w:rsidRDefault="00F647BF" w:rsidP="00F647BF">
      <w:pPr>
        <w:pStyle w:val="EndnoteText"/>
        <w:rPr>
          <w:rFonts w:ascii="Arial" w:hAnsi="Arial" w:cs="Arial"/>
          <w:sz w:val="16"/>
          <w:szCs w:val="16"/>
        </w:rPr>
      </w:pPr>
      <w:r w:rsidRPr="009D1CCE">
        <w:rPr>
          <w:rStyle w:val="EndnoteReference"/>
          <w:rFonts w:ascii="Arial" w:hAnsi="Arial" w:cs="Arial"/>
          <w:sz w:val="16"/>
          <w:szCs w:val="16"/>
        </w:rPr>
        <w:endnoteRef/>
      </w:r>
      <w:r w:rsidRPr="009D1CCE">
        <w:rPr>
          <w:rFonts w:ascii="Arial" w:hAnsi="Arial" w:cs="Arial"/>
          <w:sz w:val="16"/>
          <w:szCs w:val="16"/>
        </w:rPr>
        <w:t xml:space="preserve"> </w:t>
      </w:r>
      <w:hyperlink r:id="rId3" w:history="1">
        <w:r w:rsidRPr="009D1CCE">
          <w:rPr>
            <w:rStyle w:val="Hyperlink"/>
            <w:rFonts w:ascii="Arial" w:hAnsi="Arial" w:cs="Arial"/>
            <w:sz w:val="16"/>
            <w:szCs w:val="16"/>
          </w:rPr>
          <w:t>Weekly fixed income commentary | 8/1/2022 | Nuveen</w:t>
        </w:r>
      </w:hyperlink>
    </w:p>
  </w:endnote>
  <w:endnote w:id="4">
    <w:p w14:paraId="542314C3" w14:textId="77777777" w:rsidR="00F647BF" w:rsidRPr="009D1CCE" w:rsidRDefault="00F647BF" w:rsidP="00F647BF">
      <w:pPr>
        <w:pStyle w:val="EndnoteText"/>
        <w:rPr>
          <w:rFonts w:ascii="Arial" w:hAnsi="Arial" w:cs="Arial"/>
          <w:sz w:val="16"/>
          <w:szCs w:val="16"/>
        </w:rPr>
      </w:pPr>
      <w:r w:rsidRPr="009D1CCE">
        <w:rPr>
          <w:rStyle w:val="EndnoteReference"/>
          <w:rFonts w:ascii="Arial" w:hAnsi="Arial" w:cs="Arial"/>
          <w:sz w:val="16"/>
          <w:szCs w:val="16"/>
        </w:rPr>
        <w:endnoteRef/>
      </w:r>
      <w:r w:rsidRPr="009D1CCE">
        <w:rPr>
          <w:rFonts w:ascii="Arial" w:hAnsi="Arial" w:cs="Arial"/>
          <w:sz w:val="16"/>
          <w:szCs w:val="16"/>
        </w:rPr>
        <w:t xml:space="preserve"> </w:t>
      </w:r>
      <w:hyperlink r:id="rId4" w:history="1">
        <w:r w:rsidRPr="009D1CCE">
          <w:rPr>
            <w:rStyle w:val="Hyperlink"/>
            <w:rFonts w:ascii="Arial" w:hAnsi="Arial" w:cs="Arial"/>
            <w:sz w:val="16"/>
            <w:szCs w:val="16"/>
          </w:rPr>
          <w:t>Weekly fixed income commentary | 8/1/2022 | Nuveen</w:t>
        </w:r>
      </w:hyperlink>
    </w:p>
  </w:endnote>
  <w:endnote w:id="5">
    <w:p w14:paraId="60E07134" w14:textId="77777777" w:rsidR="00F647BF" w:rsidRDefault="00F647BF" w:rsidP="00F647BF">
      <w:pPr>
        <w:pStyle w:val="EndnoteText"/>
        <w:rPr>
          <w:rStyle w:val="Hyperlink"/>
          <w:rFonts w:ascii="Arial" w:hAnsi="Arial" w:cs="Arial"/>
          <w:sz w:val="16"/>
          <w:szCs w:val="16"/>
        </w:rPr>
      </w:pPr>
      <w:r w:rsidRPr="009D1CCE">
        <w:rPr>
          <w:rStyle w:val="EndnoteReference"/>
          <w:rFonts w:ascii="Arial" w:hAnsi="Arial" w:cs="Arial"/>
          <w:sz w:val="16"/>
          <w:szCs w:val="16"/>
        </w:rPr>
        <w:endnoteRef/>
      </w:r>
      <w:r w:rsidRPr="009D1CCE">
        <w:rPr>
          <w:rFonts w:ascii="Arial" w:hAnsi="Arial" w:cs="Arial"/>
          <w:sz w:val="16"/>
          <w:szCs w:val="16"/>
        </w:rPr>
        <w:t xml:space="preserve"> </w:t>
      </w:r>
      <w:hyperlink r:id="rId5" w:history="1">
        <w:r w:rsidRPr="009D1CCE">
          <w:rPr>
            <w:rStyle w:val="Hyperlink"/>
            <w:rFonts w:ascii="Arial" w:hAnsi="Arial" w:cs="Arial"/>
            <w:sz w:val="16"/>
            <w:szCs w:val="16"/>
          </w:rPr>
          <w:t xml:space="preserve">After a Rough First Half, </w:t>
        </w:r>
        <w:proofErr w:type="gramStart"/>
        <w:r w:rsidRPr="009D1CCE">
          <w:rPr>
            <w:rStyle w:val="Hyperlink"/>
            <w:rFonts w:ascii="Arial" w:hAnsi="Arial" w:cs="Arial"/>
            <w:sz w:val="16"/>
            <w:szCs w:val="16"/>
          </w:rPr>
          <w:t>Publicly-Traded</w:t>
        </w:r>
        <w:proofErr w:type="gramEnd"/>
        <w:r w:rsidRPr="009D1CCE">
          <w:rPr>
            <w:rStyle w:val="Hyperlink"/>
            <w:rFonts w:ascii="Arial" w:hAnsi="Arial" w:cs="Arial"/>
            <w:sz w:val="16"/>
            <w:szCs w:val="16"/>
          </w:rPr>
          <w:t xml:space="preserve"> REITs Bounced Back in July (wealthmanagement.com)</w:t>
        </w:r>
      </w:hyperlink>
    </w:p>
    <w:p w14:paraId="1D63B51B" w14:textId="77777777" w:rsidR="00F647BF" w:rsidRDefault="00F647BF" w:rsidP="00F647BF">
      <w:pPr>
        <w:pStyle w:val="EndnoteText"/>
        <w:rPr>
          <w:rStyle w:val="Hyperlink"/>
          <w:rFonts w:ascii="Arial" w:hAnsi="Arial" w:cs="Arial"/>
          <w:sz w:val="16"/>
          <w:szCs w:val="16"/>
        </w:rPr>
      </w:pPr>
    </w:p>
    <w:p w14:paraId="15277ECA" w14:textId="77777777" w:rsidR="00F647BF" w:rsidRDefault="00F647BF" w:rsidP="00F647BF">
      <w:pPr>
        <w:pStyle w:val="EndnoteText"/>
        <w:rPr>
          <w:rStyle w:val="Hyperlink"/>
          <w:rFonts w:ascii="Arial" w:hAnsi="Arial" w:cs="Arial"/>
          <w:sz w:val="16"/>
          <w:szCs w:val="16"/>
        </w:rPr>
      </w:pPr>
    </w:p>
    <w:p w14:paraId="2737C4C8" w14:textId="52E771AF" w:rsidR="00F647BF" w:rsidRDefault="00F647BF" w:rsidP="00F647B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2884803"/>
      <w:docPartObj>
        <w:docPartGallery w:val="Page Numbers (Bottom of Page)"/>
        <w:docPartUnique/>
      </w:docPartObj>
    </w:sdtPr>
    <w:sdtEndPr>
      <w:rPr>
        <w:rStyle w:val="PageNumber"/>
      </w:rPr>
    </w:sdtEndPr>
    <w:sdtContent>
      <w:p w14:paraId="023C6741" w14:textId="78082073" w:rsidR="007C4C9B" w:rsidRDefault="007C4C9B" w:rsidP="008A7B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0E9FD" w14:textId="77777777" w:rsidR="005C1D70" w:rsidRDefault="005C1D70" w:rsidP="007C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767171" w:themeColor="background2" w:themeShade="80"/>
        <w:sz w:val="20"/>
      </w:rPr>
      <w:id w:val="1965231298"/>
      <w:docPartObj>
        <w:docPartGallery w:val="Page Numbers (Bottom of Page)"/>
        <w:docPartUnique/>
      </w:docPartObj>
    </w:sdtPr>
    <w:sdtEndPr>
      <w:rPr>
        <w:rStyle w:val="PageNumber"/>
      </w:rPr>
    </w:sdtEndPr>
    <w:sdtContent>
      <w:p w14:paraId="67D6EB2D" w14:textId="67F339F2" w:rsidR="007C4C9B" w:rsidRPr="007C4C9B" w:rsidRDefault="007C4C9B" w:rsidP="007C4C9B">
        <w:pPr>
          <w:pStyle w:val="Footer"/>
          <w:framePr w:wrap="none" w:vAnchor="text" w:hAnchor="page" w:x="11383" w:y="263"/>
          <w:rPr>
            <w:rStyle w:val="PageNumber"/>
            <w:rFonts w:ascii="Arial" w:hAnsi="Arial" w:cs="Arial"/>
            <w:color w:val="767171" w:themeColor="background2" w:themeShade="80"/>
            <w:sz w:val="20"/>
          </w:rPr>
        </w:pPr>
        <w:r w:rsidRPr="007C4C9B">
          <w:rPr>
            <w:rStyle w:val="PageNumber"/>
            <w:rFonts w:ascii="Arial" w:hAnsi="Arial" w:cs="Arial"/>
            <w:color w:val="767171" w:themeColor="background2" w:themeShade="80"/>
            <w:sz w:val="20"/>
          </w:rPr>
          <w:fldChar w:fldCharType="begin"/>
        </w:r>
        <w:r w:rsidRPr="007C4C9B">
          <w:rPr>
            <w:rStyle w:val="PageNumber"/>
            <w:rFonts w:ascii="Arial" w:hAnsi="Arial" w:cs="Arial"/>
            <w:color w:val="767171" w:themeColor="background2" w:themeShade="80"/>
            <w:sz w:val="20"/>
          </w:rPr>
          <w:instrText xml:space="preserve"> PAGE </w:instrText>
        </w:r>
        <w:r w:rsidRPr="007C4C9B">
          <w:rPr>
            <w:rStyle w:val="PageNumber"/>
            <w:rFonts w:ascii="Arial" w:hAnsi="Arial" w:cs="Arial"/>
            <w:color w:val="767171" w:themeColor="background2" w:themeShade="80"/>
            <w:sz w:val="20"/>
          </w:rPr>
          <w:fldChar w:fldCharType="separate"/>
        </w:r>
        <w:r w:rsidRPr="007C4C9B">
          <w:rPr>
            <w:rStyle w:val="PageNumber"/>
            <w:rFonts w:ascii="Arial" w:hAnsi="Arial" w:cs="Arial"/>
            <w:noProof/>
            <w:color w:val="767171" w:themeColor="background2" w:themeShade="80"/>
            <w:sz w:val="20"/>
          </w:rPr>
          <w:t>1</w:t>
        </w:r>
        <w:r w:rsidRPr="007C4C9B">
          <w:rPr>
            <w:rStyle w:val="PageNumber"/>
            <w:rFonts w:ascii="Arial" w:hAnsi="Arial" w:cs="Arial"/>
            <w:color w:val="767171" w:themeColor="background2" w:themeShade="80"/>
            <w:sz w:val="20"/>
          </w:rPr>
          <w:fldChar w:fldCharType="end"/>
        </w:r>
      </w:p>
    </w:sdtContent>
  </w:sdt>
  <w:p w14:paraId="61E730C0" w14:textId="5F0D08E4" w:rsidR="005C1D70" w:rsidRDefault="00FE3FBC" w:rsidP="007C4C9B">
    <w:pPr>
      <w:pStyle w:val="Footer"/>
      <w:ind w:right="360"/>
    </w:pPr>
    <w:r>
      <w:rPr>
        <w:noProof/>
      </w:rPr>
      <mc:AlternateContent>
        <mc:Choice Requires="wps">
          <w:drawing>
            <wp:anchor distT="0" distB="0" distL="114300" distR="114300" simplePos="0" relativeHeight="251651584" behindDoc="0" locked="0" layoutInCell="1" allowOverlap="1" wp14:anchorId="20DA12BF" wp14:editId="3B6E03F5">
              <wp:simplePos x="0" y="0"/>
              <wp:positionH relativeFrom="column">
                <wp:posOffset>-457200</wp:posOffset>
              </wp:positionH>
              <wp:positionV relativeFrom="paragraph">
                <wp:posOffset>79051</wp:posOffset>
              </wp:positionV>
              <wp:extent cx="2256817" cy="2527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28AD7A7A" w14:textId="388D1436" w:rsidR="00C4372C" w:rsidRDefault="00C4372C" w:rsidP="00C4372C">
                          <w:pPr>
                            <w:rPr>
                              <w:rFonts w:ascii="Arial" w:hAnsi="Arial" w:cs="Arial"/>
                              <w:color w:val="767171" w:themeColor="background2" w:themeShade="80"/>
                              <w:sz w:val="20"/>
                              <w:szCs w:val="36"/>
                            </w:rPr>
                          </w:pPr>
                          <w:r>
                            <w:rPr>
                              <w:rFonts w:ascii="Arial" w:hAnsi="Arial" w:cs="Arial"/>
                              <w:color w:val="767171" w:themeColor="background2" w:themeShade="80"/>
                              <w:sz w:val="20"/>
                              <w:szCs w:val="36"/>
                            </w:rPr>
                            <w:t xml:space="preserve">For </w:t>
                          </w:r>
                          <w:r w:rsidR="004E0827">
                            <w:rPr>
                              <w:rFonts w:ascii="Arial" w:hAnsi="Arial" w:cs="Arial"/>
                              <w:color w:val="767171" w:themeColor="background2" w:themeShade="80"/>
                              <w:sz w:val="20"/>
                              <w:szCs w:val="36"/>
                            </w:rPr>
                            <w:t>general public use</w:t>
                          </w:r>
                          <w:r>
                            <w:rPr>
                              <w:rFonts w:ascii="Arial" w:hAnsi="Arial" w:cs="Arial"/>
                              <w:color w:val="767171" w:themeColor="background2" w:themeShade="80"/>
                              <w:sz w:val="20"/>
                              <w:szCs w:val="36"/>
                            </w:rPr>
                            <w:t>.</w:t>
                          </w:r>
                        </w:p>
                        <w:p w14:paraId="2195781A" w14:textId="1281B14B" w:rsidR="007C4C9B" w:rsidRPr="005C1D70" w:rsidRDefault="007C4C9B" w:rsidP="007C4C9B">
                          <w:pPr>
                            <w:rPr>
                              <w:rFonts w:ascii="Arial" w:hAnsi="Arial" w:cs="Arial"/>
                              <w:color w:val="767171" w:themeColor="background2" w:themeShade="80"/>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A12BF" id="_x0000_t202" coordsize="21600,21600" o:spt="202" path="m,l,21600r21600,l21600,xe">
              <v:stroke joinstyle="miter"/>
              <v:path gradientshapeok="t" o:connecttype="rect"/>
            </v:shapetype>
            <v:shape id="Text Box 6" o:spid="_x0000_s1031" type="#_x0000_t202" style="position:absolute;margin-left:-36pt;margin-top:6.2pt;width:177.7pt;height:1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" filled="f" stroked="f" strokeweight=".5pt">
              <v:textbox inset="0">
                <w:txbxContent>
                  <w:p w14:paraId="28AD7A7A" w14:textId="388D1436" w:rsidR="00C4372C" w:rsidRDefault="00C4372C" w:rsidP="00C4372C">
                    <w:pPr>
                      <w:rPr>
                        <w:rFonts w:ascii="Arial" w:hAnsi="Arial" w:cs="Arial"/>
                        <w:color w:val="767171" w:themeColor="background2" w:themeShade="80"/>
                        <w:sz w:val="20"/>
                        <w:szCs w:val="36"/>
                      </w:rPr>
                    </w:pPr>
                    <w:r>
                      <w:rPr>
                        <w:rFonts w:ascii="Arial" w:hAnsi="Arial" w:cs="Arial"/>
                        <w:color w:val="767171" w:themeColor="background2" w:themeShade="80"/>
                        <w:sz w:val="20"/>
                        <w:szCs w:val="36"/>
                      </w:rPr>
                      <w:t xml:space="preserve">For </w:t>
                    </w:r>
                    <w:r w:rsidR="004E0827">
                      <w:rPr>
                        <w:rFonts w:ascii="Arial" w:hAnsi="Arial" w:cs="Arial"/>
                        <w:color w:val="767171" w:themeColor="background2" w:themeShade="80"/>
                        <w:sz w:val="20"/>
                        <w:szCs w:val="36"/>
                      </w:rPr>
                      <w:t>general public use</w:t>
                    </w:r>
                    <w:r>
                      <w:rPr>
                        <w:rFonts w:ascii="Arial" w:hAnsi="Arial" w:cs="Arial"/>
                        <w:color w:val="767171" w:themeColor="background2" w:themeShade="80"/>
                        <w:sz w:val="20"/>
                        <w:szCs w:val="36"/>
                      </w:rPr>
                      <w:t>.</w:t>
                    </w:r>
                  </w:p>
                  <w:p w14:paraId="2195781A" w14:textId="1281B14B" w:rsidR="007C4C9B" w:rsidRPr="005C1D70" w:rsidRDefault="007C4C9B" w:rsidP="007C4C9B">
                    <w:pPr>
                      <w:rPr>
                        <w:rFonts w:ascii="Arial" w:hAnsi="Arial" w:cs="Arial"/>
                        <w:color w:val="767171" w:themeColor="background2" w:themeShade="80"/>
                        <w:sz w:val="18"/>
                      </w:rPr>
                    </w:pPr>
                  </w:p>
                </w:txbxContent>
              </v:textbox>
            </v:shape>
          </w:pict>
        </mc:Fallback>
      </mc:AlternateContent>
    </w:r>
    <w:r w:rsidR="007C4C9B">
      <w:rPr>
        <w:noProof/>
      </w:rPr>
      <mc:AlternateContent>
        <mc:Choice Requires="wps">
          <w:drawing>
            <wp:anchor distT="0" distB="0" distL="114300" distR="114300" simplePos="0" relativeHeight="251655680" behindDoc="0" locked="0" layoutInCell="1" allowOverlap="1" wp14:anchorId="0387E4A2" wp14:editId="661C3BFE">
              <wp:simplePos x="0" y="0"/>
              <wp:positionH relativeFrom="column">
                <wp:posOffset>5386502</wp:posOffset>
              </wp:positionH>
              <wp:positionV relativeFrom="paragraph">
                <wp:posOffset>117475</wp:posOffset>
              </wp:positionV>
              <wp:extent cx="884826" cy="25273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03A43B5" w14:textId="6A5B0C00" w:rsidR="007C4C9B" w:rsidRPr="005C1D70" w:rsidRDefault="007C4C9B" w:rsidP="007C4C9B">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E4A2" id="Text Box 7" o:spid="_x0000_s1032" type="#_x0000_t202" style="position:absolute;margin-left:424.15pt;margin-top:9.25pt;width:69.65pt;height:1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" filled="f" stroked="f" strokeweight=".5pt">
              <v:textbox inset="0,,0">
                <w:txbxContent>
                  <w:p w14:paraId="403A43B5" w14:textId="6A5B0C00" w:rsidR="007C4C9B" w:rsidRPr="005C1D70" w:rsidRDefault="007C4C9B" w:rsidP="007C4C9B">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v:textbox>
            </v:shape>
          </w:pict>
        </mc:Fallback>
      </mc:AlternateContent>
    </w:r>
    <w:r w:rsidR="007C4C9B">
      <w:rPr>
        <w:noProof/>
      </w:rPr>
      <mc:AlternateContent>
        <mc:Choice Requires="wps">
          <w:drawing>
            <wp:anchor distT="0" distB="0" distL="114300" distR="114300" simplePos="0" relativeHeight="251649536" behindDoc="0" locked="0" layoutInCell="1" allowOverlap="1" wp14:anchorId="4CF63696" wp14:editId="0209D354">
              <wp:simplePos x="0" y="0"/>
              <wp:positionH relativeFrom="margin">
                <wp:posOffset>-463550</wp:posOffset>
              </wp:positionH>
              <wp:positionV relativeFrom="paragraph">
                <wp:posOffset>-31750</wp:posOffset>
              </wp:positionV>
              <wp:extent cx="6858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B52BC0" id="Straight Connector 5" o:spid="_x0000_s1026" style="position:absolute;z-index:251649536;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" strokecolor="#a5a5a5 [2092]"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767171" w:themeColor="background2" w:themeShade="80"/>
        <w:sz w:val="20"/>
      </w:rPr>
      <w:id w:val="-1014764887"/>
      <w:docPartObj>
        <w:docPartGallery w:val="Page Numbers (Bottom of Page)"/>
        <w:docPartUnique/>
      </w:docPartObj>
    </w:sdtPr>
    <w:sdtEndPr>
      <w:rPr>
        <w:rStyle w:val="PageNumber"/>
      </w:rPr>
    </w:sdtEndPr>
    <w:sdtContent>
      <w:p w14:paraId="4E33B781" w14:textId="77777777" w:rsidR="00996FBD" w:rsidRPr="007C4C9B" w:rsidRDefault="00996FBD" w:rsidP="00996FBD">
        <w:pPr>
          <w:pStyle w:val="Footer"/>
          <w:framePr w:wrap="none" w:vAnchor="text" w:hAnchor="page" w:x="11383" w:y="248"/>
          <w:rPr>
            <w:rStyle w:val="PageNumber"/>
            <w:rFonts w:ascii="Arial" w:hAnsi="Arial" w:cs="Arial"/>
            <w:color w:val="767171" w:themeColor="background2" w:themeShade="80"/>
            <w:sz w:val="20"/>
          </w:rPr>
        </w:pPr>
        <w:r w:rsidRPr="007C4C9B">
          <w:rPr>
            <w:rStyle w:val="PageNumber"/>
            <w:rFonts w:ascii="Arial" w:hAnsi="Arial" w:cs="Arial"/>
            <w:color w:val="767171" w:themeColor="background2" w:themeShade="80"/>
            <w:sz w:val="20"/>
          </w:rPr>
          <w:fldChar w:fldCharType="begin"/>
        </w:r>
        <w:r w:rsidRPr="007C4C9B">
          <w:rPr>
            <w:rStyle w:val="PageNumber"/>
            <w:rFonts w:ascii="Arial" w:hAnsi="Arial" w:cs="Arial"/>
            <w:color w:val="767171" w:themeColor="background2" w:themeShade="80"/>
            <w:sz w:val="20"/>
          </w:rPr>
          <w:instrText xml:space="preserve"> PAGE </w:instrText>
        </w:r>
        <w:r w:rsidRPr="007C4C9B">
          <w:rPr>
            <w:rStyle w:val="PageNumber"/>
            <w:rFonts w:ascii="Arial" w:hAnsi="Arial" w:cs="Arial"/>
            <w:color w:val="767171" w:themeColor="background2" w:themeShade="80"/>
            <w:sz w:val="20"/>
          </w:rPr>
          <w:fldChar w:fldCharType="separate"/>
        </w:r>
        <w:r>
          <w:rPr>
            <w:rStyle w:val="PageNumber"/>
            <w:rFonts w:ascii="Arial" w:hAnsi="Arial" w:cs="Arial"/>
            <w:color w:val="767171" w:themeColor="background2" w:themeShade="80"/>
            <w:sz w:val="20"/>
          </w:rPr>
          <w:t>2</w:t>
        </w:r>
        <w:r w:rsidRPr="007C4C9B">
          <w:rPr>
            <w:rStyle w:val="PageNumber"/>
            <w:rFonts w:ascii="Arial" w:hAnsi="Arial" w:cs="Arial"/>
            <w:color w:val="767171" w:themeColor="background2" w:themeShade="80"/>
            <w:sz w:val="20"/>
          </w:rPr>
          <w:fldChar w:fldCharType="end"/>
        </w:r>
      </w:p>
    </w:sdtContent>
  </w:sdt>
  <w:p w14:paraId="6F2265DA" w14:textId="306EA383" w:rsidR="00996FBD" w:rsidRDefault="00FE3FBC" w:rsidP="00996FBD">
    <w:pPr>
      <w:pStyle w:val="Footer"/>
    </w:pPr>
    <w:r w:rsidRPr="00996FBD">
      <w:rPr>
        <w:noProof/>
      </w:rPr>
      <mc:AlternateContent>
        <mc:Choice Requires="wps">
          <w:drawing>
            <wp:anchor distT="0" distB="0" distL="114300" distR="114300" simplePos="0" relativeHeight="251659776" behindDoc="0" locked="0" layoutInCell="1" allowOverlap="1" wp14:anchorId="2EFAE302" wp14:editId="454B6BE1">
              <wp:simplePos x="0" y="0"/>
              <wp:positionH relativeFrom="column">
                <wp:posOffset>-447472</wp:posOffset>
              </wp:positionH>
              <wp:positionV relativeFrom="paragraph">
                <wp:posOffset>79051</wp:posOffset>
              </wp:positionV>
              <wp:extent cx="2315183" cy="2527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75AA59D3" w14:textId="328B384C" w:rsidR="00C4372C" w:rsidRDefault="004E0827" w:rsidP="00996FBD">
                          <w:pPr>
                            <w:rPr>
                              <w:rFonts w:ascii="Arial" w:hAnsi="Arial" w:cs="Arial"/>
                              <w:color w:val="767171" w:themeColor="background2" w:themeShade="80"/>
                              <w:sz w:val="20"/>
                              <w:szCs w:val="36"/>
                            </w:rPr>
                          </w:pPr>
                          <w:r>
                            <w:rPr>
                              <w:rFonts w:ascii="Arial" w:hAnsi="Arial" w:cs="Arial"/>
                              <w:color w:val="767171" w:themeColor="background2" w:themeShade="80"/>
                              <w:sz w:val="20"/>
                              <w:szCs w:val="36"/>
                            </w:rPr>
                            <w:t>For general public use.</w:t>
                          </w:r>
                        </w:p>
                        <w:p w14:paraId="2D485B03" w14:textId="12983EB5" w:rsidR="00996FBD" w:rsidRPr="005C1D70" w:rsidRDefault="00FE3FBC" w:rsidP="00996FBD">
                          <w:pPr>
                            <w:rPr>
                              <w:rFonts w:ascii="Arial" w:hAnsi="Arial" w:cs="Arial"/>
                              <w:color w:val="767171" w:themeColor="background2" w:themeShade="80"/>
                              <w:sz w:val="18"/>
                            </w:rPr>
                          </w:pPr>
                          <w:r>
                            <w:rPr>
                              <w:rFonts w:ascii="Arial" w:hAnsi="Arial" w:cs="Arial"/>
                              <w:color w:val="767171" w:themeColor="background2" w:themeShade="80"/>
                              <w:sz w:val="20"/>
                              <w:szCs w:val="36"/>
                            </w:rPr>
                            <w: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AE302" id="_x0000_t202" coordsize="21600,21600" o:spt="202" path="m,l,21600r21600,l21600,xe">
              <v:stroke joinstyle="miter"/>
              <v:path gradientshapeok="t" o:connecttype="rect"/>
            </v:shapetype>
            <v:shape id="Text Box 13" o:spid="_x0000_s1035" type="#_x0000_t202" style="position:absolute;margin-left:-35.25pt;margin-top:6.2pt;width:182.3pt;height:1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" filled="f" stroked="f" strokeweight=".5pt">
              <v:textbox inset="0">
                <w:txbxContent>
                  <w:p w14:paraId="75AA59D3" w14:textId="328B384C" w:rsidR="00C4372C" w:rsidRDefault="004E0827" w:rsidP="00996FBD">
                    <w:pPr>
                      <w:rPr>
                        <w:rFonts w:ascii="Arial" w:hAnsi="Arial" w:cs="Arial"/>
                        <w:color w:val="767171" w:themeColor="background2" w:themeShade="80"/>
                        <w:sz w:val="20"/>
                        <w:szCs w:val="36"/>
                      </w:rPr>
                    </w:pPr>
                    <w:r>
                      <w:rPr>
                        <w:rFonts w:ascii="Arial" w:hAnsi="Arial" w:cs="Arial"/>
                        <w:color w:val="767171" w:themeColor="background2" w:themeShade="80"/>
                        <w:sz w:val="20"/>
                        <w:szCs w:val="36"/>
                      </w:rPr>
                      <w:t>For general public use.</w:t>
                    </w:r>
                  </w:p>
                  <w:p w14:paraId="2D485B03" w14:textId="12983EB5" w:rsidR="00996FBD" w:rsidRPr="005C1D70" w:rsidRDefault="00FE3FBC" w:rsidP="00996FBD">
                    <w:pPr>
                      <w:rPr>
                        <w:rFonts w:ascii="Arial" w:hAnsi="Arial" w:cs="Arial"/>
                        <w:color w:val="767171" w:themeColor="background2" w:themeShade="80"/>
                        <w:sz w:val="18"/>
                      </w:rPr>
                    </w:pPr>
                    <w:r>
                      <w:rPr>
                        <w:rFonts w:ascii="Arial" w:hAnsi="Arial" w:cs="Arial"/>
                        <w:color w:val="767171" w:themeColor="background2" w:themeShade="80"/>
                        <w:sz w:val="20"/>
                        <w:szCs w:val="36"/>
                      </w:rPr>
                      <w:t>.</w:t>
                    </w:r>
                  </w:p>
                </w:txbxContent>
              </v:textbox>
            </v:shape>
          </w:pict>
        </mc:Fallback>
      </mc:AlternateContent>
    </w:r>
    <w:r w:rsidR="00996FBD" w:rsidRPr="00996FBD">
      <w:t xml:space="preserve"> </w:t>
    </w:r>
    <w:r w:rsidR="00996FBD" w:rsidRPr="00996FBD">
      <w:rPr>
        <w:noProof/>
      </w:rPr>
      <mc:AlternateContent>
        <mc:Choice Requires="wps">
          <w:drawing>
            <wp:anchor distT="0" distB="0" distL="114300" distR="114300" simplePos="0" relativeHeight="251657728" behindDoc="0" locked="0" layoutInCell="1" allowOverlap="1" wp14:anchorId="397A5959" wp14:editId="20A9D11E">
              <wp:simplePos x="0" y="0"/>
              <wp:positionH relativeFrom="margin">
                <wp:posOffset>-454660</wp:posOffset>
              </wp:positionH>
              <wp:positionV relativeFrom="paragraph">
                <wp:posOffset>-37465</wp:posOffset>
              </wp:positionV>
              <wp:extent cx="685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ABCA4B" id="Straight Connector 12" o:spid="_x0000_s1026" style="position:absolute;z-index:251657728;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I/x98H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00996FBD" w:rsidRPr="00996FBD">
      <w:rPr>
        <w:noProof/>
      </w:rPr>
      <mc:AlternateContent>
        <mc:Choice Requires="wps">
          <w:drawing>
            <wp:anchor distT="0" distB="0" distL="114300" distR="114300" simplePos="0" relativeHeight="251661824" behindDoc="0" locked="0" layoutInCell="1" allowOverlap="1" wp14:anchorId="59467632" wp14:editId="56C905B0">
              <wp:simplePos x="0" y="0"/>
              <wp:positionH relativeFrom="column">
                <wp:posOffset>5395162</wp:posOffset>
              </wp:positionH>
              <wp:positionV relativeFrom="paragraph">
                <wp:posOffset>112111</wp:posOffset>
              </wp:positionV>
              <wp:extent cx="884826" cy="25273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1AE2049" w14:textId="77777777" w:rsidR="00996FBD" w:rsidRPr="005C1D70" w:rsidRDefault="00996FBD" w:rsidP="00996FBD">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7632" id="Text Box 14" o:spid="_x0000_s1036" type="#_x0000_t202" style="position:absolute;margin-left:424.8pt;margin-top:8.85pt;width:69.65pt;height:19.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" filled="f" stroked="f" strokeweight=".5pt">
              <v:textbox inset="0,,0">
                <w:txbxContent>
                  <w:p w14:paraId="41AE2049" w14:textId="77777777" w:rsidR="00996FBD" w:rsidRPr="005C1D70" w:rsidRDefault="00996FBD" w:rsidP="00996FBD">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B0950" w14:textId="77777777" w:rsidR="00D74969" w:rsidRDefault="00D74969" w:rsidP="005C1D70">
      <w:pPr>
        <w:spacing w:after="0" w:line="240" w:lineRule="auto"/>
      </w:pPr>
      <w:r>
        <w:separator/>
      </w:r>
    </w:p>
  </w:footnote>
  <w:footnote w:type="continuationSeparator" w:id="0">
    <w:p w14:paraId="5FB697DE" w14:textId="77777777" w:rsidR="00D74969" w:rsidRDefault="00D74969" w:rsidP="005C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5968" w14:textId="32616DEF" w:rsidR="005C1D70" w:rsidRDefault="00996FBD" w:rsidP="00996FBD">
    <w:pPr>
      <w:pStyle w:val="Header"/>
      <w:ind w:left="-720"/>
    </w:pPr>
    <w:r>
      <w:rPr>
        <w:noProof/>
      </w:rPr>
      <mc:AlternateContent>
        <mc:Choice Requires="wps">
          <w:drawing>
            <wp:anchor distT="0" distB="0" distL="114300" distR="114300" simplePos="0" relativeHeight="251679744" behindDoc="0" locked="0" layoutInCell="1" allowOverlap="1" wp14:anchorId="6EE42EAB" wp14:editId="4B24C1D8">
              <wp:simplePos x="0" y="0"/>
              <wp:positionH relativeFrom="margin">
                <wp:posOffset>-460375</wp:posOffset>
              </wp:positionH>
              <wp:positionV relativeFrom="paragraph">
                <wp:posOffset>247839</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CB3837" id="Straight Connector 15"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GvsLAO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0E64" w14:textId="77777777" w:rsidR="0037202D" w:rsidRDefault="0037202D" w:rsidP="0037202D">
    <w:pPr>
      <w:pStyle w:val="Header"/>
    </w:pPr>
    <w:r w:rsidRPr="00996FBD">
      <w:rPr>
        <w:noProof/>
      </w:rPr>
      <mc:AlternateContent>
        <mc:Choice Requires="wps">
          <w:drawing>
            <wp:anchor distT="0" distB="0" distL="114300" distR="114300" simplePos="0" relativeHeight="251683840" behindDoc="0" locked="0" layoutInCell="1" allowOverlap="1" wp14:anchorId="69C3EC04" wp14:editId="1C423F8E">
              <wp:simplePos x="0" y="0"/>
              <wp:positionH relativeFrom="column">
                <wp:posOffset>-453225</wp:posOffset>
              </wp:positionH>
              <wp:positionV relativeFrom="paragraph">
                <wp:posOffset>155050</wp:posOffset>
              </wp:positionV>
              <wp:extent cx="1144987" cy="27034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44987" cy="270345"/>
                      </a:xfrm>
                      <a:prstGeom prst="rect">
                        <a:avLst/>
                      </a:prstGeom>
                      <a:noFill/>
                      <a:ln w="6350">
                        <a:noFill/>
                      </a:ln>
                    </wps:spPr>
                    <wps:txbx>
                      <w:txbxContent>
                        <w:p w14:paraId="69C0C563" w14:textId="7321B971" w:rsidR="0037202D" w:rsidRPr="0037202D" w:rsidRDefault="002C51AE" w:rsidP="0037202D">
                          <w:pPr>
                            <w:rPr>
                              <w:rFonts w:ascii="Arial" w:hAnsi="Arial" w:cs="Arial"/>
                              <w:sz w:val="18"/>
                            </w:rPr>
                          </w:pPr>
                          <w:r>
                            <w:rPr>
                              <w:rFonts w:ascii="Arial" w:hAnsi="Arial" w:cs="Arial"/>
                            </w:rPr>
                            <w:t>Ju</w:t>
                          </w:r>
                          <w:r w:rsidR="00DB1AA0">
                            <w:rPr>
                              <w:rFonts w:ascii="Arial" w:hAnsi="Arial" w:cs="Arial"/>
                            </w:rPr>
                            <w:t>ly</w:t>
                          </w:r>
                          <w:r w:rsidR="0037202D">
                            <w:rPr>
                              <w:rFonts w:ascii="Arial" w:hAnsi="Arial" w:cs="Arial"/>
                            </w:rPr>
                            <w:t xml:space="preserve"> 2</w:t>
                          </w:r>
                          <w:r w:rsidR="00D31089">
                            <w:rPr>
                              <w:rFonts w:ascii="Arial" w:hAnsi="Arial" w:cs="Arial"/>
                            </w:rPr>
                            <w:t>02</w:t>
                          </w:r>
                          <w:r w:rsidR="00F27D3C">
                            <w:rPr>
                              <w:rFonts w:ascii="Arial" w:hAnsi="Arial" w:cs="Arial"/>
                            </w:rPr>
                            <w:t>2</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3EC04" id="_x0000_t202" coordsize="21600,21600" o:spt="202" path="m,l,21600r21600,l21600,xe">
              <v:stroke joinstyle="miter"/>
              <v:path gradientshapeok="t" o:connecttype="rect"/>
            </v:shapetype>
            <v:shape id="Text Box 10" o:spid="_x0000_s1033" type="#_x0000_t202" style="position:absolute;margin-left:-35.7pt;margin-top:12.2pt;width:90.15pt;height:2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" filled="f" stroked="f" strokeweight=".5pt">
              <v:textbox inset="0">
                <w:txbxContent>
                  <w:p w14:paraId="69C0C563" w14:textId="7321B971" w:rsidR="0037202D" w:rsidRPr="0037202D" w:rsidRDefault="002C51AE" w:rsidP="0037202D">
                    <w:pPr>
                      <w:rPr>
                        <w:rFonts w:ascii="Arial" w:hAnsi="Arial" w:cs="Arial"/>
                        <w:sz w:val="18"/>
                      </w:rPr>
                    </w:pPr>
                    <w:r>
                      <w:rPr>
                        <w:rFonts w:ascii="Arial" w:hAnsi="Arial" w:cs="Arial"/>
                      </w:rPr>
                      <w:t>Ju</w:t>
                    </w:r>
                    <w:r w:rsidR="00DB1AA0">
                      <w:rPr>
                        <w:rFonts w:ascii="Arial" w:hAnsi="Arial" w:cs="Arial"/>
                      </w:rPr>
                      <w:t>ly</w:t>
                    </w:r>
                    <w:r w:rsidR="0037202D">
                      <w:rPr>
                        <w:rFonts w:ascii="Arial" w:hAnsi="Arial" w:cs="Arial"/>
                      </w:rPr>
                      <w:t xml:space="preserve"> 2</w:t>
                    </w:r>
                    <w:r w:rsidR="00D31089">
                      <w:rPr>
                        <w:rFonts w:ascii="Arial" w:hAnsi="Arial" w:cs="Arial"/>
                      </w:rPr>
                      <w:t>02</w:t>
                    </w:r>
                    <w:r w:rsidR="00F27D3C">
                      <w:rPr>
                        <w:rFonts w:ascii="Arial" w:hAnsi="Arial" w:cs="Arial"/>
                      </w:rPr>
                      <w:t>2</w:t>
                    </w:r>
                  </w:p>
                </w:txbxContent>
              </v:textbox>
            </v:shape>
          </w:pict>
        </mc:Fallback>
      </mc:AlternateContent>
    </w:r>
    <w:r w:rsidRPr="00996FBD">
      <w:rPr>
        <w:noProof/>
      </w:rPr>
      <mc:AlternateContent>
        <mc:Choice Requires="wps">
          <w:drawing>
            <wp:anchor distT="0" distB="0" distL="114300" distR="114300" simplePos="0" relativeHeight="251682816" behindDoc="0" locked="0" layoutInCell="1" allowOverlap="1" wp14:anchorId="348CE5DB" wp14:editId="1C5AD009">
              <wp:simplePos x="0" y="0"/>
              <wp:positionH relativeFrom="column">
                <wp:posOffset>-451413</wp:posOffset>
              </wp:positionH>
              <wp:positionV relativeFrom="paragraph">
                <wp:posOffset>457200</wp:posOffset>
              </wp:positionV>
              <wp:extent cx="4805045" cy="755819"/>
              <wp:effectExtent l="0" t="0" r="0" b="0"/>
              <wp:wrapNone/>
              <wp:docPr id="9" name="Text Box 9"/>
              <wp:cNvGraphicFramePr/>
              <a:graphic xmlns:a="http://schemas.openxmlformats.org/drawingml/2006/main">
                <a:graphicData uri="http://schemas.microsoft.com/office/word/2010/wordprocessingShape">
                  <wps:wsp>
                    <wps:cNvSpPr txBox="1"/>
                    <wps:spPr>
                      <a:xfrm>
                        <a:off x="0" y="0"/>
                        <a:ext cx="4805045" cy="755819"/>
                      </a:xfrm>
                      <a:prstGeom prst="rect">
                        <a:avLst/>
                      </a:prstGeom>
                      <a:noFill/>
                      <a:ln w="6350">
                        <a:noFill/>
                      </a:ln>
                    </wps:spPr>
                    <wps:txbx>
                      <w:txbxContent>
                        <w:p w14:paraId="69E25840" w14:textId="77777777" w:rsidR="0037202D" w:rsidRPr="00B5385F" w:rsidRDefault="0037202D" w:rsidP="0037202D">
                          <w:pPr>
                            <w:pStyle w:val="Style1"/>
                            <w:rPr>
                              <w:color w:val="007EBB"/>
                              <w:sz w:val="48"/>
                            </w:rPr>
                          </w:pPr>
                          <w:r w:rsidRPr="00B5385F">
                            <w:rPr>
                              <w:color w:val="007EBB"/>
                              <w:sz w:val="28"/>
                            </w:rPr>
                            <w:t>MONTHLY</w:t>
                          </w:r>
                          <w:r w:rsidRPr="00B5385F">
                            <w:rPr>
                              <w:color w:val="007EBB"/>
                              <w:sz w:val="36"/>
                            </w:rPr>
                            <w:t xml:space="preserve"> </w:t>
                          </w:r>
                        </w:p>
                        <w:p w14:paraId="2B60730E" w14:textId="77777777" w:rsidR="0037202D" w:rsidRPr="00C91248" w:rsidRDefault="0037202D" w:rsidP="0037202D">
                          <w:pPr>
                            <w:pStyle w:val="Heading1"/>
                            <w:rPr>
                              <w:sz w:val="64"/>
                              <w:szCs w:val="64"/>
                            </w:rPr>
                          </w:pPr>
                          <w:r w:rsidRPr="00C91248">
                            <w:rPr>
                              <w:sz w:val="64"/>
                              <w:szCs w:val="64"/>
                            </w:rPr>
                            <w:t xml:space="preserve">Market Review     </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CE5DB" id="Text Box 9" o:spid="_x0000_s1034" type="#_x0000_t202" style="position:absolute;margin-left:-35.55pt;margin-top:36pt;width:378.35pt;height: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" filled="f" stroked="f" strokeweight=".5pt">
              <v:textbox inset="0">
                <w:txbxContent>
                  <w:p w14:paraId="69E25840" w14:textId="77777777" w:rsidR="0037202D" w:rsidRPr="00B5385F" w:rsidRDefault="0037202D" w:rsidP="0037202D">
                    <w:pPr>
                      <w:pStyle w:val="Style1"/>
                      <w:rPr>
                        <w:color w:val="007EBB"/>
                        <w:sz w:val="48"/>
                      </w:rPr>
                    </w:pPr>
                    <w:r w:rsidRPr="00B5385F">
                      <w:rPr>
                        <w:color w:val="007EBB"/>
                        <w:sz w:val="28"/>
                      </w:rPr>
                      <w:t>MONTHLY</w:t>
                    </w:r>
                    <w:r w:rsidRPr="00B5385F">
                      <w:rPr>
                        <w:color w:val="007EBB"/>
                        <w:sz w:val="36"/>
                      </w:rPr>
                      <w:t xml:space="preserve"> </w:t>
                    </w:r>
                  </w:p>
                  <w:p w14:paraId="2B60730E" w14:textId="77777777" w:rsidR="0037202D" w:rsidRPr="00C91248" w:rsidRDefault="0037202D" w:rsidP="0037202D">
                    <w:pPr>
                      <w:pStyle w:val="Heading1"/>
                      <w:rPr>
                        <w:sz w:val="64"/>
                        <w:szCs w:val="64"/>
                      </w:rPr>
                    </w:pPr>
                    <w:r w:rsidRPr="00C91248">
                      <w:rPr>
                        <w:sz w:val="64"/>
                        <w:szCs w:val="64"/>
                      </w:rPr>
                      <w:t xml:space="preserve">Market Review     </w:t>
                    </w:r>
                  </w:p>
                </w:txbxContent>
              </v:textbox>
            </v:shape>
          </w:pict>
        </mc:Fallback>
      </mc:AlternateContent>
    </w:r>
    <w:r w:rsidRPr="00996FBD">
      <w:rPr>
        <w:noProof/>
      </w:rPr>
      <mc:AlternateContent>
        <mc:Choice Requires="wps">
          <w:drawing>
            <wp:anchor distT="0" distB="0" distL="114300" distR="114300" simplePos="0" relativeHeight="251681792" behindDoc="0" locked="0" layoutInCell="1" allowOverlap="1" wp14:anchorId="62EBBC10" wp14:editId="089AA701">
              <wp:simplePos x="0" y="0"/>
              <wp:positionH relativeFrom="margin">
                <wp:posOffset>-904240</wp:posOffset>
              </wp:positionH>
              <wp:positionV relativeFrom="paragraph">
                <wp:posOffset>1250315</wp:posOffset>
              </wp:positionV>
              <wp:extent cx="7772400" cy="36195"/>
              <wp:effectExtent l="0" t="0" r="0" b="1905"/>
              <wp:wrapNone/>
              <wp:docPr id="8" name="Rectangle 8"/>
              <wp:cNvGraphicFramePr/>
              <a:graphic xmlns:a="http://schemas.openxmlformats.org/drawingml/2006/main">
                <a:graphicData uri="http://schemas.microsoft.com/office/word/2010/wordprocessingShape">
                  <wps:wsp>
                    <wps:cNvSpPr/>
                    <wps:spPr>
                      <a:xfrm flipV="1">
                        <a:off x="0" y="0"/>
                        <a:ext cx="7772400" cy="36195"/>
                      </a:xfrm>
                      <a:prstGeom prst="rect">
                        <a:avLst/>
                      </a:prstGeom>
                      <a:solidFill>
                        <a:srgbClr val="004C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5AB45" id="Rectangle 8" o:spid="_x0000_s1026" style="position:absolute;margin-left:-71.2pt;margin-top:98.45pt;width:612pt;height:2.85pt;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" fillcolor="#004c7e" stroked="f" strokeweight="1pt">
              <w10:wrap anchorx="margin"/>
            </v:rect>
          </w:pict>
        </mc:Fallback>
      </mc:AlternateContent>
    </w:r>
  </w:p>
  <w:p w14:paraId="512E40EC" w14:textId="77777777" w:rsidR="0037202D" w:rsidRPr="0037202D" w:rsidRDefault="0037202D" w:rsidP="00372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472"/>
    <w:multiLevelType w:val="multilevel"/>
    <w:tmpl w:val="F66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4"/>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AwMDY2NzE2MjYxMjZX0lEKTi0uzszPAykwrwUAEGlufywAAAA="/>
    <w:docVar w:name="APWAFNeedToUniquify" w:val="true"/>
    <w:docVar w:name="APWAFVersion" w:val="5.0"/>
  </w:docVars>
  <w:rsids>
    <w:rsidRoot w:val="005C1D70"/>
    <w:rsid w:val="000019A6"/>
    <w:rsid w:val="0000260F"/>
    <w:rsid w:val="00005BBE"/>
    <w:rsid w:val="0000769F"/>
    <w:rsid w:val="00007A7E"/>
    <w:rsid w:val="00010B74"/>
    <w:rsid w:val="000112B7"/>
    <w:rsid w:val="00011A53"/>
    <w:rsid w:val="00011C41"/>
    <w:rsid w:val="000131D4"/>
    <w:rsid w:val="00015BBE"/>
    <w:rsid w:val="00016117"/>
    <w:rsid w:val="00016A13"/>
    <w:rsid w:val="00016B9E"/>
    <w:rsid w:val="000206C0"/>
    <w:rsid w:val="00023599"/>
    <w:rsid w:val="000240EF"/>
    <w:rsid w:val="000242CF"/>
    <w:rsid w:val="000242F4"/>
    <w:rsid w:val="00024439"/>
    <w:rsid w:val="00025503"/>
    <w:rsid w:val="00025D22"/>
    <w:rsid w:val="0003017C"/>
    <w:rsid w:val="00030ECA"/>
    <w:rsid w:val="0003376F"/>
    <w:rsid w:val="0003567F"/>
    <w:rsid w:val="00036154"/>
    <w:rsid w:val="000371DC"/>
    <w:rsid w:val="00041620"/>
    <w:rsid w:val="00042E23"/>
    <w:rsid w:val="000430A6"/>
    <w:rsid w:val="00045057"/>
    <w:rsid w:val="00051F5A"/>
    <w:rsid w:val="000525E5"/>
    <w:rsid w:val="00053DFF"/>
    <w:rsid w:val="00053EFC"/>
    <w:rsid w:val="00054C1C"/>
    <w:rsid w:val="00066B89"/>
    <w:rsid w:val="00066F4E"/>
    <w:rsid w:val="00067D72"/>
    <w:rsid w:val="000724FE"/>
    <w:rsid w:val="00074F9A"/>
    <w:rsid w:val="0007798A"/>
    <w:rsid w:val="000802EB"/>
    <w:rsid w:val="00081251"/>
    <w:rsid w:val="00081973"/>
    <w:rsid w:val="00082B41"/>
    <w:rsid w:val="00090399"/>
    <w:rsid w:val="0009147A"/>
    <w:rsid w:val="0009187A"/>
    <w:rsid w:val="00091B63"/>
    <w:rsid w:val="000929C4"/>
    <w:rsid w:val="00092E4D"/>
    <w:rsid w:val="00094A2D"/>
    <w:rsid w:val="000966B3"/>
    <w:rsid w:val="00096F2C"/>
    <w:rsid w:val="000A165A"/>
    <w:rsid w:val="000A2108"/>
    <w:rsid w:val="000A2ED9"/>
    <w:rsid w:val="000A5A3C"/>
    <w:rsid w:val="000A6046"/>
    <w:rsid w:val="000A72E5"/>
    <w:rsid w:val="000A7488"/>
    <w:rsid w:val="000A7E8D"/>
    <w:rsid w:val="000B0791"/>
    <w:rsid w:val="000B134F"/>
    <w:rsid w:val="000B19DD"/>
    <w:rsid w:val="000B1D36"/>
    <w:rsid w:val="000B2834"/>
    <w:rsid w:val="000B3F75"/>
    <w:rsid w:val="000B4C97"/>
    <w:rsid w:val="000B540D"/>
    <w:rsid w:val="000C049C"/>
    <w:rsid w:val="000C06AC"/>
    <w:rsid w:val="000C1030"/>
    <w:rsid w:val="000C1F1A"/>
    <w:rsid w:val="000C24C5"/>
    <w:rsid w:val="000C4AB5"/>
    <w:rsid w:val="000C4D71"/>
    <w:rsid w:val="000C698E"/>
    <w:rsid w:val="000C739F"/>
    <w:rsid w:val="000D0736"/>
    <w:rsid w:val="000D23E8"/>
    <w:rsid w:val="000D25A4"/>
    <w:rsid w:val="000D2EE5"/>
    <w:rsid w:val="000D4110"/>
    <w:rsid w:val="000D4E54"/>
    <w:rsid w:val="000D5016"/>
    <w:rsid w:val="000D5AF4"/>
    <w:rsid w:val="000D72DA"/>
    <w:rsid w:val="000D76AB"/>
    <w:rsid w:val="000E02C0"/>
    <w:rsid w:val="000E10AE"/>
    <w:rsid w:val="000E31F0"/>
    <w:rsid w:val="000E345D"/>
    <w:rsid w:val="000E36C6"/>
    <w:rsid w:val="000E4CDF"/>
    <w:rsid w:val="000E5F02"/>
    <w:rsid w:val="000E6691"/>
    <w:rsid w:val="000E72AF"/>
    <w:rsid w:val="000F051F"/>
    <w:rsid w:val="000F158F"/>
    <w:rsid w:val="000F4301"/>
    <w:rsid w:val="000F5D04"/>
    <w:rsid w:val="000F6A69"/>
    <w:rsid w:val="000F79F4"/>
    <w:rsid w:val="000F7DAD"/>
    <w:rsid w:val="00100FC7"/>
    <w:rsid w:val="0010194E"/>
    <w:rsid w:val="00101B62"/>
    <w:rsid w:val="00101E87"/>
    <w:rsid w:val="001054EB"/>
    <w:rsid w:val="001061F5"/>
    <w:rsid w:val="0010785C"/>
    <w:rsid w:val="0011194D"/>
    <w:rsid w:val="00111BBD"/>
    <w:rsid w:val="00112281"/>
    <w:rsid w:val="00112B9A"/>
    <w:rsid w:val="001142B7"/>
    <w:rsid w:val="00114CA7"/>
    <w:rsid w:val="00117FBC"/>
    <w:rsid w:val="00120228"/>
    <w:rsid w:val="0012078C"/>
    <w:rsid w:val="00120D18"/>
    <w:rsid w:val="001220AD"/>
    <w:rsid w:val="00126D79"/>
    <w:rsid w:val="001318F1"/>
    <w:rsid w:val="00133681"/>
    <w:rsid w:val="00135076"/>
    <w:rsid w:val="00135AE9"/>
    <w:rsid w:val="0013691A"/>
    <w:rsid w:val="00137F05"/>
    <w:rsid w:val="00140B3E"/>
    <w:rsid w:val="001437D6"/>
    <w:rsid w:val="0014506F"/>
    <w:rsid w:val="0015043F"/>
    <w:rsid w:val="00150B19"/>
    <w:rsid w:val="00151D69"/>
    <w:rsid w:val="001535ED"/>
    <w:rsid w:val="001649B9"/>
    <w:rsid w:val="00170A3E"/>
    <w:rsid w:val="00174514"/>
    <w:rsid w:val="00174990"/>
    <w:rsid w:val="00175576"/>
    <w:rsid w:val="00175F3F"/>
    <w:rsid w:val="00176A6B"/>
    <w:rsid w:val="001779A9"/>
    <w:rsid w:val="00184874"/>
    <w:rsid w:val="001859E9"/>
    <w:rsid w:val="00186470"/>
    <w:rsid w:val="001867A3"/>
    <w:rsid w:val="00192D1F"/>
    <w:rsid w:val="00192E8F"/>
    <w:rsid w:val="00194352"/>
    <w:rsid w:val="00194BC0"/>
    <w:rsid w:val="0019560C"/>
    <w:rsid w:val="00196BEC"/>
    <w:rsid w:val="00196F86"/>
    <w:rsid w:val="001A07B6"/>
    <w:rsid w:val="001A1863"/>
    <w:rsid w:val="001A18BD"/>
    <w:rsid w:val="001A3B06"/>
    <w:rsid w:val="001A42D1"/>
    <w:rsid w:val="001A57E4"/>
    <w:rsid w:val="001A6654"/>
    <w:rsid w:val="001B0603"/>
    <w:rsid w:val="001B0CA8"/>
    <w:rsid w:val="001B1060"/>
    <w:rsid w:val="001B109A"/>
    <w:rsid w:val="001B2683"/>
    <w:rsid w:val="001B37C3"/>
    <w:rsid w:val="001B3C5E"/>
    <w:rsid w:val="001B49C8"/>
    <w:rsid w:val="001B5EFB"/>
    <w:rsid w:val="001B62EA"/>
    <w:rsid w:val="001B6B17"/>
    <w:rsid w:val="001B6F67"/>
    <w:rsid w:val="001C0C09"/>
    <w:rsid w:val="001C2718"/>
    <w:rsid w:val="001C403B"/>
    <w:rsid w:val="001D058D"/>
    <w:rsid w:val="001D0F27"/>
    <w:rsid w:val="001D1C5C"/>
    <w:rsid w:val="001D28D0"/>
    <w:rsid w:val="001D29C3"/>
    <w:rsid w:val="001D2EDE"/>
    <w:rsid w:val="001D41CD"/>
    <w:rsid w:val="001D528D"/>
    <w:rsid w:val="001D5914"/>
    <w:rsid w:val="001D5AEF"/>
    <w:rsid w:val="001D5D2F"/>
    <w:rsid w:val="001D6A03"/>
    <w:rsid w:val="001D6BC2"/>
    <w:rsid w:val="001D7A8E"/>
    <w:rsid w:val="001D7C01"/>
    <w:rsid w:val="001E0BE1"/>
    <w:rsid w:val="001E0E05"/>
    <w:rsid w:val="001E1073"/>
    <w:rsid w:val="001E1180"/>
    <w:rsid w:val="001E21E7"/>
    <w:rsid w:val="001E3BDA"/>
    <w:rsid w:val="001E3C1A"/>
    <w:rsid w:val="001E4456"/>
    <w:rsid w:val="001E4E23"/>
    <w:rsid w:val="001E4FD6"/>
    <w:rsid w:val="001E581D"/>
    <w:rsid w:val="001E5CB7"/>
    <w:rsid w:val="001E71B3"/>
    <w:rsid w:val="001F06B2"/>
    <w:rsid w:val="001F0ADB"/>
    <w:rsid w:val="001F2BF8"/>
    <w:rsid w:val="001F5138"/>
    <w:rsid w:val="001F51C9"/>
    <w:rsid w:val="001F565A"/>
    <w:rsid w:val="002005D2"/>
    <w:rsid w:val="002037A8"/>
    <w:rsid w:val="002048C9"/>
    <w:rsid w:val="00205777"/>
    <w:rsid w:val="002077B7"/>
    <w:rsid w:val="00207A30"/>
    <w:rsid w:val="00210021"/>
    <w:rsid w:val="00213810"/>
    <w:rsid w:val="00213950"/>
    <w:rsid w:val="00215800"/>
    <w:rsid w:val="00216342"/>
    <w:rsid w:val="00217E04"/>
    <w:rsid w:val="00220328"/>
    <w:rsid w:val="00220666"/>
    <w:rsid w:val="00220E56"/>
    <w:rsid w:val="00221026"/>
    <w:rsid w:val="002215DC"/>
    <w:rsid w:val="002220C2"/>
    <w:rsid w:val="00225891"/>
    <w:rsid w:val="00225D97"/>
    <w:rsid w:val="002276A3"/>
    <w:rsid w:val="00227DDC"/>
    <w:rsid w:val="00230680"/>
    <w:rsid w:val="00232B67"/>
    <w:rsid w:val="00232B8E"/>
    <w:rsid w:val="00235DA5"/>
    <w:rsid w:val="00236820"/>
    <w:rsid w:val="002401F6"/>
    <w:rsid w:val="00240C3F"/>
    <w:rsid w:val="002417A8"/>
    <w:rsid w:val="00241BAE"/>
    <w:rsid w:val="002420DC"/>
    <w:rsid w:val="00243C06"/>
    <w:rsid w:val="002453BF"/>
    <w:rsid w:val="00245B44"/>
    <w:rsid w:val="002464B2"/>
    <w:rsid w:val="0024750F"/>
    <w:rsid w:val="00247852"/>
    <w:rsid w:val="002518A8"/>
    <w:rsid w:val="00255E94"/>
    <w:rsid w:val="00255EB5"/>
    <w:rsid w:val="00256320"/>
    <w:rsid w:val="00256F12"/>
    <w:rsid w:val="002578AC"/>
    <w:rsid w:val="0026106D"/>
    <w:rsid w:val="00261B59"/>
    <w:rsid w:val="00262F13"/>
    <w:rsid w:val="0026361E"/>
    <w:rsid w:val="00272AF5"/>
    <w:rsid w:val="0027410D"/>
    <w:rsid w:val="0027433B"/>
    <w:rsid w:val="00274534"/>
    <w:rsid w:val="00275EBE"/>
    <w:rsid w:val="00280A79"/>
    <w:rsid w:val="00281338"/>
    <w:rsid w:val="00281444"/>
    <w:rsid w:val="002815AB"/>
    <w:rsid w:val="00282274"/>
    <w:rsid w:val="00282A2B"/>
    <w:rsid w:val="00283686"/>
    <w:rsid w:val="00283BA4"/>
    <w:rsid w:val="00284562"/>
    <w:rsid w:val="00284AA4"/>
    <w:rsid w:val="002859EB"/>
    <w:rsid w:val="00290B7F"/>
    <w:rsid w:val="00291044"/>
    <w:rsid w:val="0029313A"/>
    <w:rsid w:val="00293B4E"/>
    <w:rsid w:val="00296183"/>
    <w:rsid w:val="002973E5"/>
    <w:rsid w:val="00297C2F"/>
    <w:rsid w:val="00297CBC"/>
    <w:rsid w:val="00297E82"/>
    <w:rsid w:val="002A08F8"/>
    <w:rsid w:val="002A1561"/>
    <w:rsid w:val="002A235D"/>
    <w:rsid w:val="002A381C"/>
    <w:rsid w:val="002A461C"/>
    <w:rsid w:val="002A773F"/>
    <w:rsid w:val="002B05C8"/>
    <w:rsid w:val="002C02AF"/>
    <w:rsid w:val="002C0565"/>
    <w:rsid w:val="002C51AE"/>
    <w:rsid w:val="002D05E4"/>
    <w:rsid w:val="002D22E8"/>
    <w:rsid w:val="002D2320"/>
    <w:rsid w:val="002D37C9"/>
    <w:rsid w:val="002D4F15"/>
    <w:rsid w:val="002D50C3"/>
    <w:rsid w:val="002D792A"/>
    <w:rsid w:val="002D7DC5"/>
    <w:rsid w:val="002E0A7B"/>
    <w:rsid w:val="002E23C4"/>
    <w:rsid w:val="002E433C"/>
    <w:rsid w:val="002E4898"/>
    <w:rsid w:val="002E508A"/>
    <w:rsid w:val="002E50EA"/>
    <w:rsid w:val="002E5BCA"/>
    <w:rsid w:val="002E5D44"/>
    <w:rsid w:val="002E6AFD"/>
    <w:rsid w:val="002E6E8A"/>
    <w:rsid w:val="002E7719"/>
    <w:rsid w:val="002F07C5"/>
    <w:rsid w:val="002F16B9"/>
    <w:rsid w:val="002F1EC0"/>
    <w:rsid w:val="002F2B29"/>
    <w:rsid w:val="002F5CB2"/>
    <w:rsid w:val="002F79F4"/>
    <w:rsid w:val="002F7F11"/>
    <w:rsid w:val="00300023"/>
    <w:rsid w:val="00300BBA"/>
    <w:rsid w:val="003014F1"/>
    <w:rsid w:val="00303294"/>
    <w:rsid w:val="0030348F"/>
    <w:rsid w:val="00304FF2"/>
    <w:rsid w:val="00305296"/>
    <w:rsid w:val="00306374"/>
    <w:rsid w:val="00311CC1"/>
    <w:rsid w:val="003127F9"/>
    <w:rsid w:val="0031343F"/>
    <w:rsid w:val="00314D80"/>
    <w:rsid w:val="00317921"/>
    <w:rsid w:val="00322025"/>
    <w:rsid w:val="003220F7"/>
    <w:rsid w:val="003231DB"/>
    <w:rsid w:val="0032479E"/>
    <w:rsid w:val="00325856"/>
    <w:rsid w:val="003268E6"/>
    <w:rsid w:val="00331075"/>
    <w:rsid w:val="0033118A"/>
    <w:rsid w:val="00331690"/>
    <w:rsid w:val="00332C29"/>
    <w:rsid w:val="00340787"/>
    <w:rsid w:val="003435A3"/>
    <w:rsid w:val="00343802"/>
    <w:rsid w:val="00343C2A"/>
    <w:rsid w:val="00345399"/>
    <w:rsid w:val="00346527"/>
    <w:rsid w:val="00352A50"/>
    <w:rsid w:val="0035334B"/>
    <w:rsid w:val="00353E32"/>
    <w:rsid w:val="00355722"/>
    <w:rsid w:val="00355CA4"/>
    <w:rsid w:val="00362D4D"/>
    <w:rsid w:val="0037202D"/>
    <w:rsid w:val="00372C2F"/>
    <w:rsid w:val="003730E1"/>
    <w:rsid w:val="0037448D"/>
    <w:rsid w:val="003762FC"/>
    <w:rsid w:val="0037726A"/>
    <w:rsid w:val="00381EB7"/>
    <w:rsid w:val="0038317A"/>
    <w:rsid w:val="003835CC"/>
    <w:rsid w:val="00383AF2"/>
    <w:rsid w:val="00383F8F"/>
    <w:rsid w:val="00385C7C"/>
    <w:rsid w:val="0039028E"/>
    <w:rsid w:val="00391512"/>
    <w:rsid w:val="00393334"/>
    <w:rsid w:val="0039373B"/>
    <w:rsid w:val="003948A6"/>
    <w:rsid w:val="00396976"/>
    <w:rsid w:val="003A027C"/>
    <w:rsid w:val="003A04E0"/>
    <w:rsid w:val="003A0A0D"/>
    <w:rsid w:val="003A17E9"/>
    <w:rsid w:val="003A1C0B"/>
    <w:rsid w:val="003A27B5"/>
    <w:rsid w:val="003A2C48"/>
    <w:rsid w:val="003A312A"/>
    <w:rsid w:val="003A46FB"/>
    <w:rsid w:val="003A4D86"/>
    <w:rsid w:val="003A67D5"/>
    <w:rsid w:val="003A729F"/>
    <w:rsid w:val="003A796C"/>
    <w:rsid w:val="003A79ED"/>
    <w:rsid w:val="003A7A06"/>
    <w:rsid w:val="003B0F64"/>
    <w:rsid w:val="003B3C6E"/>
    <w:rsid w:val="003B3EEE"/>
    <w:rsid w:val="003B7A38"/>
    <w:rsid w:val="003C1DEF"/>
    <w:rsid w:val="003C1EE4"/>
    <w:rsid w:val="003C297B"/>
    <w:rsid w:val="003C2C63"/>
    <w:rsid w:val="003C438F"/>
    <w:rsid w:val="003C4C11"/>
    <w:rsid w:val="003C547B"/>
    <w:rsid w:val="003C5B6F"/>
    <w:rsid w:val="003D09BD"/>
    <w:rsid w:val="003D0E2B"/>
    <w:rsid w:val="003D27ED"/>
    <w:rsid w:val="003D535D"/>
    <w:rsid w:val="003D596A"/>
    <w:rsid w:val="003D6A52"/>
    <w:rsid w:val="003D7552"/>
    <w:rsid w:val="003E2BF1"/>
    <w:rsid w:val="003E3FAC"/>
    <w:rsid w:val="003E4294"/>
    <w:rsid w:val="003E4429"/>
    <w:rsid w:val="003E5A99"/>
    <w:rsid w:val="003E6762"/>
    <w:rsid w:val="003F0BE4"/>
    <w:rsid w:val="003F0F82"/>
    <w:rsid w:val="003F1491"/>
    <w:rsid w:val="003F1C77"/>
    <w:rsid w:val="003F4056"/>
    <w:rsid w:val="003F4A96"/>
    <w:rsid w:val="003F588B"/>
    <w:rsid w:val="003F5A3A"/>
    <w:rsid w:val="003F6944"/>
    <w:rsid w:val="003F79DC"/>
    <w:rsid w:val="004014FA"/>
    <w:rsid w:val="0040163B"/>
    <w:rsid w:val="00401A1E"/>
    <w:rsid w:val="00401BDF"/>
    <w:rsid w:val="0040298E"/>
    <w:rsid w:val="00402D25"/>
    <w:rsid w:val="00403DE6"/>
    <w:rsid w:val="00407F04"/>
    <w:rsid w:val="00411835"/>
    <w:rsid w:val="00411EF3"/>
    <w:rsid w:val="004136D4"/>
    <w:rsid w:val="00414035"/>
    <w:rsid w:val="0041727F"/>
    <w:rsid w:val="00420FAA"/>
    <w:rsid w:val="0042112C"/>
    <w:rsid w:val="00421EC2"/>
    <w:rsid w:val="00423E43"/>
    <w:rsid w:val="004249BD"/>
    <w:rsid w:val="00425080"/>
    <w:rsid w:val="004258D8"/>
    <w:rsid w:val="00426CDA"/>
    <w:rsid w:val="004336C8"/>
    <w:rsid w:val="00433734"/>
    <w:rsid w:val="0043463E"/>
    <w:rsid w:val="004347D4"/>
    <w:rsid w:val="00434F44"/>
    <w:rsid w:val="00435663"/>
    <w:rsid w:val="00436641"/>
    <w:rsid w:val="00437DD6"/>
    <w:rsid w:val="004405AE"/>
    <w:rsid w:val="00444C8B"/>
    <w:rsid w:val="00445982"/>
    <w:rsid w:val="004462DD"/>
    <w:rsid w:val="0045128F"/>
    <w:rsid w:val="00451340"/>
    <w:rsid w:val="00451DFE"/>
    <w:rsid w:val="00452980"/>
    <w:rsid w:val="00453D4F"/>
    <w:rsid w:val="00455CB2"/>
    <w:rsid w:val="004561AF"/>
    <w:rsid w:val="00457A7D"/>
    <w:rsid w:val="0046043A"/>
    <w:rsid w:val="004605E1"/>
    <w:rsid w:val="00461662"/>
    <w:rsid w:val="004640AC"/>
    <w:rsid w:val="0046418E"/>
    <w:rsid w:val="00464C6A"/>
    <w:rsid w:val="004668E2"/>
    <w:rsid w:val="00467285"/>
    <w:rsid w:val="0047167F"/>
    <w:rsid w:val="00471693"/>
    <w:rsid w:val="00471EAF"/>
    <w:rsid w:val="00474668"/>
    <w:rsid w:val="004757BC"/>
    <w:rsid w:val="00476763"/>
    <w:rsid w:val="00476B90"/>
    <w:rsid w:val="004776A7"/>
    <w:rsid w:val="00481713"/>
    <w:rsid w:val="00481C51"/>
    <w:rsid w:val="00483CFF"/>
    <w:rsid w:val="00485A5F"/>
    <w:rsid w:val="00486B2A"/>
    <w:rsid w:val="00487F21"/>
    <w:rsid w:val="004916A4"/>
    <w:rsid w:val="00495C87"/>
    <w:rsid w:val="004977A7"/>
    <w:rsid w:val="004A030F"/>
    <w:rsid w:val="004A3AEE"/>
    <w:rsid w:val="004A43C7"/>
    <w:rsid w:val="004A6C80"/>
    <w:rsid w:val="004A7165"/>
    <w:rsid w:val="004A735B"/>
    <w:rsid w:val="004A749F"/>
    <w:rsid w:val="004A74EF"/>
    <w:rsid w:val="004B03CA"/>
    <w:rsid w:val="004B0A8D"/>
    <w:rsid w:val="004B0ADF"/>
    <w:rsid w:val="004B1C5E"/>
    <w:rsid w:val="004B22C1"/>
    <w:rsid w:val="004B24FB"/>
    <w:rsid w:val="004B2CC1"/>
    <w:rsid w:val="004B42F6"/>
    <w:rsid w:val="004B5584"/>
    <w:rsid w:val="004B5EEA"/>
    <w:rsid w:val="004B60F8"/>
    <w:rsid w:val="004C0E8E"/>
    <w:rsid w:val="004C135F"/>
    <w:rsid w:val="004C18B4"/>
    <w:rsid w:val="004C3DB9"/>
    <w:rsid w:val="004C6215"/>
    <w:rsid w:val="004C6631"/>
    <w:rsid w:val="004C6AD9"/>
    <w:rsid w:val="004C7188"/>
    <w:rsid w:val="004C74F0"/>
    <w:rsid w:val="004D2C75"/>
    <w:rsid w:val="004D3F7D"/>
    <w:rsid w:val="004D6A89"/>
    <w:rsid w:val="004E0827"/>
    <w:rsid w:val="004E12DB"/>
    <w:rsid w:val="004E2AC7"/>
    <w:rsid w:val="004E4EF8"/>
    <w:rsid w:val="004E5C3D"/>
    <w:rsid w:val="004E5C84"/>
    <w:rsid w:val="004E5FDF"/>
    <w:rsid w:val="004F5735"/>
    <w:rsid w:val="004F6998"/>
    <w:rsid w:val="004F6CA8"/>
    <w:rsid w:val="0050017C"/>
    <w:rsid w:val="00500609"/>
    <w:rsid w:val="00501369"/>
    <w:rsid w:val="00501EFD"/>
    <w:rsid w:val="0050273F"/>
    <w:rsid w:val="00503C3F"/>
    <w:rsid w:val="00504937"/>
    <w:rsid w:val="00504FC5"/>
    <w:rsid w:val="00510054"/>
    <w:rsid w:val="0051008E"/>
    <w:rsid w:val="005104C8"/>
    <w:rsid w:val="00510A35"/>
    <w:rsid w:val="0051127D"/>
    <w:rsid w:val="00514F61"/>
    <w:rsid w:val="00515103"/>
    <w:rsid w:val="005160A3"/>
    <w:rsid w:val="005176DB"/>
    <w:rsid w:val="00521245"/>
    <w:rsid w:val="00521DD7"/>
    <w:rsid w:val="005225D2"/>
    <w:rsid w:val="00523048"/>
    <w:rsid w:val="00523F4E"/>
    <w:rsid w:val="00525FA1"/>
    <w:rsid w:val="00527A5A"/>
    <w:rsid w:val="00527E67"/>
    <w:rsid w:val="00532333"/>
    <w:rsid w:val="00533654"/>
    <w:rsid w:val="00535CAA"/>
    <w:rsid w:val="00536193"/>
    <w:rsid w:val="00536EEF"/>
    <w:rsid w:val="00537536"/>
    <w:rsid w:val="0054164A"/>
    <w:rsid w:val="00541736"/>
    <w:rsid w:val="00541786"/>
    <w:rsid w:val="00541DDB"/>
    <w:rsid w:val="005454B3"/>
    <w:rsid w:val="00546DD9"/>
    <w:rsid w:val="00550B80"/>
    <w:rsid w:val="0055294F"/>
    <w:rsid w:val="00552ACA"/>
    <w:rsid w:val="00554BC7"/>
    <w:rsid w:val="00554E92"/>
    <w:rsid w:val="005552BF"/>
    <w:rsid w:val="00555656"/>
    <w:rsid w:val="00557EBE"/>
    <w:rsid w:val="0056005B"/>
    <w:rsid w:val="00561007"/>
    <w:rsid w:val="00561137"/>
    <w:rsid w:val="00561B0D"/>
    <w:rsid w:val="00561E14"/>
    <w:rsid w:val="005621F0"/>
    <w:rsid w:val="005640E2"/>
    <w:rsid w:val="005663CA"/>
    <w:rsid w:val="0056648E"/>
    <w:rsid w:val="00566FC0"/>
    <w:rsid w:val="00567CF8"/>
    <w:rsid w:val="0057095D"/>
    <w:rsid w:val="00572E2F"/>
    <w:rsid w:val="0057379A"/>
    <w:rsid w:val="00574C57"/>
    <w:rsid w:val="00576DFC"/>
    <w:rsid w:val="00576E85"/>
    <w:rsid w:val="00580A18"/>
    <w:rsid w:val="00582453"/>
    <w:rsid w:val="00584795"/>
    <w:rsid w:val="00585E1F"/>
    <w:rsid w:val="00586647"/>
    <w:rsid w:val="00586DD3"/>
    <w:rsid w:val="0058747A"/>
    <w:rsid w:val="0059046B"/>
    <w:rsid w:val="005924F3"/>
    <w:rsid w:val="00593371"/>
    <w:rsid w:val="005937AF"/>
    <w:rsid w:val="00594224"/>
    <w:rsid w:val="00594C3B"/>
    <w:rsid w:val="0059542D"/>
    <w:rsid w:val="00595576"/>
    <w:rsid w:val="00595F4D"/>
    <w:rsid w:val="00597D1D"/>
    <w:rsid w:val="005A0696"/>
    <w:rsid w:val="005A1AAB"/>
    <w:rsid w:val="005A2B96"/>
    <w:rsid w:val="005A2D4F"/>
    <w:rsid w:val="005A4567"/>
    <w:rsid w:val="005A46BF"/>
    <w:rsid w:val="005B1057"/>
    <w:rsid w:val="005B29B8"/>
    <w:rsid w:val="005B325C"/>
    <w:rsid w:val="005B3ACE"/>
    <w:rsid w:val="005B4A52"/>
    <w:rsid w:val="005B650E"/>
    <w:rsid w:val="005B7F7F"/>
    <w:rsid w:val="005C1D70"/>
    <w:rsid w:val="005C20D4"/>
    <w:rsid w:val="005C270D"/>
    <w:rsid w:val="005C2C8A"/>
    <w:rsid w:val="005C2EE4"/>
    <w:rsid w:val="005C5BDE"/>
    <w:rsid w:val="005C62A8"/>
    <w:rsid w:val="005C6E3A"/>
    <w:rsid w:val="005C75FC"/>
    <w:rsid w:val="005D1638"/>
    <w:rsid w:val="005D1A45"/>
    <w:rsid w:val="005D2815"/>
    <w:rsid w:val="005D4C65"/>
    <w:rsid w:val="005D4CBE"/>
    <w:rsid w:val="005D65A6"/>
    <w:rsid w:val="005E124F"/>
    <w:rsid w:val="005E4FA5"/>
    <w:rsid w:val="005E555C"/>
    <w:rsid w:val="005E70C5"/>
    <w:rsid w:val="005F1BF0"/>
    <w:rsid w:val="005F2A8F"/>
    <w:rsid w:val="005F3604"/>
    <w:rsid w:val="005F5466"/>
    <w:rsid w:val="005F6076"/>
    <w:rsid w:val="005F6431"/>
    <w:rsid w:val="005F7CCF"/>
    <w:rsid w:val="006013B0"/>
    <w:rsid w:val="00602E16"/>
    <w:rsid w:val="00606134"/>
    <w:rsid w:val="006074D8"/>
    <w:rsid w:val="006128A4"/>
    <w:rsid w:val="006144FA"/>
    <w:rsid w:val="0061454E"/>
    <w:rsid w:val="0061471B"/>
    <w:rsid w:val="00616FAF"/>
    <w:rsid w:val="00620AF4"/>
    <w:rsid w:val="00622141"/>
    <w:rsid w:val="00622359"/>
    <w:rsid w:val="006223C9"/>
    <w:rsid w:val="00623071"/>
    <w:rsid w:val="0062502E"/>
    <w:rsid w:val="00630922"/>
    <w:rsid w:val="006337D1"/>
    <w:rsid w:val="006338E9"/>
    <w:rsid w:val="00634785"/>
    <w:rsid w:val="006360E6"/>
    <w:rsid w:val="006366A0"/>
    <w:rsid w:val="00636D2B"/>
    <w:rsid w:val="00637581"/>
    <w:rsid w:val="006401E3"/>
    <w:rsid w:val="00640B9F"/>
    <w:rsid w:val="0064183D"/>
    <w:rsid w:val="00641B11"/>
    <w:rsid w:val="00641B69"/>
    <w:rsid w:val="00641FCD"/>
    <w:rsid w:val="006423FF"/>
    <w:rsid w:val="0064424E"/>
    <w:rsid w:val="00646489"/>
    <w:rsid w:val="0064650A"/>
    <w:rsid w:val="006470C7"/>
    <w:rsid w:val="00651939"/>
    <w:rsid w:val="00651B0E"/>
    <w:rsid w:val="0065238F"/>
    <w:rsid w:val="006535C8"/>
    <w:rsid w:val="006538F7"/>
    <w:rsid w:val="0065425E"/>
    <w:rsid w:val="00656CB6"/>
    <w:rsid w:val="00660074"/>
    <w:rsid w:val="006616B0"/>
    <w:rsid w:val="006635E3"/>
    <w:rsid w:val="006643EF"/>
    <w:rsid w:val="00664988"/>
    <w:rsid w:val="00665ABB"/>
    <w:rsid w:val="00665D68"/>
    <w:rsid w:val="00666FF2"/>
    <w:rsid w:val="00670D46"/>
    <w:rsid w:val="00671507"/>
    <w:rsid w:val="006737B4"/>
    <w:rsid w:val="006749B4"/>
    <w:rsid w:val="00674AF5"/>
    <w:rsid w:val="006752AA"/>
    <w:rsid w:val="00676E6E"/>
    <w:rsid w:val="006804F0"/>
    <w:rsid w:val="00681DA6"/>
    <w:rsid w:val="006820A3"/>
    <w:rsid w:val="00683301"/>
    <w:rsid w:val="0068595A"/>
    <w:rsid w:val="00690464"/>
    <w:rsid w:val="00690736"/>
    <w:rsid w:val="006915B4"/>
    <w:rsid w:val="00691AB3"/>
    <w:rsid w:val="00692783"/>
    <w:rsid w:val="006944EE"/>
    <w:rsid w:val="0069530B"/>
    <w:rsid w:val="0069631F"/>
    <w:rsid w:val="00697668"/>
    <w:rsid w:val="00697AC1"/>
    <w:rsid w:val="00697E2A"/>
    <w:rsid w:val="006A00C8"/>
    <w:rsid w:val="006A425E"/>
    <w:rsid w:val="006A43D1"/>
    <w:rsid w:val="006A5FC9"/>
    <w:rsid w:val="006A6909"/>
    <w:rsid w:val="006A7C3D"/>
    <w:rsid w:val="006B0231"/>
    <w:rsid w:val="006B1745"/>
    <w:rsid w:val="006B3DC2"/>
    <w:rsid w:val="006B6B0B"/>
    <w:rsid w:val="006B78E2"/>
    <w:rsid w:val="006C1445"/>
    <w:rsid w:val="006C208B"/>
    <w:rsid w:val="006C2C33"/>
    <w:rsid w:val="006C463E"/>
    <w:rsid w:val="006C4C98"/>
    <w:rsid w:val="006C539B"/>
    <w:rsid w:val="006C55D5"/>
    <w:rsid w:val="006C579B"/>
    <w:rsid w:val="006C7478"/>
    <w:rsid w:val="006D1378"/>
    <w:rsid w:val="006D13B7"/>
    <w:rsid w:val="006D4B07"/>
    <w:rsid w:val="006D61A3"/>
    <w:rsid w:val="006E2D22"/>
    <w:rsid w:val="006E36B5"/>
    <w:rsid w:val="006E3D49"/>
    <w:rsid w:val="006E6949"/>
    <w:rsid w:val="006E764B"/>
    <w:rsid w:val="006F1067"/>
    <w:rsid w:val="006F2A5E"/>
    <w:rsid w:val="006F3415"/>
    <w:rsid w:val="006F357D"/>
    <w:rsid w:val="006F403D"/>
    <w:rsid w:val="006F40B1"/>
    <w:rsid w:val="006F48FD"/>
    <w:rsid w:val="00700187"/>
    <w:rsid w:val="00700517"/>
    <w:rsid w:val="00700C30"/>
    <w:rsid w:val="00700D75"/>
    <w:rsid w:val="00701764"/>
    <w:rsid w:val="00703EC9"/>
    <w:rsid w:val="00704B97"/>
    <w:rsid w:val="007063C7"/>
    <w:rsid w:val="007073E7"/>
    <w:rsid w:val="00710280"/>
    <w:rsid w:val="00710C98"/>
    <w:rsid w:val="00711668"/>
    <w:rsid w:val="00715270"/>
    <w:rsid w:val="00720171"/>
    <w:rsid w:val="0072079E"/>
    <w:rsid w:val="00722C6E"/>
    <w:rsid w:val="00722C75"/>
    <w:rsid w:val="00724C85"/>
    <w:rsid w:val="00724DC6"/>
    <w:rsid w:val="00727CEF"/>
    <w:rsid w:val="00733C0C"/>
    <w:rsid w:val="00733C2D"/>
    <w:rsid w:val="00737093"/>
    <w:rsid w:val="00740729"/>
    <w:rsid w:val="00741A0D"/>
    <w:rsid w:val="007442BC"/>
    <w:rsid w:val="00744D61"/>
    <w:rsid w:val="00745370"/>
    <w:rsid w:val="00746D7E"/>
    <w:rsid w:val="00750D5E"/>
    <w:rsid w:val="00751264"/>
    <w:rsid w:val="007516B5"/>
    <w:rsid w:val="007524D0"/>
    <w:rsid w:val="00752B4A"/>
    <w:rsid w:val="0075322D"/>
    <w:rsid w:val="007560A3"/>
    <w:rsid w:val="007610E9"/>
    <w:rsid w:val="00761634"/>
    <w:rsid w:val="00761B2E"/>
    <w:rsid w:val="0076247F"/>
    <w:rsid w:val="00762C7F"/>
    <w:rsid w:val="00763276"/>
    <w:rsid w:val="007640FB"/>
    <w:rsid w:val="00764874"/>
    <w:rsid w:val="00765643"/>
    <w:rsid w:val="00767B5B"/>
    <w:rsid w:val="00771C67"/>
    <w:rsid w:val="0077322A"/>
    <w:rsid w:val="007769AC"/>
    <w:rsid w:val="00776E82"/>
    <w:rsid w:val="00777A0C"/>
    <w:rsid w:val="00777E17"/>
    <w:rsid w:val="00780DBF"/>
    <w:rsid w:val="0078287C"/>
    <w:rsid w:val="0078400B"/>
    <w:rsid w:val="007848F1"/>
    <w:rsid w:val="0078542B"/>
    <w:rsid w:val="0078608E"/>
    <w:rsid w:val="00786B29"/>
    <w:rsid w:val="00790095"/>
    <w:rsid w:val="00792FEE"/>
    <w:rsid w:val="00793F36"/>
    <w:rsid w:val="007944DE"/>
    <w:rsid w:val="00795A19"/>
    <w:rsid w:val="00795AA4"/>
    <w:rsid w:val="0079616F"/>
    <w:rsid w:val="007A0D7F"/>
    <w:rsid w:val="007A1033"/>
    <w:rsid w:val="007A1072"/>
    <w:rsid w:val="007A1139"/>
    <w:rsid w:val="007A14BB"/>
    <w:rsid w:val="007A1E85"/>
    <w:rsid w:val="007B054B"/>
    <w:rsid w:val="007B2299"/>
    <w:rsid w:val="007B34D9"/>
    <w:rsid w:val="007B3FC8"/>
    <w:rsid w:val="007B5976"/>
    <w:rsid w:val="007B662A"/>
    <w:rsid w:val="007C192B"/>
    <w:rsid w:val="007C1B56"/>
    <w:rsid w:val="007C3457"/>
    <w:rsid w:val="007C38EF"/>
    <w:rsid w:val="007C3C1D"/>
    <w:rsid w:val="007C4C9B"/>
    <w:rsid w:val="007C4D25"/>
    <w:rsid w:val="007C618C"/>
    <w:rsid w:val="007D1ACF"/>
    <w:rsid w:val="007D1EED"/>
    <w:rsid w:val="007D2107"/>
    <w:rsid w:val="007D272C"/>
    <w:rsid w:val="007D2FA0"/>
    <w:rsid w:val="007E0EC5"/>
    <w:rsid w:val="007E2571"/>
    <w:rsid w:val="007E4510"/>
    <w:rsid w:val="007E4864"/>
    <w:rsid w:val="007E4A30"/>
    <w:rsid w:val="007F38F2"/>
    <w:rsid w:val="007F3CA0"/>
    <w:rsid w:val="007F3D57"/>
    <w:rsid w:val="007F51DD"/>
    <w:rsid w:val="007F5627"/>
    <w:rsid w:val="007F65D3"/>
    <w:rsid w:val="0080074E"/>
    <w:rsid w:val="008026F9"/>
    <w:rsid w:val="00805AB8"/>
    <w:rsid w:val="00805CB4"/>
    <w:rsid w:val="008076EA"/>
    <w:rsid w:val="0081079C"/>
    <w:rsid w:val="008116EB"/>
    <w:rsid w:val="00811FA0"/>
    <w:rsid w:val="00813345"/>
    <w:rsid w:val="00813A08"/>
    <w:rsid w:val="00813A36"/>
    <w:rsid w:val="008153C1"/>
    <w:rsid w:val="008166CE"/>
    <w:rsid w:val="00816F06"/>
    <w:rsid w:val="0081759E"/>
    <w:rsid w:val="008175CE"/>
    <w:rsid w:val="0082064B"/>
    <w:rsid w:val="00821980"/>
    <w:rsid w:val="0082351A"/>
    <w:rsid w:val="008256D1"/>
    <w:rsid w:val="00826B63"/>
    <w:rsid w:val="00827195"/>
    <w:rsid w:val="00827BE6"/>
    <w:rsid w:val="008322D2"/>
    <w:rsid w:val="008340D4"/>
    <w:rsid w:val="00834C78"/>
    <w:rsid w:val="008368F4"/>
    <w:rsid w:val="008377F6"/>
    <w:rsid w:val="008379ED"/>
    <w:rsid w:val="00844036"/>
    <w:rsid w:val="0084548F"/>
    <w:rsid w:val="00846C36"/>
    <w:rsid w:val="008474A3"/>
    <w:rsid w:val="008479AB"/>
    <w:rsid w:val="00847DBE"/>
    <w:rsid w:val="00852B9E"/>
    <w:rsid w:val="00853814"/>
    <w:rsid w:val="0085393F"/>
    <w:rsid w:val="00855D23"/>
    <w:rsid w:val="008562FA"/>
    <w:rsid w:val="00860550"/>
    <w:rsid w:val="00860C58"/>
    <w:rsid w:val="0086190C"/>
    <w:rsid w:val="0086211A"/>
    <w:rsid w:val="00863934"/>
    <w:rsid w:val="00863F00"/>
    <w:rsid w:val="00864A80"/>
    <w:rsid w:val="00866934"/>
    <w:rsid w:val="00866BD1"/>
    <w:rsid w:val="00870A4A"/>
    <w:rsid w:val="00871658"/>
    <w:rsid w:val="00872DE1"/>
    <w:rsid w:val="0087464F"/>
    <w:rsid w:val="00880FEA"/>
    <w:rsid w:val="00882650"/>
    <w:rsid w:val="00883AE2"/>
    <w:rsid w:val="0088428B"/>
    <w:rsid w:val="0089208C"/>
    <w:rsid w:val="00893ADD"/>
    <w:rsid w:val="008971E2"/>
    <w:rsid w:val="008A07F2"/>
    <w:rsid w:val="008A1C1F"/>
    <w:rsid w:val="008A1F12"/>
    <w:rsid w:val="008A37E4"/>
    <w:rsid w:val="008A393E"/>
    <w:rsid w:val="008A3A52"/>
    <w:rsid w:val="008A3DF0"/>
    <w:rsid w:val="008A411B"/>
    <w:rsid w:val="008A68EC"/>
    <w:rsid w:val="008A735B"/>
    <w:rsid w:val="008A7BD3"/>
    <w:rsid w:val="008B04EB"/>
    <w:rsid w:val="008B080F"/>
    <w:rsid w:val="008B7BFF"/>
    <w:rsid w:val="008C0CC1"/>
    <w:rsid w:val="008C20D8"/>
    <w:rsid w:val="008C2876"/>
    <w:rsid w:val="008C34B1"/>
    <w:rsid w:val="008C3583"/>
    <w:rsid w:val="008C554E"/>
    <w:rsid w:val="008D07E1"/>
    <w:rsid w:val="008D2097"/>
    <w:rsid w:val="008E287E"/>
    <w:rsid w:val="008E4244"/>
    <w:rsid w:val="008E47F2"/>
    <w:rsid w:val="008E4A58"/>
    <w:rsid w:val="008E4DC2"/>
    <w:rsid w:val="008E54FB"/>
    <w:rsid w:val="008E6051"/>
    <w:rsid w:val="008E760E"/>
    <w:rsid w:val="008F08CB"/>
    <w:rsid w:val="008F0DD1"/>
    <w:rsid w:val="008F296E"/>
    <w:rsid w:val="008F4169"/>
    <w:rsid w:val="008F4A95"/>
    <w:rsid w:val="008F62C2"/>
    <w:rsid w:val="008F6CC3"/>
    <w:rsid w:val="008F7825"/>
    <w:rsid w:val="00901193"/>
    <w:rsid w:val="0090223B"/>
    <w:rsid w:val="00903A85"/>
    <w:rsid w:val="00906EE2"/>
    <w:rsid w:val="00907541"/>
    <w:rsid w:val="00910D15"/>
    <w:rsid w:val="00911A75"/>
    <w:rsid w:val="00912DFA"/>
    <w:rsid w:val="00913388"/>
    <w:rsid w:val="009154D2"/>
    <w:rsid w:val="009161C8"/>
    <w:rsid w:val="009168B1"/>
    <w:rsid w:val="00920818"/>
    <w:rsid w:val="0092187B"/>
    <w:rsid w:val="00923460"/>
    <w:rsid w:val="00924B94"/>
    <w:rsid w:val="00926778"/>
    <w:rsid w:val="009277B5"/>
    <w:rsid w:val="009300E4"/>
    <w:rsid w:val="009317EE"/>
    <w:rsid w:val="00934B0C"/>
    <w:rsid w:val="00935850"/>
    <w:rsid w:val="0093745C"/>
    <w:rsid w:val="00942FDB"/>
    <w:rsid w:val="00943357"/>
    <w:rsid w:val="00946F6C"/>
    <w:rsid w:val="00947DED"/>
    <w:rsid w:val="00953C2E"/>
    <w:rsid w:val="0095430A"/>
    <w:rsid w:val="00955508"/>
    <w:rsid w:val="00955B83"/>
    <w:rsid w:val="0095698B"/>
    <w:rsid w:val="009625CF"/>
    <w:rsid w:val="009628C0"/>
    <w:rsid w:val="009643F3"/>
    <w:rsid w:val="00964764"/>
    <w:rsid w:val="00965591"/>
    <w:rsid w:val="0096636E"/>
    <w:rsid w:val="009671F3"/>
    <w:rsid w:val="00967714"/>
    <w:rsid w:val="00970279"/>
    <w:rsid w:val="009708E7"/>
    <w:rsid w:val="00970E66"/>
    <w:rsid w:val="00971920"/>
    <w:rsid w:val="00972451"/>
    <w:rsid w:val="00973CF0"/>
    <w:rsid w:val="0097511A"/>
    <w:rsid w:val="00976E74"/>
    <w:rsid w:val="0097711C"/>
    <w:rsid w:val="0097733B"/>
    <w:rsid w:val="0097792A"/>
    <w:rsid w:val="00984AC1"/>
    <w:rsid w:val="00984E45"/>
    <w:rsid w:val="00986CBE"/>
    <w:rsid w:val="00987034"/>
    <w:rsid w:val="009912CD"/>
    <w:rsid w:val="00992643"/>
    <w:rsid w:val="0099294C"/>
    <w:rsid w:val="00993224"/>
    <w:rsid w:val="00993CB7"/>
    <w:rsid w:val="0099420D"/>
    <w:rsid w:val="009946ED"/>
    <w:rsid w:val="009965F3"/>
    <w:rsid w:val="00996753"/>
    <w:rsid w:val="00996FBD"/>
    <w:rsid w:val="0099792E"/>
    <w:rsid w:val="009A0000"/>
    <w:rsid w:val="009A07C4"/>
    <w:rsid w:val="009A1A67"/>
    <w:rsid w:val="009A2568"/>
    <w:rsid w:val="009A59C0"/>
    <w:rsid w:val="009A6D30"/>
    <w:rsid w:val="009A79D6"/>
    <w:rsid w:val="009B324B"/>
    <w:rsid w:val="009B4084"/>
    <w:rsid w:val="009B5F3E"/>
    <w:rsid w:val="009B610E"/>
    <w:rsid w:val="009B6C0E"/>
    <w:rsid w:val="009B73D0"/>
    <w:rsid w:val="009C0C11"/>
    <w:rsid w:val="009C462D"/>
    <w:rsid w:val="009C4C1A"/>
    <w:rsid w:val="009C70D0"/>
    <w:rsid w:val="009D0D22"/>
    <w:rsid w:val="009D16BC"/>
    <w:rsid w:val="009D1CCE"/>
    <w:rsid w:val="009D2044"/>
    <w:rsid w:val="009D2E76"/>
    <w:rsid w:val="009D38FF"/>
    <w:rsid w:val="009D4B1E"/>
    <w:rsid w:val="009D61D9"/>
    <w:rsid w:val="009D67BC"/>
    <w:rsid w:val="009E097A"/>
    <w:rsid w:val="009E0C54"/>
    <w:rsid w:val="009E2463"/>
    <w:rsid w:val="009E2E5E"/>
    <w:rsid w:val="009E310A"/>
    <w:rsid w:val="009E4EE0"/>
    <w:rsid w:val="009E61BE"/>
    <w:rsid w:val="009E7C40"/>
    <w:rsid w:val="009F0864"/>
    <w:rsid w:val="009F1A0E"/>
    <w:rsid w:val="009F343D"/>
    <w:rsid w:val="009F44E7"/>
    <w:rsid w:val="009F4D29"/>
    <w:rsid w:val="009F5C93"/>
    <w:rsid w:val="009F76E1"/>
    <w:rsid w:val="00A00F0D"/>
    <w:rsid w:val="00A045AC"/>
    <w:rsid w:val="00A055E1"/>
    <w:rsid w:val="00A058DB"/>
    <w:rsid w:val="00A05B45"/>
    <w:rsid w:val="00A064D0"/>
    <w:rsid w:val="00A12833"/>
    <w:rsid w:val="00A16430"/>
    <w:rsid w:val="00A20258"/>
    <w:rsid w:val="00A21621"/>
    <w:rsid w:val="00A226E8"/>
    <w:rsid w:val="00A24052"/>
    <w:rsid w:val="00A2477C"/>
    <w:rsid w:val="00A24BB9"/>
    <w:rsid w:val="00A250B2"/>
    <w:rsid w:val="00A26FC7"/>
    <w:rsid w:val="00A27AE9"/>
    <w:rsid w:val="00A3141F"/>
    <w:rsid w:val="00A32053"/>
    <w:rsid w:val="00A32FC4"/>
    <w:rsid w:val="00A331BB"/>
    <w:rsid w:val="00A34720"/>
    <w:rsid w:val="00A35FFE"/>
    <w:rsid w:val="00A377B7"/>
    <w:rsid w:val="00A378C7"/>
    <w:rsid w:val="00A431F3"/>
    <w:rsid w:val="00A44C30"/>
    <w:rsid w:val="00A47A20"/>
    <w:rsid w:val="00A47CCC"/>
    <w:rsid w:val="00A50F29"/>
    <w:rsid w:val="00A51E69"/>
    <w:rsid w:val="00A53D2B"/>
    <w:rsid w:val="00A5570C"/>
    <w:rsid w:val="00A55FB0"/>
    <w:rsid w:val="00A57EE1"/>
    <w:rsid w:val="00A60B70"/>
    <w:rsid w:val="00A621CF"/>
    <w:rsid w:val="00A62773"/>
    <w:rsid w:val="00A62E58"/>
    <w:rsid w:val="00A652A6"/>
    <w:rsid w:val="00A65309"/>
    <w:rsid w:val="00A67E9D"/>
    <w:rsid w:val="00A70457"/>
    <w:rsid w:val="00A706A7"/>
    <w:rsid w:val="00A73A74"/>
    <w:rsid w:val="00A74278"/>
    <w:rsid w:val="00A74524"/>
    <w:rsid w:val="00A76874"/>
    <w:rsid w:val="00A828EC"/>
    <w:rsid w:val="00A83853"/>
    <w:rsid w:val="00A850E1"/>
    <w:rsid w:val="00A8769F"/>
    <w:rsid w:val="00A90A18"/>
    <w:rsid w:val="00A9134B"/>
    <w:rsid w:val="00A9160B"/>
    <w:rsid w:val="00A937FC"/>
    <w:rsid w:val="00A9647D"/>
    <w:rsid w:val="00A96B07"/>
    <w:rsid w:val="00A97B53"/>
    <w:rsid w:val="00AA160A"/>
    <w:rsid w:val="00AA1FC0"/>
    <w:rsid w:val="00AA3579"/>
    <w:rsid w:val="00AA7966"/>
    <w:rsid w:val="00AA7EEF"/>
    <w:rsid w:val="00AB115E"/>
    <w:rsid w:val="00AB2530"/>
    <w:rsid w:val="00AB5EBA"/>
    <w:rsid w:val="00AB6284"/>
    <w:rsid w:val="00AB6BC5"/>
    <w:rsid w:val="00AC047B"/>
    <w:rsid w:val="00AC04CC"/>
    <w:rsid w:val="00AC0516"/>
    <w:rsid w:val="00AC167C"/>
    <w:rsid w:val="00AC3520"/>
    <w:rsid w:val="00AC6525"/>
    <w:rsid w:val="00AC6A6D"/>
    <w:rsid w:val="00AD0AFA"/>
    <w:rsid w:val="00AD0D4D"/>
    <w:rsid w:val="00AD11F4"/>
    <w:rsid w:val="00AD2608"/>
    <w:rsid w:val="00AD283B"/>
    <w:rsid w:val="00AD2DFD"/>
    <w:rsid w:val="00AD3302"/>
    <w:rsid w:val="00AD38D4"/>
    <w:rsid w:val="00AD46E3"/>
    <w:rsid w:val="00AD53C2"/>
    <w:rsid w:val="00AE2A45"/>
    <w:rsid w:val="00AE2BF9"/>
    <w:rsid w:val="00AE42E2"/>
    <w:rsid w:val="00AE4DFA"/>
    <w:rsid w:val="00AE55FB"/>
    <w:rsid w:val="00AE565D"/>
    <w:rsid w:val="00AE6246"/>
    <w:rsid w:val="00AE6EE5"/>
    <w:rsid w:val="00AE7526"/>
    <w:rsid w:val="00AE758A"/>
    <w:rsid w:val="00AE7F39"/>
    <w:rsid w:val="00AF005D"/>
    <w:rsid w:val="00AF1EA7"/>
    <w:rsid w:val="00AF2471"/>
    <w:rsid w:val="00AF4683"/>
    <w:rsid w:val="00B00175"/>
    <w:rsid w:val="00B00375"/>
    <w:rsid w:val="00B0228B"/>
    <w:rsid w:val="00B0334A"/>
    <w:rsid w:val="00B03F7E"/>
    <w:rsid w:val="00B0474F"/>
    <w:rsid w:val="00B04C15"/>
    <w:rsid w:val="00B07982"/>
    <w:rsid w:val="00B07B59"/>
    <w:rsid w:val="00B14624"/>
    <w:rsid w:val="00B150CC"/>
    <w:rsid w:val="00B15959"/>
    <w:rsid w:val="00B179AD"/>
    <w:rsid w:val="00B17F50"/>
    <w:rsid w:val="00B210EA"/>
    <w:rsid w:val="00B2176B"/>
    <w:rsid w:val="00B2343D"/>
    <w:rsid w:val="00B23E49"/>
    <w:rsid w:val="00B27019"/>
    <w:rsid w:val="00B27873"/>
    <w:rsid w:val="00B30004"/>
    <w:rsid w:val="00B33317"/>
    <w:rsid w:val="00B3333B"/>
    <w:rsid w:val="00B3460C"/>
    <w:rsid w:val="00B357B6"/>
    <w:rsid w:val="00B36319"/>
    <w:rsid w:val="00B369CD"/>
    <w:rsid w:val="00B439B7"/>
    <w:rsid w:val="00B44813"/>
    <w:rsid w:val="00B4544C"/>
    <w:rsid w:val="00B474AC"/>
    <w:rsid w:val="00B52B61"/>
    <w:rsid w:val="00B5314E"/>
    <w:rsid w:val="00B5372B"/>
    <w:rsid w:val="00B5385F"/>
    <w:rsid w:val="00B54567"/>
    <w:rsid w:val="00B54FAE"/>
    <w:rsid w:val="00B578FD"/>
    <w:rsid w:val="00B6130D"/>
    <w:rsid w:val="00B63131"/>
    <w:rsid w:val="00B63EE5"/>
    <w:rsid w:val="00B644C7"/>
    <w:rsid w:val="00B649F4"/>
    <w:rsid w:val="00B6531B"/>
    <w:rsid w:val="00B6558C"/>
    <w:rsid w:val="00B6706A"/>
    <w:rsid w:val="00B67D7C"/>
    <w:rsid w:val="00B67DCF"/>
    <w:rsid w:val="00B71633"/>
    <w:rsid w:val="00B72FCC"/>
    <w:rsid w:val="00B74D68"/>
    <w:rsid w:val="00B769AE"/>
    <w:rsid w:val="00B773B5"/>
    <w:rsid w:val="00B776AD"/>
    <w:rsid w:val="00B80029"/>
    <w:rsid w:val="00B80FDE"/>
    <w:rsid w:val="00B82A17"/>
    <w:rsid w:val="00B838F6"/>
    <w:rsid w:val="00B83A91"/>
    <w:rsid w:val="00B84B89"/>
    <w:rsid w:val="00B861C1"/>
    <w:rsid w:val="00B903C2"/>
    <w:rsid w:val="00B94F5D"/>
    <w:rsid w:val="00B95E75"/>
    <w:rsid w:val="00B96D80"/>
    <w:rsid w:val="00B97574"/>
    <w:rsid w:val="00BA5286"/>
    <w:rsid w:val="00BA53ED"/>
    <w:rsid w:val="00BA6A42"/>
    <w:rsid w:val="00BA7DAE"/>
    <w:rsid w:val="00BB036B"/>
    <w:rsid w:val="00BB4173"/>
    <w:rsid w:val="00BB50C7"/>
    <w:rsid w:val="00BB6462"/>
    <w:rsid w:val="00BB6C3C"/>
    <w:rsid w:val="00BB6E9A"/>
    <w:rsid w:val="00BB7679"/>
    <w:rsid w:val="00BB7988"/>
    <w:rsid w:val="00BC2A71"/>
    <w:rsid w:val="00BC48E9"/>
    <w:rsid w:val="00BD1F72"/>
    <w:rsid w:val="00BD416D"/>
    <w:rsid w:val="00BD42AF"/>
    <w:rsid w:val="00BD51DA"/>
    <w:rsid w:val="00BD69DB"/>
    <w:rsid w:val="00BD7022"/>
    <w:rsid w:val="00BE0002"/>
    <w:rsid w:val="00BE2CD7"/>
    <w:rsid w:val="00BE3503"/>
    <w:rsid w:val="00BE381A"/>
    <w:rsid w:val="00BE532F"/>
    <w:rsid w:val="00BE5986"/>
    <w:rsid w:val="00BE62F6"/>
    <w:rsid w:val="00BE7446"/>
    <w:rsid w:val="00BE7AE8"/>
    <w:rsid w:val="00BF157A"/>
    <w:rsid w:val="00BF2749"/>
    <w:rsid w:val="00BF27D4"/>
    <w:rsid w:val="00BF2E80"/>
    <w:rsid w:val="00BF2E97"/>
    <w:rsid w:val="00BF519E"/>
    <w:rsid w:val="00BF5317"/>
    <w:rsid w:val="00BF7FA1"/>
    <w:rsid w:val="00C02031"/>
    <w:rsid w:val="00C02E85"/>
    <w:rsid w:val="00C03C75"/>
    <w:rsid w:val="00C0486A"/>
    <w:rsid w:val="00C05842"/>
    <w:rsid w:val="00C10D78"/>
    <w:rsid w:val="00C122D9"/>
    <w:rsid w:val="00C12D1D"/>
    <w:rsid w:val="00C1305C"/>
    <w:rsid w:val="00C1522B"/>
    <w:rsid w:val="00C154B1"/>
    <w:rsid w:val="00C15C59"/>
    <w:rsid w:val="00C20704"/>
    <w:rsid w:val="00C21ED4"/>
    <w:rsid w:val="00C225CC"/>
    <w:rsid w:val="00C22EEC"/>
    <w:rsid w:val="00C27AC7"/>
    <w:rsid w:val="00C27B8D"/>
    <w:rsid w:val="00C30119"/>
    <w:rsid w:val="00C30752"/>
    <w:rsid w:val="00C30D5C"/>
    <w:rsid w:val="00C324AD"/>
    <w:rsid w:val="00C3489D"/>
    <w:rsid w:val="00C359A4"/>
    <w:rsid w:val="00C35BE3"/>
    <w:rsid w:val="00C36F28"/>
    <w:rsid w:val="00C376E4"/>
    <w:rsid w:val="00C37952"/>
    <w:rsid w:val="00C424A1"/>
    <w:rsid w:val="00C436F7"/>
    <w:rsid w:val="00C4372C"/>
    <w:rsid w:val="00C44320"/>
    <w:rsid w:val="00C45D21"/>
    <w:rsid w:val="00C46115"/>
    <w:rsid w:val="00C4651E"/>
    <w:rsid w:val="00C47141"/>
    <w:rsid w:val="00C509A4"/>
    <w:rsid w:val="00C50FA0"/>
    <w:rsid w:val="00C5321A"/>
    <w:rsid w:val="00C53CA8"/>
    <w:rsid w:val="00C55370"/>
    <w:rsid w:val="00C56554"/>
    <w:rsid w:val="00C60C46"/>
    <w:rsid w:val="00C6183A"/>
    <w:rsid w:val="00C619E7"/>
    <w:rsid w:val="00C6246C"/>
    <w:rsid w:val="00C629F0"/>
    <w:rsid w:val="00C6427B"/>
    <w:rsid w:val="00C649C2"/>
    <w:rsid w:val="00C65547"/>
    <w:rsid w:val="00C70434"/>
    <w:rsid w:val="00C7086E"/>
    <w:rsid w:val="00C72698"/>
    <w:rsid w:val="00C74069"/>
    <w:rsid w:val="00C7487B"/>
    <w:rsid w:val="00C767CF"/>
    <w:rsid w:val="00C76DDE"/>
    <w:rsid w:val="00C8103E"/>
    <w:rsid w:val="00C8191A"/>
    <w:rsid w:val="00C82227"/>
    <w:rsid w:val="00C8276E"/>
    <w:rsid w:val="00C85BF7"/>
    <w:rsid w:val="00C879C3"/>
    <w:rsid w:val="00C90203"/>
    <w:rsid w:val="00C91064"/>
    <w:rsid w:val="00C91248"/>
    <w:rsid w:val="00C919D2"/>
    <w:rsid w:val="00C946FA"/>
    <w:rsid w:val="00C94AA5"/>
    <w:rsid w:val="00C96816"/>
    <w:rsid w:val="00CA0BC4"/>
    <w:rsid w:val="00CA339B"/>
    <w:rsid w:val="00CA39AE"/>
    <w:rsid w:val="00CA3D49"/>
    <w:rsid w:val="00CA40B5"/>
    <w:rsid w:val="00CA4416"/>
    <w:rsid w:val="00CA45CE"/>
    <w:rsid w:val="00CA52C6"/>
    <w:rsid w:val="00CA5403"/>
    <w:rsid w:val="00CA5868"/>
    <w:rsid w:val="00CA5AA1"/>
    <w:rsid w:val="00CB3B9C"/>
    <w:rsid w:val="00CB3BE4"/>
    <w:rsid w:val="00CB5273"/>
    <w:rsid w:val="00CB53FD"/>
    <w:rsid w:val="00CB771C"/>
    <w:rsid w:val="00CC0B0F"/>
    <w:rsid w:val="00CC6616"/>
    <w:rsid w:val="00CC6B0E"/>
    <w:rsid w:val="00CC7074"/>
    <w:rsid w:val="00CC7148"/>
    <w:rsid w:val="00CD1DA2"/>
    <w:rsid w:val="00CD28DB"/>
    <w:rsid w:val="00CD5095"/>
    <w:rsid w:val="00CD7712"/>
    <w:rsid w:val="00CD7C87"/>
    <w:rsid w:val="00CE0896"/>
    <w:rsid w:val="00CE0DBE"/>
    <w:rsid w:val="00CE0E6B"/>
    <w:rsid w:val="00CE1B12"/>
    <w:rsid w:val="00CE7481"/>
    <w:rsid w:val="00CE7977"/>
    <w:rsid w:val="00CF00BC"/>
    <w:rsid w:val="00CF148B"/>
    <w:rsid w:val="00CF235D"/>
    <w:rsid w:val="00CF2C8B"/>
    <w:rsid w:val="00CF4445"/>
    <w:rsid w:val="00CF4FAE"/>
    <w:rsid w:val="00CF6612"/>
    <w:rsid w:val="00CF70C7"/>
    <w:rsid w:val="00D000A4"/>
    <w:rsid w:val="00D00DCB"/>
    <w:rsid w:val="00D03E6A"/>
    <w:rsid w:val="00D05634"/>
    <w:rsid w:val="00D05E28"/>
    <w:rsid w:val="00D065E1"/>
    <w:rsid w:val="00D076A2"/>
    <w:rsid w:val="00D104B7"/>
    <w:rsid w:val="00D1115A"/>
    <w:rsid w:val="00D13D31"/>
    <w:rsid w:val="00D1401E"/>
    <w:rsid w:val="00D144C0"/>
    <w:rsid w:val="00D16587"/>
    <w:rsid w:val="00D17BE4"/>
    <w:rsid w:val="00D21337"/>
    <w:rsid w:val="00D223D1"/>
    <w:rsid w:val="00D22A11"/>
    <w:rsid w:val="00D22D35"/>
    <w:rsid w:val="00D23B63"/>
    <w:rsid w:val="00D25644"/>
    <w:rsid w:val="00D25B15"/>
    <w:rsid w:val="00D25D66"/>
    <w:rsid w:val="00D26DB9"/>
    <w:rsid w:val="00D31089"/>
    <w:rsid w:val="00D3259B"/>
    <w:rsid w:val="00D342F3"/>
    <w:rsid w:val="00D40E3B"/>
    <w:rsid w:val="00D4201B"/>
    <w:rsid w:val="00D425BA"/>
    <w:rsid w:val="00D42EC7"/>
    <w:rsid w:val="00D43380"/>
    <w:rsid w:val="00D449C9"/>
    <w:rsid w:val="00D45420"/>
    <w:rsid w:val="00D4561D"/>
    <w:rsid w:val="00D46273"/>
    <w:rsid w:val="00D464FC"/>
    <w:rsid w:val="00D51A0B"/>
    <w:rsid w:val="00D528C4"/>
    <w:rsid w:val="00D53644"/>
    <w:rsid w:val="00D5454C"/>
    <w:rsid w:val="00D57285"/>
    <w:rsid w:val="00D5745D"/>
    <w:rsid w:val="00D57568"/>
    <w:rsid w:val="00D63140"/>
    <w:rsid w:val="00D63F63"/>
    <w:rsid w:val="00D64199"/>
    <w:rsid w:val="00D6585E"/>
    <w:rsid w:val="00D70035"/>
    <w:rsid w:val="00D73A1E"/>
    <w:rsid w:val="00D74969"/>
    <w:rsid w:val="00D82643"/>
    <w:rsid w:val="00D826B0"/>
    <w:rsid w:val="00D8342F"/>
    <w:rsid w:val="00D84F5A"/>
    <w:rsid w:val="00D907B8"/>
    <w:rsid w:val="00D91DCE"/>
    <w:rsid w:val="00D9586A"/>
    <w:rsid w:val="00D959FE"/>
    <w:rsid w:val="00D96E34"/>
    <w:rsid w:val="00DA25FA"/>
    <w:rsid w:val="00DA2789"/>
    <w:rsid w:val="00DA3892"/>
    <w:rsid w:val="00DA473D"/>
    <w:rsid w:val="00DB1AA0"/>
    <w:rsid w:val="00DB291A"/>
    <w:rsid w:val="00DC04EE"/>
    <w:rsid w:val="00DC1DF1"/>
    <w:rsid w:val="00DC1EA1"/>
    <w:rsid w:val="00DC2AD3"/>
    <w:rsid w:val="00DC38A3"/>
    <w:rsid w:val="00DD0F2B"/>
    <w:rsid w:val="00DD20F1"/>
    <w:rsid w:val="00DD2F4D"/>
    <w:rsid w:val="00DD3259"/>
    <w:rsid w:val="00DD60D2"/>
    <w:rsid w:val="00DE0BBF"/>
    <w:rsid w:val="00DE0E46"/>
    <w:rsid w:val="00DE1604"/>
    <w:rsid w:val="00DE21D1"/>
    <w:rsid w:val="00DE239C"/>
    <w:rsid w:val="00DE2BA7"/>
    <w:rsid w:val="00DE3B37"/>
    <w:rsid w:val="00DE46AE"/>
    <w:rsid w:val="00DF0431"/>
    <w:rsid w:val="00DF4854"/>
    <w:rsid w:val="00DF5882"/>
    <w:rsid w:val="00DF5E15"/>
    <w:rsid w:val="00DF706F"/>
    <w:rsid w:val="00DF747E"/>
    <w:rsid w:val="00E021B8"/>
    <w:rsid w:val="00E028F2"/>
    <w:rsid w:val="00E03629"/>
    <w:rsid w:val="00E05405"/>
    <w:rsid w:val="00E0729B"/>
    <w:rsid w:val="00E1146A"/>
    <w:rsid w:val="00E13A75"/>
    <w:rsid w:val="00E13EF0"/>
    <w:rsid w:val="00E16B8F"/>
    <w:rsid w:val="00E2168A"/>
    <w:rsid w:val="00E23D0B"/>
    <w:rsid w:val="00E24014"/>
    <w:rsid w:val="00E274F6"/>
    <w:rsid w:val="00E27DC3"/>
    <w:rsid w:val="00E27F1B"/>
    <w:rsid w:val="00E301B8"/>
    <w:rsid w:val="00E312DA"/>
    <w:rsid w:val="00E31673"/>
    <w:rsid w:val="00E32147"/>
    <w:rsid w:val="00E325ED"/>
    <w:rsid w:val="00E344AB"/>
    <w:rsid w:val="00E34B6A"/>
    <w:rsid w:val="00E37122"/>
    <w:rsid w:val="00E37E8B"/>
    <w:rsid w:val="00E412E1"/>
    <w:rsid w:val="00E417F0"/>
    <w:rsid w:val="00E42F55"/>
    <w:rsid w:val="00E43596"/>
    <w:rsid w:val="00E44503"/>
    <w:rsid w:val="00E44900"/>
    <w:rsid w:val="00E45715"/>
    <w:rsid w:val="00E47089"/>
    <w:rsid w:val="00E558CE"/>
    <w:rsid w:val="00E55E64"/>
    <w:rsid w:val="00E55ECE"/>
    <w:rsid w:val="00E63437"/>
    <w:rsid w:val="00E638F6"/>
    <w:rsid w:val="00E63B64"/>
    <w:rsid w:val="00E647A4"/>
    <w:rsid w:val="00E66080"/>
    <w:rsid w:val="00E71B82"/>
    <w:rsid w:val="00E71EFF"/>
    <w:rsid w:val="00E72138"/>
    <w:rsid w:val="00E745C6"/>
    <w:rsid w:val="00E750B5"/>
    <w:rsid w:val="00E75C96"/>
    <w:rsid w:val="00E760E2"/>
    <w:rsid w:val="00E776BB"/>
    <w:rsid w:val="00E827FD"/>
    <w:rsid w:val="00E82BC7"/>
    <w:rsid w:val="00E83801"/>
    <w:rsid w:val="00E878D6"/>
    <w:rsid w:val="00E93783"/>
    <w:rsid w:val="00E94954"/>
    <w:rsid w:val="00E95E1E"/>
    <w:rsid w:val="00E962BC"/>
    <w:rsid w:val="00EA046B"/>
    <w:rsid w:val="00EA0C36"/>
    <w:rsid w:val="00EA1249"/>
    <w:rsid w:val="00EA18D1"/>
    <w:rsid w:val="00EA3F2F"/>
    <w:rsid w:val="00EA4649"/>
    <w:rsid w:val="00EA62D2"/>
    <w:rsid w:val="00EA659F"/>
    <w:rsid w:val="00EA6620"/>
    <w:rsid w:val="00EA6B57"/>
    <w:rsid w:val="00EA781E"/>
    <w:rsid w:val="00EB2F6B"/>
    <w:rsid w:val="00EB3B37"/>
    <w:rsid w:val="00EB5DBC"/>
    <w:rsid w:val="00EB6774"/>
    <w:rsid w:val="00EB777C"/>
    <w:rsid w:val="00EC195E"/>
    <w:rsid w:val="00EC2AC8"/>
    <w:rsid w:val="00EC2B99"/>
    <w:rsid w:val="00EC3812"/>
    <w:rsid w:val="00EC4CE5"/>
    <w:rsid w:val="00EC5044"/>
    <w:rsid w:val="00EC6213"/>
    <w:rsid w:val="00EC69AA"/>
    <w:rsid w:val="00ED1E59"/>
    <w:rsid w:val="00ED3C30"/>
    <w:rsid w:val="00ED5044"/>
    <w:rsid w:val="00ED54A0"/>
    <w:rsid w:val="00ED6954"/>
    <w:rsid w:val="00ED7805"/>
    <w:rsid w:val="00EE0EAC"/>
    <w:rsid w:val="00EE1056"/>
    <w:rsid w:val="00EE1A7B"/>
    <w:rsid w:val="00EE1B76"/>
    <w:rsid w:val="00EE2ACD"/>
    <w:rsid w:val="00EE303D"/>
    <w:rsid w:val="00EE3084"/>
    <w:rsid w:val="00EE3BE2"/>
    <w:rsid w:val="00EE41FB"/>
    <w:rsid w:val="00EE6747"/>
    <w:rsid w:val="00EE6C77"/>
    <w:rsid w:val="00EE7650"/>
    <w:rsid w:val="00EE7A59"/>
    <w:rsid w:val="00EF085F"/>
    <w:rsid w:val="00EF11E8"/>
    <w:rsid w:val="00EF181D"/>
    <w:rsid w:val="00EF25B2"/>
    <w:rsid w:val="00EF3013"/>
    <w:rsid w:val="00EF35AA"/>
    <w:rsid w:val="00EF3841"/>
    <w:rsid w:val="00F00367"/>
    <w:rsid w:val="00F05DD5"/>
    <w:rsid w:val="00F063C9"/>
    <w:rsid w:val="00F11508"/>
    <w:rsid w:val="00F12CB8"/>
    <w:rsid w:val="00F138A6"/>
    <w:rsid w:val="00F176A3"/>
    <w:rsid w:val="00F24999"/>
    <w:rsid w:val="00F254F0"/>
    <w:rsid w:val="00F2716B"/>
    <w:rsid w:val="00F274D6"/>
    <w:rsid w:val="00F27D3C"/>
    <w:rsid w:val="00F30A61"/>
    <w:rsid w:val="00F30A84"/>
    <w:rsid w:val="00F3264F"/>
    <w:rsid w:val="00F328D7"/>
    <w:rsid w:val="00F3407E"/>
    <w:rsid w:val="00F35770"/>
    <w:rsid w:val="00F36027"/>
    <w:rsid w:val="00F37C71"/>
    <w:rsid w:val="00F400EB"/>
    <w:rsid w:val="00F419DF"/>
    <w:rsid w:val="00F42628"/>
    <w:rsid w:val="00F431FB"/>
    <w:rsid w:val="00F4450B"/>
    <w:rsid w:val="00F445A9"/>
    <w:rsid w:val="00F46C1A"/>
    <w:rsid w:val="00F51667"/>
    <w:rsid w:val="00F5500E"/>
    <w:rsid w:val="00F558E5"/>
    <w:rsid w:val="00F579DA"/>
    <w:rsid w:val="00F579E0"/>
    <w:rsid w:val="00F57DC6"/>
    <w:rsid w:val="00F62470"/>
    <w:rsid w:val="00F634B8"/>
    <w:rsid w:val="00F63FDB"/>
    <w:rsid w:val="00F641F8"/>
    <w:rsid w:val="00F647BF"/>
    <w:rsid w:val="00F65D9E"/>
    <w:rsid w:val="00F67AD8"/>
    <w:rsid w:val="00F70A08"/>
    <w:rsid w:val="00F70A3A"/>
    <w:rsid w:val="00F71A29"/>
    <w:rsid w:val="00F7218D"/>
    <w:rsid w:val="00F7227E"/>
    <w:rsid w:val="00F754F0"/>
    <w:rsid w:val="00F76183"/>
    <w:rsid w:val="00F77310"/>
    <w:rsid w:val="00F7794F"/>
    <w:rsid w:val="00F80C68"/>
    <w:rsid w:val="00F81141"/>
    <w:rsid w:val="00F81A7C"/>
    <w:rsid w:val="00F839C5"/>
    <w:rsid w:val="00F84263"/>
    <w:rsid w:val="00F86DA0"/>
    <w:rsid w:val="00F876C4"/>
    <w:rsid w:val="00F87DBE"/>
    <w:rsid w:val="00F9102F"/>
    <w:rsid w:val="00F9174A"/>
    <w:rsid w:val="00F91A74"/>
    <w:rsid w:val="00F938E9"/>
    <w:rsid w:val="00F945CB"/>
    <w:rsid w:val="00F94849"/>
    <w:rsid w:val="00F95EB1"/>
    <w:rsid w:val="00F96411"/>
    <w:rsid w:val="00FA0E34"/>
    <w:rsid w:val="00FA1A29"/>
    <w:rsid w:val="00FA3A13"/>
    <w:rsid w:val="00FA40D0"/>
    <w:rsid w:val="00FA6D7B"/>
    <w:rsid w:val="00FA7582"/>
    <w:rsid w:val="00FB077F"/>
    <w:rsid w:val="00FB1799"/>
    <w:rsid w:val="00FB1980"/>
    <w:rsid w:val="00FB2425"/>
    <w:rsid w:val="00FB2D16"/>
    <w:rsid w:val="00FB4791"/>
    <w:rsid w:val="00FB6958"/>
    <w:rsid w:val="00FB6A1C"/>
    <w:rsid w:val="00FC1CD5"/>
    <w:rsid w:val="00FC208C"/>
    <w:rsid w:val="00FC2D34"/>
    <w:rsid w:val="00FC2D7E"/>
    <w:rsid w:val="00FC4B34"/>
    <w:rsid w:val="00FC4B43"/>
    <w:rsid w:val="00FD070D"/>
    <w:rsid w:val="00FD0EF3"/>
    <w:rsid w:val="00FD0FBC"/>
    <w:rsid w:val="00FD1B7D"/>
    <w:rsid w:val="00FD29AD"/>
    <w:rsid w:val="00FD2D61"/>
    <w:rsid w:val="00FD3A94"/>
    <w:rsid w:val="00FD4403"/>
    <w:rsid w:val="00FD5A08"/>
    <w:rsid w:val="00FD6016"/>
    <w:rsid w:val="00FD7B03"/>
    <w:rsid w:val="00FD7EE3"/>
    <w:rsid w:val="00FE06B0"/>
    <w:rsid w:val="00FE1257"/>
    <w:rsid w:val="00FE2680"/>
    <w:rsid w:val="00FE3157"/>
    <w:rsid w:val="00FE3174"/>
    <w:rsid w:val="00FE3FBC"/>
    <w:rsid w:val="00FE52A3"/>
    <w:rsid w:val="00FE5CB8"/>
    <w:rsid w:val="00FE7F0D"/>
    <w:rsid w:val="00FF0B29"/>
    <w:rsid w:val="00FF2094"/>
    <w:rsid w:val="00FF2694"/>
    <w:rsid w:val="00FF2E4D"/>
    <w:rsid w:val="00FF4BFF"/>
    <w:rsid w:val="00FF4EAB"/>
    <w:rsid w:val="00FF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F6A6F6"/>
  <w15:chartTrackingRefBased/>
  <w15:docId w15:val="{931138B8-9CAA-41B6-AE68-EF8F451A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6FBD"/>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31075"/>
    <w:pPr>
      <w:keepNext/>
      <w:keepLines/>
      <w:spacing w:after="0"/>
      <w:outlineLvl w:val="0"/>
    </w:pPr>
    <w:rPr>
      <w:rFonts w:ascii="Arial" w:eastAsiaTheme="majorEastAsia" w:hAnsi="Arial" w:cstheme="majorBidi"/>
      <w:color w:val="767171" w:themeColor="background2" w:themeShade="8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C1D70"/>
  </w:style>
  <w:style w:type="paragraph" w:styleId="Footer">
    <w:name w:val="footer"/>
    <w:basedOn w:val="Normal"/>
    <w:link w:val="Foot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C1D70"/>
  </w:style>
  <w:style w:type="character" w:styleId="PageNumber">
    <w:name w:val="page number"/>
    <w:basedOn w:val="DefaultParagraphFont"/>
    <w:uiPriority w:val="99"/>
    <w:semiHidden/>
    <w:unhideWhenUsed/>
    <w:rsid w:val="007C4C9B"/>
  </w:style>
  <w:style w:type="paragraph" w:styleId="BalloonText">
    <w:name w:val="Balloon Text"/>
    <w:basedOn w:val="Normal"/>
    <w:link w:val="BalloonTextChar"/>
    <w:uiPriority w:val="99"/>
    <w:semiHidden/>
    <w:unhideWhenUsed/>
    <w:rsid w:val="004E2AC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AC7"/>
    <w:rPr>
      <w:rFonts w:ascii="Times New Roman" w:eastAsia="Times New Roman" w:hAnsi="Times New Roman" w:cs="Times New Roman"/>
      <w:sz w:val="18"/>
      <w:szCs w:val="18"/>
    </w:rPr>
  </w:style>
  <w:style w:type="paragraph" w:customStyle="1" w:styleId="Style1">
    <w:name w:val="Style1"/>
    <w:basedOn w:val="Normal"/>
    <w:qFormat/>
    <w:rsid w:val="00331075"/>
    <w:pPr>
      <w:spacing w:after="0" w:line="240" w:lineRule="auto"/>
    </w:pPr>
    <w:rPr>
      <w:rFonts w:ascii="Arial" w:hAnsi="Arial" w:cs="Arial"/>
      <w:color w:val="767171" w:themeColor="background2" w:themeShade="80"/>
      <w:spacing w:val="60"/>
      <w:sz w:val="40"/>
      <w:szCs w:val="36"/>
    </w:rPr>
  </w:style>
  <w:style w:type="character" w:customStyle="1" w:styleId="Heading1Char">
    <w:name w:val="Heading 1 Char"/>
    <w:basedOn w:val="DefaultParagraphFont"/>
    <w:link w:val="Heading1"/>
    <w:uiPriority w:val="9"/>
    <w:rsid w:val="00331075"/>
    <w:rPr>
      <w:rFonts w:ascii="Arial" w:eastAsiaTheme="majorEastAsia" w:hAnsi="Arial" w:cstheme="majorBidi"/>
      <w:color w:val="767171" w:themeColor="background2" w:themeShade="80"/>
      <w:sz w:val="48"/>
      <w:szCs w:val="32"/>
    </w:rPr>
  </w:style>
  <w:style w:type="paragraph" w:styleId="Caption">
    <w:name w:val="caption"/>
    <w:basedOn w:val="Normal"/>
    <w:next w:val="Normal"/>
    <w:uiPriority w:val="35"/>
    <w:unhideWhenUsed/>
    <w:qFormat/>
    <w:rsid w:val="00741A0D"/>
    <w:pPr>
      <w:spacing w:line="240" w:lineRule="auto"/>
    </w:pPr>
    <w:rPr>
      <w:i/>
      <w:iCs/>
      <w:color w:val="44546A" w:themeColor="text2"/>
      <w:sz w:val="18"/>
      <w:szCs w:val="18"/>
    </w:rPr>
  </w:style>
  <w:style w:type="character" w:styleId="PlaceholderText">
    <w:name w:val="Placeholder Text"/>
    <w:basedOn w:val="DefaultParagraphFont"/>
    <w:uiPriority w:val="99"/>
    <w:semiHidden/>
    <w:rsid w:val="00A26FC7"/>
    <w:rPr>
      <w:color w:val="808080"/>
    </w:rPr>
  </w:style>
  <w:style w:type="character" w:styleId="CommentReference">
    <w:name w:val="annotation reference"/>
    <w:basedOn w:val="DefaultParagraphFont"/>
    <w:uiPriority w:val="99"/>
    <w:semiHidden/>
    <w:unhideWhenUsed/>
    <w:rsid w:val="00C324AD"/>
    <w:rPr>
      <w:sz w:val="16"/>
      <w:szCs w:val="16"/>
    </w:rPr>
  </w:style>
  <w:style w:type="paragraph" w:styleId="CommentText">
    <w:name w:val="annotation text"/>
    <w:basedOn w:val="Normal"/>
    <w:link w:val="CommentTextChar"/>
    <w:uiPriority w:val="99"/>
    <w:unhideWhenUsed/>
    <w:rsid w:val="00C324AD"/>
    <w:pPr>
      <w:spacing w:line="240" w:lineRule="auto"/>
    </w:pPr>
    <w:rPr>
      <w:sz w:val="20"/>
      <w:szCs w:val="20"/>
    </w:rPr>
  </w:style>
  <w:style w:type="character" w:customStyle="1" w:styleId="CommentTextChar">
    <w:name w:val="Comment Text Char"/>
    <w:basedOn w:val="DefaultParagraphFont"/>
    <w:link w:val="CommentText"/>
    <w:uiPriority w:val="99"/>
    <w:rsid w:val="00C324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4AD"/>
    <w:rPr>
      <w:b/>
      <w:bCs/>
    </w:rPr>
  </w:style>
  <w:style w:type="character" w:customStyle="1" w:styleId="CommentSubjectChar">
    <w:name w:val="Comment Subject Char"/>
    <w:basedOn w:val="CommentTextChar"/>
    <w:link w:val="CommentSubject"/>
    <w:uiPriority w:val="99"/>
    <w:semiHidden/>
    <w:rsid w:val="00C324AD"/>
    <w:rPr>
      <w:rFonts w:ascii="Calibri" w:eastAsia="Times New Roman" w:hAnsi="Calibri" w:cs="Times New Roman"/>
      <w:b/>
      <w:bCs/>
      <w:sz w:val="20"/>
      <w:szCs w:val="20"/>
    </w:rPr>
  </w:style>
  <w:style w:type="paragraph" w:styleId="Revision">
    <w:name w:val="Revision"/>
    <w:hidden/>
    <w:uiPriority w:val="99"/>
    <w:semiHidden/>
    <w:rsid w:val="00DF0431"/>
    <w:rPr>
      <w:rFonts w:ascii="Calibri" w:eastAsia="Times New Roman" w:hAnsi="Calibri" w:cs="Times New Roman"/>
      <w:sz w:val="22"/>
      <w:szCs w:val="22"/>
    </w:rPr>
  </w:style>
  <w:style w:type="character" w:styleId="Hyperlink">
    <w:name w:val="Hyperlink"/>
    <w:basedOn w:val="DefaultParagraphFont"/>
    <w:uiPriority w:val="99"/>
    <w:unhideWhenUsed/>
    <w:rsid w:val="002417A8"/>
    <w:rPr>
      <w:color w:val="0563C1" w:themeColor="hyperlink"/>
      <w:u w:val="single"/>
    </w:rPr>
  </w:style>
  <w:style w:type="character" w:styleId="UnresolvedMention">
    <w:name w:val="Unresolved Mention"/>
    <w:basedOn w:val="DefaultParagraphFont"/>
    <w:uiPriority w:val="99"/>
    <w:rsid w:val="002417A8"/>
    <w:rPr>
      <w:color w:val="605E5C"/>
      <w:shd w:val="clear" w:color="auto" w:fill="E1DFDD"/>
    </w:rPr>
  </w:style>
  <w:style w:type="paragraph" w:styleId="EndnoteText">
    <w:name w:val="endnote text"/>
    <w:basedOn w:val="Normal"/>
    <w:link w:val="EndnoteTextChar"/>
    <w:uiPriority w:val="99"/>
    <w:semiHidden/>
    <w:unhideWhenUsed/>
    <w:rsid w:val="002417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17A8"/>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2417A8"/>
    <w:rPr>
      <w:vertAlign w:val="superscript"/>
    </w:rPr>
  </w:style>
  <w:style w:type="paragraph" w:styleId="FootnoteText">
    <w:name w:val="footnote text"/>
    <w:basedOn w:val="Normal"/>
    <w:link w:val="FootnoteTextChar"/>
    <w:uiPriority w:val="99"/>
    <w:semiHidden/>
    <w:unhideWhenUsed/>
    <w:rsid w:val="00D907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7B8"/>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D907B8"/>
    <w:rPr>
      <w:vertAlign w:val="superscript"/>
    </w:rPr>
  </w:style>
  <w:style w:type="paragraph" w:styleId="NormalWeb">
    <w:name w:val="Normal (Web)"/>
    <w:basedOn w:val="Normal"/>
    <w:uiPriority w:val="99"/>
    <w:unhideWhenUsed/>
    <w:rsid w:val="005454B3"/>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953C2E"/>
    <w:rPr>
      <w:color w:val="954F72" w:themeColor="followedHyperlink"/>
      <w:u w:val="single"/>
    </w:rPr>
  </w:style>
  <w:style w:type="paragraph" w:styleId="ListParagraph">
    <w:name w:val="List Paragraph"/>
    <w:basedOn w:val="Normal"/>
    <w:uiPriority w:val="34"/>
    <w:qFormat/>
    <w:rsid w:val="00096F2C"/>
    <w:pPr>
      <w:spacing w:after="160" w:line="256" w:lineRule="auto"/>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096F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7460">
      <w:bodyDiv w:val="1"/>
      <w:marLeft w:val="0"/>
      <w:marRight w:val="0"/>
      <w:marTop w:val="0"/>
      <w:marBottom w:val="0"/>
      <w:divBdr>
        <w:top w:val="none" w:sz="0" w:space="0" w:color="auto"/>
        <w:left w:val="none" w:sz="0" w:space="0" w:color="auto"/>
        <w:bottom w:val="none" w:sz="0" w:space="0" w:color="auto"/>
        <w:right w:val="none" w:sz="0" w:space="0" w:color="auto"/>
      </w:divBdr>
    </w:div>
    <w:div w:id="110127352">
      <w:bodyDiv w:val="1"/>
      <w:marLeft w:val="0"/>
      <w:marRight w:val="0"/>
      <w:marTop w:val="0"/>
      <w:marBottom w:val="0"/>
      <w:divBdr>
        <w:top w:val="none" w:sz="0" w:space="0" w:color="auto"/>
        <w:left w:val="none" w:sz="0" w:space="0" w:color="auto"/>
        <w:bottom w:val="none" w:sz="0" w:space="0" w:color="auto"/>
        <w:right w:val="none" w:sz="0" w:space="0" w:color="auto"/>
      </w:divBdr>
    </w:div>
    <w:div w:id="115216346">
      <w:bodyDiv w:val="1"/>
      <w:marLeft w:val="0"/>
      <w:marRight w:val="0"/>
      <w:marTop w:val="0"/>
      <w:marBottom w:val="0"/>
      <w:divBdr>
        <w:top w:val="none" w:sz="0" w:space="0" w:color="auto"/>
        <w:left w:val="none" w:sz="0" w:space="0" w:color="auto"/>
        <w:bottom w:val="none" w:sz="0" w:space="0" w:color="auto"/>
        <w:right w:val="none" w:sz="0" w:space="0" w:color="auto"/>
      </w:divBdr>
    </w:div>
    <w:div w:id="363949337">
      <w:bodyDiv w:val="1"/>
      <w:marLeft w:val="0"/>
      <w:marRight w:val="0"/>
      <w:marTop w:val="0"/>
      <w:marBottom w:val="0"/>
      <w:divBdr>
        <w:top w:val="none" w:sz="0" w:space="0" w:color="auto"/>
        <w:left w:val="none" w:sz="0" w:space="0" w:color="auto"/>
        <w:bottom w:val="none" w:sz="0" w:space="0" w:color="auto"/>
        <w:right w:val="none" w:sz="0" w:space="0" w:color="auto"/>
      </w:divBdr>
    </w:div>
    <w:div w:id="459348085">
      <w:bodyDiv w:val="1"/>
      <w:marLeft w:val="0"/>
      <w:marRight w:val="0"/>
      <w:marTop w:val="0"/>
      <w:marBottom w:val="0"/>
      <w:divBdr>
        <w:top w:val="none" w:sz="0" w:space="0" w:color="auto"/>
        <w:left w:val="none" w:sz="0" w:space="0" w:color="auto"/>
        <w:bottom w:val="none" w:sz="0" w:space="0" w:color="auto"/>
        <w:right w:val="none" w:sz="0" w:space="0" w:color="auto"/>
      </w:divBdr>
    </w:div>
    <w:div w:id="464810233">
      <w:bodyDiv w:val="1"/>
      <w:marLeft w:val="0"/>
      <w:marRight w:val="0"/>
      <w:marTop w:val="0"/>
      <w:marBottom w:val="0"/>
      <w:divBdr>
        <w:top w:val="none" w:sz="0" w:space="0" w:color="auto"/>
        <w:left w:val="none" w:sz="0" w:space="0" w:color="auto"/>
        <w:bottom w:val="none" w:sz="0" w:space="0" w:color="auto"/>
        <w:right w:val="none" w:sz="0" w:space="0" w:color="auto"/>
      </w:divBdr>
    </w:div>
    <w:div w:id="518081289">
      <w:bodyDiv w:val="1"/>
      <w:marLeft w:val="0"/>
      <w:marRight w:val="0"/>
      <w:marTop w:val="0"/>
      <w:marBottom w:val="0"/>
      <w:divBdr>
        <w:top w:val="none" w:sz="0" w:space="0" w:color="auto"/>
        <w:left w:val="none" w:sz="0" w:space="0" w:color="auto"/>
        <w:bottom w:val="none" w:sz="0" w:space="0" w:color="auto"/>
        <w:right w:val="none" w:sz="0" w:space="0" w:color="auto"/>
      </w:divBdr>
    </w:div>
    <w:div w:id="527523264">
      <w:bodyDiv w:val="1"/>
      <w:marLeft w:val="0"/>
      <w:marRight w:val="0"/>
      <w:marTop w:val="0"/>
      <w:marBottom w:val="0"/>
      <w:divBdr>
        <w:top w:val="none" w:sz="0" w:space="0" w:color="auto"/>
        <w:left w:val="none" w:sz="0" w:space="0" w:color="auto"/>
        <w:bottom w:val="none" w:sz="0" w:space="0" w:color="auto"/>
        <w:right w:val="none" w:sz="0" w:space="0" w:color="auto"/>
      </w:divBdr>
    </w:div>
    <w:div w:id="536770743">
      <w:bodyDiv w:val="1"/>
      <w:marLeft w:val="0"/>
      <w:marRight w:val="0"/>
      <w:marTop w:val="0"/>
      <w:marBottom w:val="0"/>
      <w:divBdr>
        <w:top w:val="none" w:sz="0" w:space="0" w:color="auto"/>
        <w:left w:val="none" w:sz="0" w:space="0" w:color="auto"/>
        <w:bottom w:val="none" w:sz="0" w:space="0" w:color="auto"/>
        <w:right w:val="none" w:sz="0" w:space="0" w:color="auto"/>
      </w:divBdr>
    </w:div>
    <w:div w:id="562375251">
      <w:bodyDiv w:val="1"/>
      <w:marLeft w:val="0"/>
      <w:marRight w:val="0"/>
      <w:marTop w:val="0"/>
      <w:marBottom w:val="0"/>
      <w:divBdr>
        <w:top w:val="none" w:sz="0" w:space="0" w:color="auto"/>
        <w:left w:val="none" w:sz="0" w:space="0" w:color="auto"/>
        <w:bottom w:val="none" w:sz="0" w:space="0" w:color="auto"/>
        <w:right w:val="none" w:sz="0" w:space="0" w:color="auto"/>
      </w:divBdr>
    </w:div>
    <w:div w:id="620453337">
      <w:bodyDiv w:val="1"/>
      <w:marLeft w:val="0"/>
      <w:marRight w:val="0"/>
      <w:marTop w:val="0"/>
      <w:marBottom w:val="0"/>
      <w:divBdr>
        <w:top w:val="none" w:sz="0" w:space="0" w:color="auto"/>
        <w:left w:val="none" w:sz="0" w:space="0" w:color="auto"/>
        <w:bottom w:val="none" w:sz="0" w:space="0" w:color="auto"/>
        <w:right w:val="none" w:sz="0" w:space="0" w:color="auto"/>
      </w:divBdr>
    </w:div>
    <w:div w:id="621880424">
      <w:bodyDiv w:val="1"/>
      <w:marLeft w:val="0"/>
      <w:marRight w:val="0"/>
      <w:marTop w:val="0"/>
      <w:marBottom w:val="0"/>
      <w:divBdr>
        <w:top w:val="none" w:sz="0" w:space="0" w:color="auto"/>
        <w:left w:val="none" w:sz="0" w:space="0" w:color="auto"/>
        <w:bottom w:val="none" w:sz="0" w:space="0" w:color="auto"/>
        <w:right w:val="none" w:sz="0" w:space="0" w:color="auto"/>
      </w:divBdr>
    </w:div>
    <w:div w:id="637416780">
      <w:bodyDiv w:val="1"/>
      <w:marLeft w:val="0"/>
      <w:marRight w:val="0"/>
      <w:marTop w:val="0"/>
      <w:marBottom w:val="0"/>
      <w:divBdr>
        <w:top w:val="none" w:sz="0" w:space="0" w:color="auto"/>
        <w:left w:val="none" w:sz="0" w:space="0" w:color="auto"/>
        <w:bottom w:val="none" w:sz="0" w:space="0" w:color="auto"/>
        <w:right w:val="none" w:sz="0" w:space="0" w:color="auto"/>
      </w:divBdr>
    </w:div>
    <w:div w:id="649141312">
      <w:bodyDiv w:val="1"/>
      <w:marLeft w:val="0"/>
      <w:marRight w:val="0"/>
      <w:marTop w:val="0"/>
      <w:marBottom w:val="0"/>
      <w:divBdr>
        <w:top w:val="none" w:sz="0" w:space="0" w:color="auto"/>
        <w:left w:val="none" w:sz="0" w:space="0" w:color="auto"/>
        <w:bottom w:val="none" w:sz="0" w:space="0" w:color="auto"/>
        <w:right w:val="none" w:sz="0" w:space="0" w:color="auto"/>
      </w:divBdr>
    </w:div>
    <w:div w:id="700087734">
      <w:bodyDiv w:val="1"/>
      <w:marLeft w:val="0"/>
      <w:marRight w:val="0"/>
      <w:marTop w:val="0"/>
      <w:marBottom w:val="0"/>
      <w:divBdr>
        <w:top w:val="none" w:sz="0" w:space="0" w:color="auto"/>
        <w:left w:val="none" w:sz="0" w:space="0" w:color="auto"/>
        <w:bottom w:val="none" w:sz="0" w:space="0" w:color="auto"/>
        <w:right w:val="none" w:sz="0" w:space="0" w:color="auto"/>
      </w:divBdr>
    </w:div>
    <w:div w:id="762799379">
      <w:bodyDiv w:val="1"/>
      <w:marLeft w:val="0"/>
      <w:marRight w:val="0"/>
      <w:marTop w:val="0"/>
      <w:marBottom w:val="0"/>
      <w:divBdr>
        <w:top w:val="none" w:sz="0" w:space="0" w:color="auto"/>
        <w:left w:val="none" w:sz="0" w:space="0" w:color="auto"/>
        <w:bottom w:val="none" w:sz="0" w:space="0" w:color="auto"/>
        <w:right w:val="none" w:sz="0" w:space="0" w:color="auto"/>
      </w:divBdr>
    </w:div>
    <w:div w:id="763494429">
      <w:bodyDiv w:val="1"/>
      <w:marLeft w:val="0"/>
      <w:marRight w:val="0"/>
      <w:marTop w:val="0"/>
      <w:marBottom w:val="0"/>
      <w:divBdr>
        <w:top w:val="none" w:sz="0" w:space="0" w:color="auto"/>
        <w:left w:val="none" w:sz="0" w:space="0" w:color="auto"/>
        <w:bottom w:val="none" w:sz="0" w:space="0" w:color="auto"/>
        <w:right w:val="none" w:sz="0" w:space="0" w:color="auto"/>
      </w:divBdr>
    </w:div>
    <w:div w:id="767196075">
      <w:bodyDiv w:val="1"/>
      <w:marLeft w:val="0"/>
      <w:marRight w:val="0"/>
      <w:marTop w:val="0"/>
      <w:marBottom w:val="0"/>
      <w:divBdr>
        <w:top w:val="none" w:sz="0" w:space="0" w:color="auto"/>
        <w:left w:val="none" w:sz="0" w:space="0" w:color="auto"/>
        <w:bottom w:val="none" w:sz="0" w:space="0" w:color="auto"/>
        <w:right w:val="none" w:sz="0" w:space="0" w:color="auto"/>
      </w:divBdr>
    </w:div>
    <w:div w:id="789591939">
      <w:bodyDiv w:val="1"/>
      <w:marLeft w:val="0"/>
      <w:marRight w:val="0"/>
      <w:marTop w:val="0"/>
      <w:marBottom w:val="0"/>
      <w:divBdr>
        <w:top w:val="none" w:sz="0" w:space="0" w:color="auto"/>
        <w:left w:val="none" w:sz="0" w:space="0" w:color="auto"/>
        <w:bottom w:val="none" w:sz="0" w:space="0" w:color="auto"/>
        <w:right w:val="none" w:sz="0" w:space="0" w:color="auto"/>
      </w:divBdr>
    </w:div>
    <w:div w:id="795180530">
      <w:bodyDiv w:val="1"/>
      <w:marLeft w:val="0"/>
      <w:marRight w:val="0"/>
      <w:marTop w:val="0"/>
      <w:marBottom w:val="0"/>
      <w:divBdr>
        <w:top w:val="none" w:sz="0" w:space="0" w:color="auto"/>
        <w:left w:val="none" w:sz="0" w:space="0" w:color="auto"/>
        <w:bottom w:val="none" w:sz="0" w:space="0" w:color="auto"/>
        <w:right w:val="none" w:sz="0" w:space="0" w:color="auto"/>
      </w:divBdr>
    </w:div>
    <w:div w:id="838886200">
      <w:bodyDiv w:val="1"/>
      <w:marLeft w:val="0"/>
      <w:marRight w:val="0"/>
      <w:marTop w:val="0"/>
      <w:marBottom w:val="0"/>
      <w:divBdr>
        <w:top w:val="none" w:sz="0" w:space="0" w:color="auto"/>
        <w:left w:val="none" w:sz="0" w:space="0" w:color="auto"/>
        <w:bottom w:val="none" w:sz="0" w:space="0" w:color="auto"/>
        <w:right w:val="none" w:sz="0" w:space="0" w:color="auto"/>
      </w:divBdr>
    </w:div>
    <w:div w:id="899025943">
      <w:bodyDiv w:val="1"/>
      <w:marLeft w:val="0"/>
      <w:marRight w:val="0"/>
      <w:marTop w:val="0"/>
      <w:marBottom w:val="0"/>
      <w:divBdr>
        <w:top w:val="none" w:sz="0" w:space="0" w:color="auto"/>
        <w:left w:val="none" w:sz="0" w:space="0" w:color="auto"/>
        <w:bottom w:val="none" w:sz="0" w:space="0" w:color="auto"/>
        <w:right w:val="none" w:sz="0" w:space="0" w:color="auto"/>
      </w:divBdr>
    </w:div>
    <w:div w:id="920870403">
      <w:bodyDiv w:val="1"/>
      <w:marLeft w:val="0"/>
      <w:marRight w:val="0"/>
      <w:marTop w:val="0"/>
      <w:marBottom w:val="0"/>
      <w:divBdr>
        <w:top w:val="none" w:sz="0" w:space="0" w:color="auto"/>
        <w:left w:val="none" w:sz="0" w:space="0" w:color="auto"/>
        <w:bottom w:val="none" w:sz="0" w:space="0" w:color="auto"/>
        <w:right w:val="none" w:sz="0" w:space="0" w:color="auto"/>
      </w:divBdr>
    </w:div>
    <w:div w:id="930167259">
      <w:bodyDiv w:val="1"/>
      <w:marLeft w:val="0"/>
      <w:marRight w:val="0"/>
      <w:marTop w:val="0"/>
      <w:marBottom w:val="0"/>
      <w:divBdr>
        <w:top w:val="none" w:sz="0" w:space="0" w:color="auto"/>
        <w:left w:val="none" w:sz="0" w:space="0" w:color="auto"/>
        <w:bottom w:val="none" w:sz="0" w:space="0" w:color="auto"/>
        <w:right w:val="none" w:sz="0" w:space="0" w:color="auto"/>
      </w:divBdr>
    </w:div>
    <w:div w:id="956329902">
      <w:bodyDiv w:val="1"/>
      <w:marLeft w:val="0"/>
      <w:marRight w:val="0"/>
      <w:marTop w:val="0"/>
      <w:marBottom w:val="0"/>
      <w:divBdr>
        <w:top w:val="none" w:sz="0" w:space="0" w:color="auto"/>
        <w:left w:val="none" w:sz="0" w:space="0" w:color="auto"/>
        <w:bottom w:val="none" w:sz="0" w:space="0" w:color="auto"/>
        <w:right w:val="none" w:sz="0" w:space="0" w:color="auto"/>
      </w:divBdr>
    </w:div>
    <w:div w:id="974876373">
      <w:bodyDiv w:val="1"/>
      <w:marLeft w:val="0"/>
      <w:marRight w:val="0"/>
      <w:marTop w:val="0"/>
      <w:marBottom w:val="0"/>
      <w:divBdr>
        <w:top w:val="none" w:sz="0" w:space="0" w:color="auto"/>
        <w:left w:val="none" w:sz="0" w:space="0" w:color="auto"/>
        <w:bottom w:val="none" w:sz="0" w:space="0" w:color="auto"/>
        <w:right w:val="none" w:sz="0" w:space="0" w:color="auto"/>
      </w:divBdr>
    </w:div>
    <w:div w:id="993603293">
      <w:bodyDiv w:val="1"/>
      <w:marLeft w:val="0"/>
      <w:marRight w:val="0"/>
      <w:marTop w:val="0"/>
      <w:marBottom w:val="0"/>
      <w:divBdr>
        <w:top w:val="none" w:sz="0" w:space="0" w:color="auto"/>
        <w:left w:val="none" w:sz="0" w:space="0" w:color="auto"/>
        <w:bottom w:val="none" w:sz="0" w:space="0" w:color="auto"/>
        <w:right w:val="none" w:sz="0" w:space="0" w:color="auto"/>
      </w:divBdr>
    </w:div>
    <w:div w:id="1027558332">
      <w:bodyDiv w:val="1"/>
      <w:marLeft w:val="0"/>
      <w:marRight w:val="0"/>
      <w:marTop w:val="0"/>
      <w:marBottom w:val="0"/>
      <w:divBdr>
        <w:top w:val="none" w:sz="0" w:space="0" w:color="auto"/>
        <w:left w:val="none" w:sz="0" w:space="0" w:color="auto"/>
        <w:bottom w:val="none" w:sz="0" w:space="0" w:color="auto"/>
        <w:right w:val="none" w:sz="0" w:space="0" w:color="auto"/>
      </w:divBdr>
    </w:div>
    <w:div w:id="1048644841">
      <w:bodyDiv w:val="1"/>
      <w:marLeft w:val="0"/>
      <w:marRight w:val="0"/>
      <w:marTop w:val="0"/>
      <w:marBottom w:val="0"/>
      <w:divBdr>
        <w:top w:val="none" w:sz="0" w:space="0" w:color="auto"/>
        <w:left w:val="none" w:sz="0" w:space="0" w:color="auto"/>
        <w:bottom w:val="none" w:sz="0" w:space="0" w:color="auto"/>
        <w:right w:val="none" w:sz="0" w:space="0" w:color="auto"/>
      </w:divBdr>
    </w:div>
    <w:div w:id="1084571253">
      <w:bodyDiv w:val="1"/>
      <w:marLeft w:val="0"/>
      <w:marRight w:val="0"/>
      <w:marTop w:val="0"/>
      <w:marBottom w:val="0"/>
      <w:divBdr>
        <w:top w:val="none" w:sz="0" w:space="0" w:color="auto"/>
        <w:left w:val="none" w:sz="0" w:space="0" w:color="auto"/>
        <w:bottom w:val="none" w:sz="0" w:space="0" w:color="auto"/>
        <w:right w:val="none" w:sz="0" w:space="0" w:color="auto"/>
      </w:divBdr>
    </w:div>
    <w:div w:id="1128205483">
      <w:bodyDiv w:val="1"/>
      <w:marLeft w:val="0"/>
      <w:marRight w:val="0"/>
      <w:marTop w:val="0"/>
      <w:marBottom w:val="0"/>
      <w:divBdr>
        <w:top w:val="none" w:sz="0" w:space="0" w:color="auto"/>
        <w:left w:val="none" w:sz="0" w:space="0" w:color="auto"/>
        <w:bottom w:val="none" w:sz="0" w:space="0" w:color="auto"/>
        <w:right w:val="none" w:sz="0" w:space="0" w:color="auto"/>
      </w:divBdr>
    </w:div>
    <w:div w:id="1150094074">
      <w:bodyDiv w:val="1"/>
      <w:marLeft w:val="0"/>
      <w:marRight w:val="0"/>
      <w:marTop w:val="0"/>
      <w:marBottom w:val="0"/>
      <w:divBdr>
        <w:top w:val="none" w:sz="0" w:space="0" w:color="auto"/>
        <w:left w:val="none" w:sz="0" w:space="0" w:color="auto"/>
        <w:bottom w:val="none" w:sz="0" w:space="0" w:color="auto"/>
        <w:right w:val="none" w:sz="0" w:space="0" w:color="auto"/>
      </w:divBdr>
    </w:div>
    <w:div w:id="1168669925">
      <w:bodyDiv w:val="1"/>
      <w:marLeft w:val="0"/>
      <w:marRight w:val="0"/>
      <w:marTop w:val="0"/>
      <w:marBottom w:val="0"/>
      <w:divBdr>
        <w:top w:val="none" w:sz="0" w:space="0" w:color="auto"/>
        <w:left w:val="none" w:sz="0" w:space="0" w:color="auto"/>
        <w:bottom w:val="none" w:sz="0" w:space="0" w:color="auto"/>
        <w:right w:val="none" w:sz="0" w:space="0" w:color="auto"/>
      </w:divBdr>
    </w:div>
    <w:div w:id="1210336035">
      <w:bodyDiv w:val="1"/>
      <w:marLeft w:val="0"/>
      <w:marRight w:val="0"/>
      <w:marTop w:val="0"/>
      <w:marBottom w:val="0"/>
      <w:divBdr>
        <w:top w:val="none" w:sz="0" w:space="0" w:color="auto"/>
        <w:left w:val="none" w:sz="0" w:space="0" w:color="auto"/>
        <w:bottom w:val="none" w:sz="0" w:space="0" w:color="auto"/>
        <w:right w:val="none" w:sz="0" w:space="0" w:color="auto"/>
      </w:divBdr>
    </w:div>
    <w:div w:id="1245266929">
      <w:bodyDiv w:val="1"/>
      <w:marLeft w:val="0"/>
      <w:marRight w:val="0"/>
      <w:marTop w:val="0"/>
      <w:marBottom w:val="0"/>
      <w:divBdr>
        <w:top w:val="none" w:sz="0" w:space="0" w:color="auto"/>
        <w:left w:val="none" w:sz="0" w:space="0" w:color="auto"/>
        <w:bottom w:val="none" w:sz="0" w:space="0" w:color="auto"/>
        <w:right w:val="none" w:sz="0" w:space="0" w:color="auto"/>
      </w:divBdr>
    </w:div>
    <w:div w:id="1343241326">
      <w:bodyDiv w:val="1"/>
      <w:marLeft w:val="0"/>
      <w:marRight w:val="0"/>
      <w:marTop w:val="0"/>
      <w:marBottom w:val="0"/>
      <w:divBdr>
        <w:top w:val="none" w:sz="0" w:space="0" w:color="auto"/>
        <w:left w:val="none" w:sz="0" w:space="0" w:color="auto"/>
        <w:bottom w:val="none" w:sz="0" w:space="0" w:color="auto"/>
        <w:right w:val="none" w:sz="0" w:space="0" w:color="auto"/>
      </w:divBdr>
    </w:div>
    <w:div w:id="1346979265">
      <w:bodyDiv w:val="1"/>
      <w:marLeft w:val="0"/>
      <w:marRight w:val="0"/>
      <w:marTop w:val="0"/>
      <w:marBottom w:val="0"/>
      <w:divBdr>
        <w:top w:val="none" w:sz="0" w:space="0" w:color="auto"/>
        <w:left w:val="none" w:sz="0" w:space="0" w:color="auto"/>
        <w:bottom w:val="none" w:sz="0" w:space="0" w:color="auto"/>
        <w:right w:val="none" w:sz="0" w:space="0" w:color="auto"/>
      </w:divBdr>
    </w:div>
    <w:div w:id="1395474139">
      <w:bodyDiv w:val="1"/>
      <w:marLeft w:val="0"/>
      <w:marRight w:val="0"/>
      <w:marTop w:val="0"/>
      <w:marBottom w:val="0"/>
      <w:divBdr>
        <w:top w:val="none" w:sz="0" w:space="0" w:color="auto"/>
        <w:left w:val="none" w:sz="0" w:space="0" w:color="auto"/>
        <w:bottom w:val="none" w:sz="0" w:space="0" w:color="auto"/>
        <w:right w:val="none" w:sz="0" w:space="0" w:color="auto"/>
      </w:divBdr>
    </w:div>
    <w:div w:id="1410692251">
      <w:bodyDiv w:val="1"/>
      <w:marLeft w:val="0"/>
      <w:marRight w:val="0"/>
      <w:marTop w:val="0"/>
      <w:marBottom w:val="0"/>
      <w:divBdr>
        <w:top w:val="none" w:sz="0" w:space="0" w:color="auto"/>
        <w:left w:val="none" w:sz="0" w:space="0" w:color="auto"/>
        <w:bottom w:val="none" w:sz="0" w:space="0" w:color="auto"/>
        <w:right w:val="none" w:sz="0" w:space="0" w:color="auto"/>
      </w:divBdr>
    </w:div>
    <w:div w:id="1425494814">
      <w:bodyDiv w:val="1"/>
      <w:marLeft w:val="0"/>
      <w:marRight w:val="0"/>
      <w:marTop w:val="0"/>
      <w:marBottom w:val="0"/>
      <w:divBdr>
        <w:top w:val="none" w:sz="0" w:space="0" w:color="auto"/>
        <w:left w:val="none" w:sz="0" w:space="0" w:color="auto"/>
        <w:bottom w:val="none" w:sz="0" w:space="0" w:color="auto"/>
        <w:right w:val="none" w:sz="0" w:space="0" w:color="auto"/>
      </w:divBdr>
    </w:div>
    <w:div w:id="1482774513">
      <w:bodyDiv w:val="1"/>
      <w:marLeft w:val="0"/>
      <w:marRight w:val="0"/>
      <w:marTop w:val="0"/>
      <w:marBottom w:val="0"/>
      <w:divBdr>
        <w:top w:val="none" w:sz="0" w:space="0" w:color="auto"/>
        <w:left w:val="none" w:sz="0" w:space="0" w:color="auto"/>
        <w:bottom w:val="none" w:sz="0" w:space="0" w:color="auto"/>
        <w:right w:val="none" w:sz="0" w:space="0" w:color="auto"/>
      </w:divBdr>
    </w:div>
    <w:div w:id="1527059964">
      <w:bodyDiv w:val="1"/>
      <w:marLeft w:val="0"/>
      <w:marRight w:val="0"/>
      <w:marTop w:val="0"/>
      <w:marBottom w:val="0"/>
      <w:divBdr>
        <w:top w:val="none" w:sz="0" w:space="0" w:color="auto"/>
        <w:left w:val="none" w:sz="0" w:space="0" w:color="auto"/>
        <w:bottom w:val="none" w:sz="0" w:space="0" w:color="auto"/>
        <w:right w:val="none" w:sz="0" w:space="0" w:color="auto"/>
      </w:divBdr>
    </w:div>
    <w:div w:id="1543059292">
      <w:bodyDiv w:val="1"/>
      <w:marLeft w:val="0"/>
      <w:marRight w:val="0"/>
      <w:marTop w:val="0"/>
      <w:marBottom w:val="0"/>
      <w:divBdr>
        <w:top w:val="none" w:sz="0" w:space="0" w:color="auto"/>
        <w:left w:val="none" w:sz="0" w:space="0" w:color="auto"/>
        <w:bottom w:val="none" w:sz="0" w:space="0" w:color="auto"/>
        <w:right w:val="none" w:sz="0" w:space="0" w:color="auto"/>
      </w:divBdr>
    </w:div>
    <w:div w:id="1618442922">
      <w:bodyDiv w:val="1"/>
      <w:marLeft w:val="0"/>
      <w:marRight w:val="0"/>
      <w:marTop w:val="0"/>
      <w:marBottom w:val="0"/>
      <w:divBdr>
        <w:top w:val="none" w:sz="0" w:space="0" w:color="auto"/>
        <w:left w:val="none" w:sz="0" w:space="0" w:color="auto"/>
        <w:bottom w:val="none" w:sz="0" w:space="0" w:color="auto"/>
        <w:right w:val="none" w:sz="0" w:space="0" w:color="auto"/>
      </w:divBdr>
    </w:div>
    <w:div w:id="1621572132">
      <w:bodyDiv w:val="1"/>
      <w:marLeft w:val="0"/>
      <w:marRight w:val="0"/>
      <w:marTop w:val="0"/>
      <w:marBottom w:val="0"/>
      <w:divBdr>
        <w:top w:val="none" w:sz="0" w:space="0" w:color="auto"/>
        <w:left w:val="none" w:sz="0" w:space="0" w:color="auto"/>
        <w:bottom w:val="none" w:sz="0" w:space="0" w:color="auto"/>
        <w:right w:val="none" w:sz="0" w:space="0" w:color="auto"/>
      </w:divBdr>
    </w:div>
    <w:div w:id="1634484324">
      <w:bodyDiv w:val="1"/>
      <w:marLeft w:val="0"/>
      <w:marRight w:val="0"/>
      <w:marTop w:val="0"/>
      <w:marBottom w:val="0"/>
      <w:divBdr>
        <w:top w:val="none" w:sz="0" w:space="0" w:color="auto"/>
        <w:left w:val="none" w:sz="0" w:space="0" w:color="auto"/>
        <w:bottom w:val="none" w:sz="0" w:space="0" w:color="auto"/>
        <w:right w:val="none" w:sz="0" w:space="0" w:color="auto"/>
      </w:divBdr>
    </w:div>
    <w:div w:id="1689941991">
      <w:bodyDiv w:val="1"/>
      <w:marLeft w:val="0"/>
      <w:marRight w:val="0"/>
      <w:marTop w:val="0"/>
      <w:marBottom w:val="0"/>
      <w:divBdr>
        <w:top w:val="none" w:sz="0" w:space="0" w:color="auto"/>
        <w:left w:val="none" w:sz="0" w:space="0" w:color="auto"/>
        <w:bottom w:val="none" w:sz="0" w:space="0" w:color="auto"/>
        <w:right w:val="none" w:sz="0" w:space="0" w:color="auto"/>
      </w:divBdr>
    </w:div>
    <w:div w:id="1718433249">
      <w:bodyDiv w:val="1"/>
      <w:marLeft w:val="0"/>
      <w:marRight w:val="0"/>
      <w:marTop w:val="0"/>
      <w:marBottom w:val="0"/>
      <w:divBdr>
        <w:top w:val="none" w:sz="0" w:space="0" w:color="auto"/>
        <w:left w:val="none" w:sz="0" w:space="0" w:color="auto"/>
        <w:bottom w:val="none" w:sz="0" w:space="0" w:color="auto"/>
        <w:right w:val="none" w:sz="0" w:space="0" w:color="auto"/>
      </w:divBdr>
    </w:div>
    <w:div w:id="1723478338">
      <w:bodyDiv w:val="1"/>
      <w:marLeft w:val="0"/>
      <w:marRight w:val="0"/>
      <w:marTop w:val="0"/>
      <w:marBottom w:val="0"/>
      <w:divBdr>
        <w:top w:val="none" w:sz="0" w:space="0" w:color="auto"/>
        <w:left w:val="none" w:sz="0" w:space="0" w:color="auto"/>
        <w:bottom w:val="none" w:sz="0" w:space="0" w:color="auto"/>
        <w:right w:val="none" w:sz="0" w:space="0" w:color="auto"/>
      </w:divBdr>
    </w:div>
    <w:div w:id="1753896027">
      <w:bodyDiv w:val="1"/>
      <w:marLeft w:val="0"/>
      <w:marRight w:val="0"/>
      <w:marTop w:val="0"/>
      <w:marBottom w:val="0"/>
      <w:divBdr>
        <w:top w:val="none" w:sz="0" w:space="0" w:color="auto"/>
        <w:left w:val="none" w:sz="0" w:space="0" w:color="auto"/>
        <w:bottom w:val="none" w:sz="0" w:space="0" w:color="auto"/>
        <w:right w:val="none" w:sz="0" w:space="0" w:color="auto"/>
      </w:divBdr>
    </w:div>
    <w:div w:id="1788616590">
      <w:bodyDiv w:val="1"/>
      <w:marLeft w:val="0"/>
      <w:marRight w:val="0"/>
      <w:marTop w:val="0"/>
      <w:marBottom w:val="0"/>
      <w:divBdr>
        <w:top w:val="none" w:sz="0" w:space="0" w:color="auto"/>
        <w:left w:val="none" w:sz="0" w:space="0" w:color="auto"/>
        <w:bottom w:val="none" w:sz="0" w:space="0" w:color="auto"/>
        <w:right w:val="none" w:sz="0" w:space="0" w:color="auto"/>
      </w:divBdr>
    </w:div>
    <w:div w:id="1788625434">
      <w:bodyDiv w:val="1"/>
      <w:marLeft w:val="0"/>
      <w:marRight w:val="0"/>
      <w:marTop w:val="0"/>
      <w:marBottom w:val="0"/>
      <w:divBdr>
        <w:top w:val="none" w:sz="0" w:space="0" w:color="auto"/>
        <w:left w:val="none" w:sz="0" w:space="0" w:color="auto"/>
        <w:bottom w:val="none" w:sz="0" w:space="0" w:color="auto"/>
        <w:right w:val="none" w:sz="0" w:space="0" w:color="auto"/>
      </w:divBdr>
    </w:div>
    <w:div w:id="1860895565">
      <w:bodyDiv w:val="1"/>
      <w:marLeft w:val="0"/>
      <w:marRight w:val="0"/>
      <w:marTop w:val="0"/>
      <w:marBottom w:val="0"/>
      <w:divBdr>
        <w:top w:val="none" w:sz="0" w:space="0" w:color="auto"/>
        <w:left w:val="none" w:sz="0" w:space="0" w:color="auto"/>
        <w:bottom w:val="none" w:sz="0" w:space="0" w:color="auto"/>
        <w:right w:val="none" w:sz="0" w:space="0" w:color="auto"/>
      </w:divBdr>
    </w:div>
    <w:div w:id="1939169844">
      <w:bodyDiv w:val="1"/>
      <w:marLeft w:val="0"/>
      <w:marRight w:val="0"/>
      <w:marTop w:val="0"/>
      <w:marBottom w:val="0"/>
      <w:divBdr>
        <w:top w:val="none" w:sz="0" w:space="0" w:color="auto"/>
        <w:left w:val="none" w:sz="0" w:space="0" w:color="auto"/>
        <w:bottom w:val="none" w:sz="0" w:space="0" w:color="auto"/>
        <w:right w:val="none" w:sz="0" w:space="0" w:color="auto"/>
      </w:divBdr>
    </w:div>
    <w:div w:id="1959413909">
      <w:bodyDiv w:val="1"/>
      <w:marLeft w:val="0"/>
      <w:marRight w:val="0"/>
      <w:marTop w:val="0"/>
      <w:marBottom w:val="0"/>
      <w:divBdr>
        <w:top w:val="none" w:sz="0" w:space="0" w:color="auto"/>
        <w:left w:val="none" w:sz="0" w:space="0" w:color="auto"/>
        <w:bottom w:val="none" w:sz="0" w:space="0" w:color="auto"/>
        <w:right w:val="none" w:sz="0" w:space="0" w:color="auto"/>
      </w:divBdr>
    </w:div>
    <w:div w:id="1971550998">
      <w:bodyDiv w:val="1"/>
      <w:marLeft w:val="0"/>
      <w:marRight w:val="0"/>
      <w:marTop w:val="0"/>
      <w:marBottom w:val="0"/>
      <w:divBdr>
        <w:top w:val="none" w:sz="0" w:space="0" w:color="auto"/>
        <w:left w:val="none" w:sz="0" w:space="0" w:color="auto"/>
        <w:bottom w:val="none" w:sz="0" w:space="0" w:color="auto"/>
        <w:right w:val="none" w:sz="0" w:space="0" w:color="auto"/>
      </w:divBdr>
    </w:div>
    <w:div w:id="2065371445">
      <w:bodyDiv w:val="1"/>
      <w:marLeft w:val="0"/>
      <w:marRight w:val="0"/>
      <w:marTop w:val="0"/>
      <w:marBottom w:val="0"/>
      <w:divBdr>
        <w:top w:val="none" w:sz="0" w:space="0" w:color="auto"/>
        <w:left w:val="none" w:sz="0" w:space="0" w:color="auto"/>
        <w:bottom w:val="none" w:sz="0" w:space="0" w:color="auto"/>
        <w:right w:val="none" w:sz="0" w:space="0" w:color="auto"/>
      </w:divBdr>
    </w:div>
    <w:div w:id="2070834524">
      <w:bodyDiv w:val="1"/>
      <w:marLeft w:val="0"/>
      <w:marRight w:val="0"/>
      <w:marTop w:val="0"/>
      <w:marBottom w:val="0"/>
      <w:divBdr>
        <w:top w:val="none" w:sz="0" w:space="0" w:color="auto"/>
        <w:left w:val="none" w:sz="0" w:space="0" w:color="auto"/>
        <w:bottom w:val="none" w:sz="0" w:space="0" w:color="auto"/>
        <w:right w:val="none" w:sz="0" w:space="0" w:color="auto"/>
      </w:divBdr>
    </w:div>
    <w:div w:id="211474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_rels/endnotes.xml.rels><?xml version="1.0" encoding="UTF-8" standalone="yes"?>
<Relationships xmlns="http://schemas.openxmlformats.org/package/2006/relationships"><Relationship Id="rId3" Type="http://schemas.openxmlformats.org/officeDocument/2006/relationships/hyperlink" Target="https://www.nuveen.com/en-us/insights/investment-outlook/fixed-income-weekly-commentary" TargetMode="External"/><Relationship Id="rId2" Type="http://schemas.openxmlformats.org/officeDocument/2006/relationships/hyperlink" Target="https://insight.factset.com/sp-500-earnings-season-update-july-29-2022" TargetMode="External"/><Relationship Id="rId1" Type="http://schemas.openxmlformats.org/officeDocument/2006/relationships/hyperlink" Target="https://www.spglobal.com/spdji/en/commentary/article/us-equities-market-attributes" TargetMode="External"/><Relationship Id="rId5" Type="http://schemas.openxmlformats.org/officeDocument/2006/relationships/hyperlink" Target="https://www.wealthmanagement.com/reits/after-rough-first-half-publicly-traded-reits-bounced-back-july" TargetMode="External"/><Relationship Id="rId4" Type="http://schemas.openxmlformats.org/officeDocument/2006/relationships/hyperlink" Target="https://www.nuveen.com/en-us/insights/investment-outlook/fixed-income-weekly-commentary"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b="1"/>
              <a:t>Returns as of July 31</a:t>
            </a:r>
            <a:r>
              <a:rPr lang="en-US" sz="1000" b="1" baseline="0"/>
              <a:t>, 2022</a:t>
            </a:r>
            <a:endParaRPr lang="en-US" sz="1000" b="1"/>
          </a:p>
        </c:rich>
      </c:tx>
      <c:layout>
        <c:manualLayout>
          <c:xMode val="edge"/>
          <c:yMode val="edge"/>
          <c:x val="0.32151960784313732"/>
          <c:y val="1.9011168325366954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1.9607843137254902E-2"/>
          <c:y val="0.2390418023260289"/>
          <c:w val="0.94607843137254899"/>
          <c:h val="0.5968900331740058"/>
        </c:manualLayout>
      </c:layout>
      <c:barChart>
        <c:barDir val="col"/>
        <c:grouping val="clustered"/>
        <c:varyColors val="0"/>
        <c:ser>
          <c:idx val="0"/>
          <c:order val="0"/>
          <c:tx>
            <c:strRef>
              <c:f>Sheet1!$B$1</c:f>
              <c:strCache>
                <c:ptCount val="1"/>
                <c:pt idx="0">
                  <c:v>US Equities</c:v>
                </c:pt>
              </c:strCache>
            </c:strRef>
          </c:tx>
          <c:spPr>
            <a:solidFill>
              <a:schemeClr val="accent6">
                <a:lumMod val="50000"/>
              </a:schemeClr>
            </a:solidFill>
            <a:ln>
              <a:noFill/>
            </a:ln>
            <a:effectLst/>
          </c:spPr>
          <c:invertIfNegative val="0"/>
          <c:dLbls>
            <c:dLbl>
              <c:idx val="0"/>
              <c:tx>
                <c:rich>
                  <a:bodyPr/>
                  <a:lstStyle/>
                  <a:p>
                    <a:fld id="{E6D63E52-1EDE-4513-9710-2ADB800FBA86}"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1A34-4FB1-8DA0-C538DDAB31C1}"/>
                </c:ext>
              </c:extLst>
            </c:dLbl>
            <c:dLbl>
              <c:idx val="1"/>
              <c:tx>
                <c:rich>
                  <a:bodyPr/>
                  <a:lstStyle/>
                  <a:p>
                    <a:fld id="{8E818BC0-9AD8-4409-B1E1-5C78F58F2DF6}"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A34-4FB1-8DA0-C538DDAB31C1}"/>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Jul-22</c:v>
                </c:pt>
                <c:pt idx="1">
                  <c:v>Year to Date</c:v>
                </c:pt>
              </c:strCache>
            </c:strRef>
          </c:cat>
          <c:val>
            <c:numRef>
              <c:f>Sheet1!$B$2:$B$3</c:f>
              <c:numCache>
                <c:formatCode>0.0</c:formatCode>
                <c:ptCount val="2"/>
                <c:pt idx="0">
                  <c:v>9.1999999999999993</c:v>
                </c:pt>
                <c:pt idx="1">
                  <c:v>-12.6</c:v>
                </c:pt>
              </c:numCache>
            </c:numRef>
          </c:val>
          <c:extLst>
            <c:ext xmlns:c16="http://schemas.microsoft.com/office/drawing/2014/chart" uri="{C3380CC4-5D6E-409C-BE32-E72D297353CC}">
              <c16:uniqueId val="{00000002-1A34-4FB1-8DA0-C538DDAB31C1}"/>
            </c:ext>
          </c:extLst>
        </c:ser>
        <c:ser>
          <c:idx val="1"/>
          <c:order val="1"/>
          <c:tx>
            <c:strRef>
              <c:f>Sheet1!$C$1</c:f>
              <c:strCache>
                <c:ptCount val="1"/>
                <c:pt idx="0">
                  <c:v>Int'l Dev Equities</c:v>
                </c:pt>
              </c:strCache>
            </c:strRef>
          </c:tx>
          <c:spPr>
            <a:solidFill>
              <a:schemeClr val="accent6">
                <a:lumMod val="75000"/>
              </a:schemeClr>
            </a:solidFill>
            <a:ln>
              <a:noFill/>
            </a:ln>
            <a:effectLst/>
          </c:spPr>
          <c:invertIfNegative val="0"/>
          <c:dLbls>
            <c:dLbl>
              <c:idx val="0"/>
              <c:tx>
                <c:rich>
                  <a:bodyPr/>
                  <a:lstStyle/>
                  <a:p>
                    <a:fld id="{D5895DF3-EDD8-438A-A831-DC57E27B835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A34-4FB1-8DA0-C538DDAB31C1}"/>
                </c:ext>
              </c:extLst>
            </c:dLbl>
            <c:dLbl>
              <c:idx val="1"/>
              <c:tx>
                <c:rich>
                  <a:bodyPr/>
                  <a:lstStyle/>
                  <a:p>
                    <a:fld id="{D7BDB681-2473-41B8-A08D-D7C2E550C37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1A34-4FB1-8DA0-C538DDAB31C1}"/>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Jul-22</c:v>
                </c:pt>
                <c:pt idx="1">
                  <c:v>Year to Date</c:v>
                </c:pt>
              </c:strCache>
            </c:strRef>
          </c:cat>
          <c:val>
            <c:numRef>
              <c:f>Sheet1!$C$2:$C$3</c:f>
              <c:numCache>
                <c:formatCode>0.0</c:formatCode>
                <c:ptCount val="2"/>
                <c:pt idx="0" formatCode="General">
                  <c:v>5</c:v>
                </c:pt>
                <c:pt idx="1">
                  <c:v>-15.2</c:v>
                </c:pt>
              </c:numCache>
            </c:numRef>
          </c:val>
          <c:extLst>
            <c:ext xmlns:c16="http://schemas.microsoft.com/office/drawing/2014/chart" uri="{C3380CC4-5D6E-409C-BE32-E72D297353CC}">
              <c16:uniqueId val="{00000005-1A34-4FB1-8DA0-C538DDAB31C1}"/>
            </c:ext>
          </c:extLst>
        </c:ser>
        <c:ser>
          <c:idx val="2"/>
          <c:order val="2"/>
          <c:tx>
            <c:strRef>
              <c:f>Sheet1!$D$1</c:f>
              <c:strCache>
                <c:ptCount val="1"/>
                <c:pt idx="0">
                  <c:v>EM Equities</c:v>
                </c:pt>
              </c:strCache>
            </c:strRef>
          </c:tx>
          <c:spPr>
            <a:solidFill>
              <a:schemeClr val="accent6">
                <a:lumMod val="60000"/>
                <a:lumOff val="40000"/>
              </a:schemeClr>
            </a:solidFill>
            <a:ln>
              <a:noFill/>
            </a:ln>
            <a:effectLst/>
          </c:spPr>
          <c:invertIfNegative val="0"/>
          <c:dLbls>
            <c:dLbl>
              <c:idx val="0"/>
              <c:tx>
                <c:rich>
                  <a:bodyPr/>
                  <a:lstStyle/>
                  <a:p>
                    <a:fld id="{8757BB78-4493-4BA9-AB17-83A9602B7EC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1A34-4FB1-8DA0-C538DDAB31C1}"/>
                </c:ext>
              </c:extLst>
            </c:dLbl>
            <c:dLbl>
              <c:idx val="1"/>
              <c:layout>
                <c:manualLayout>
                  <c:x val="1.2254901960784314E-2"/>
                  <c:y val="9.2286734054437807E-3"/>
                </c:manualLayout>
              </c:layout>
              <c:tx>
                <c:rich>
                  <a:bodyPr/>
                  <a:lstStyle/>
                  <a:p>
                    <a:fld id="{86A5AC39-FBFD-458F-9B8F-134C61094A91}"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A34-4FB1-8DA0-C538DDAB31C1}"/>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Jul-22</c:v>
                </c:pt>
                <c:pt idx="1">
                  <c:v>Year to Date</c:v>
                </c:pt>
              </c:strCache>
            </c:strRef>
          </c:cat>
          <c:val>
            <c:numRef>
              <c:f>Sheet1!$D$2:$D$3</c:f>
              <c:numCache>
                <c:formatCode>0.0</c:formatCode>
                <c:ptCount val="2"/>
                <c:pt idx="0" formatCode="#,##0.0">
                  <c:v>-0.2</c:v>
                </c:pt>
                <c:pt idx="1">
                  <c:v>-17.600000000000001</c:v>
                </c:pt>
              </c:numCache>
            </c:numRef>
          </c:val>
          <c:extLst>
            <c:ext xmlns:c16="http://schemas.microsoft.com/office/drawing/2014/chart" uri="{C3380CC4-5D6E-409C-BE32-E72D297353CC}">
              <c16:uniqueId val="{00000008-1A34-4FB1-8DA0-C538DDAB31C1}"/>
            </c:ext>
          </c:extLst>
        </c:ser>
        <c:ser>
          <c:idx val="3"/>
          <c:order val="3"/>
          <c:tx>
            <c:strRef>
              <c:f>Sheet1!$E$1</c:f>
              <c:strCache>
                <c:ptCount val="1"/>
                <c:pt idx="0">
                  <c:v>US Bonds</c:v>
                </c:pt>
              </c:strCache>
            </c:strRef>
          </c:tx>
          <c:spPr>
            <a:solidFill>
              <a:schemeClr val="accent5">
                <a:lumMod val="50000"/>
              </a:schemeClr>
            </a:solidFill>
            <a:ln>
              <a:noFill/>
            </a:ln>
            <a:effectLst/>
          </c:spPr>
          <c:invertIfNegative val="0"/>
          <c:dLbls>
            <c:dLbl>
              <c:idx val="0"/>
              <c:tx>
                <c:rich>
                  <a:bodyPr/>
                  <a:lstStyle/>
                  <a:p>
                    <a:fld id="{7A05F3C6-9F03-47B3-A46D-056F7363937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1A34-4FB1-8DA0-C538DDAB31C1}"/>
                </c:ext>
              </c:extLst>
            </c:dLbl>
            <c:dLbl>
              <c:idx val="1"/>
              <c:tx>
                <c:rich>
                  <a:bodyPr/>
                  <a:lstStyle/>
                  <a:p>
                    <a:fld id="{0CEE1A28-6841-4944-8E05-E6338B4E0E32}"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1A34-4FB1-8DA0-C538DDAB31C1}"/>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Jul-22</c:v>
                </c:pt>
                <c:pt idx="1">
                  <c:v>Year to Date</c:v>
                </c:pt>
              </c:strCache>
            </c:strRef>
          </c:cat>
          <c:val>
            <c:numRef>
              <c:f>Sheet1!$E$2:$E$3</c:f>
              <c:numCache>
                <c:formatCode>0.0</c:formatCode>
                <c:ptCount val="2"/>
                <c:pt idx="0">
                  <c:v>2.4</c:v>
                </c:pt>
                <c:pt idx="1">
                  <c:v>-8.1999999999999993</c:v>
                </c:pt>
              </c:numCache>
            </c:numRef>
          </c:val>
          <c:extLst>
            <c:ext xmlns:c16="http://schemas.microsoft.com/office/drawing/2014/chart" uri="{C3380CC4-5D6E-409C-BE32-E72D297353CC}">
              <c16:uniqueId val="{0000000B-1A34-4FB1-8DA0-C538DDAB31C1}"/>
            </c:ext>
          </c:extLst>
        </c:ser>
        <c:ser>
          <c:idx val="4"/>
          <c:order val="4"/>
          <c:tx>
            <c:strRef>
              <c:f>Sheet1!$F$1</c:f>
              <c:strCache>
                <c:ptCount val="1"/>
                <c:pt idx="0">
                  <c:v>Int'l Bonds</c:v>
                </c:pt>
              </c:strCache>
            </c:strRef>
          </c:tx>
          <c:spPr>
            <a:solidFill>
              <a:schemeClr val="accent5">
                <a:lumMod val="75000"/>
              </a:schemeClr>
            </a:solidFill>
            <a:ln>
              <a:noFill/>
            </a:ln>
            <a:effectLst/>
          </c:spPr>
          <c:invertIfNegative val="0"/>
          <c:dLbls>
            <c:dLbl>
              <c:idx val="0"/>
              <c:tx>
                <c:rich>
                  <a:bodyPr/>
                  <a:lstStyle/>
                  <a:p>
                    <a:fld id="{9370B3AD-65F3-4F2B-A027-BC5EE213ED2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1A34-4FB1-8DA0-C538DDAB31C1}"/>
                </c:ext>
              </c:extLst>
            </c:dLbl>
            <c:dLbl>
              <c:idx val="1"/>
              <c:tx>
                <c:rich>
                  <a:bodyPr/>
                  <a:lstStyle/>
                  <a:p>
                    <a:fld id="{0ED10897-47EB-48A6-902D-31687169BE00}"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1A34-4FB1-8DA0-C538DDAB31C1}"/>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Jul-22</c:v>
                </c:pt>
                <c:pt idx="1">
                  <c:v>Year to Date</c:v>
                </c:pt>
              </c:strCache>
            </c:strRef>
          </c:cat>
          <c:val>
            <c:numRef>
              <c:f>Sheet1!$F$2:$F$3</c:f>
              <c:numCache>
                <c:formatCode>0.0</c:formatCode>
                <c:ptCount val="2"/>
                <c:pt idx="0">
                  <c:v>1.9</c:v>
                </c:pt>
                <c:pt idx="1">
                  <c:v>-14.9</c:v>
                </c:pt>
              </c:numCache>
            </c:numRef>
          </c:val>
          <c:extLst>
            <c:ext xmlns:c16="http://schemas.microsoft.com/office/drawing/2014/chart" uri="{C3380CC4-5D6E-409C-BE32-E72D297353CC}">
              <c16:uniqueId val="{0000000E-1A34-4FB1-8DA0-C538DDAB31C1}"/>
            </c:ext>
          </c:extLst>
        </c:ser>
        <c:ser>
          <c:idx val="5"/>
          <c:order val="5"/>
          <c:tx>
            <c:strRef>
              <c:f>Sheet1!$G$1</c:f>
              <c:strCache>
                <c:ptCount val="1"/>
                <c:pt idx="0">
                  <c:v>EM Bonds</c:v>
                </c:pt>
              </c:strCache>
            </c:strRef>
          </c:tx>
          <c:spPr>
            <a:solidFill>
              <a:schemeClr val="accent5">
                <a:lumMod val="60000"/>
                <a:lumOff val="40000"/>
              </a:schemeClr>
            </a:solidFill>
            <a:ln>
              <a:noFill/>
            </a:ln>
            <a:effectLst/>
          </c:spPr>
          <c:invertIfNegative val="0"/>
          <c:dLbls>
            <c:dLbl>
              <c:idx val="0"/>
              <c:tx>
                <c:rich>
                  <a:bodyPr/>
                  <a:lstStyle/>
                  <a:p>
                    <a:fld id="{4CB15D1E-AFB6-4EF0-8000-5360582AF19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1A34-4FB1-8DA0-C538DDAB31C1}"/>
                </c:ext>
              </c:extLst>
            </c:dLbl>
            <c:dLbl>
              <c:idx val="1"/>
              <c:layout>
                <c:manualLayout>
                  <c:x val="4.9019607843137254E-3"/>
                  <c:y val="0"/>
                </c:manualLayout>
              </c:layout>
              <c:tx>
                <c:rich>
                  <a:bodyPr/>
                  <a:lstStyle/>
                  <a:p>
                    <a:fld id="{D7CF3EFC-4827-418B-B375-6A5CBCABC3BC}"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1A34-4FB1-8DA0-C538DDAB31C1}"/>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Jul-22</c:v>
                </c:pt>
                <c:pt idx="1">
                  <c:v>Year to Date</c:v>
                </c:pt>
              </c:strCache>
            </c:strRef>
          </c:cat>
          <c:val>
            <c:numRef>
              <c:f>Sheet1!$G$2:$G$3</c:f>
              <c:numCache>
                <c:formatCode>0.0</c:formatCode>
                <c:ptCount val="2"/>
                <c:pt idx="0">
                  <c:v>2.1</c:v>
                </c:pt>
                <c:pt idx="1">
                  <c:v>-15.4</c:v>
                </c:pt>
              </c:numCache>
            </c:numRef>
          </c:val>
          <c:extLst>
            <c:ext xmlns:c16="http://schemas.microsoft.com/office/drawing/2014/chart" uri="{C3380CC4-5D6E-409C-BE32-E72D297353CC}">
              <c16:uniqueId val="{00000011-1A34-4FB1-8DA0-C538DDAB31C1}"/>
            </c:ext>
          </c:extLst>
        </c:ser>
        <c:dLbls>
          <c:showLegendKey val="0"/>
          <c:showVal val="0"/>
          <c:showCatName val="0"/>
          <c:showSerName val="0"/>
          <c:showPercent val="0"/>
          <c:showBubbleSize val="0"/>
        </c:dLbls>
        <c:gapWidth val="125"/>
        <c:overlap val="-27"/>
        <c:axId val="111373312"/>
        <c:axId val="265864992"/>
      </c:barChart>
      <c:catAx>
        <c:axId val="111373312"/>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65864992"/>
        <c:crosses val="autoZero"/>
        <c:auto val="1"/>
        <c:lblAlgn val="ctr"/>
        <c:lblOffset val="100"/>
        <c:noMultiLvlLbl val="1"/>
      </c:catAx>
      <c:valAx>
        <c:axId val="265864992"/>
        <c:scaling>
          <c:orientation val="minMax"/>
        </c:scaling>
        <c:delete val="1"/>
        <c:axPos val="l"/>
        <c:numFmt formatCode="0.0" sourceLinked="1"/>
        <c:majorTickMark val="none"/>
        <c:minorTickMark val="none"/>
        <c:tickLblPos val="nextTo"/>
        <c:crossAx val="111373312"/>
        <c:crosses val="autoZero"/>
        <c:crossBetween val="between"/>
      </c:valAx>
      <c:spPr>
        <a:noFill/>
        <a:ln>
          <a:noFill/>
        </a:ln>
        <a:effectLst/>
      </c:spPr>
    </c:plotArea>
    <c:legend>
      <c:legendPos val="b"/>
      <c:layout>
        <c:manualLayout>
          <c:xMode val="edge"/>
          <c:yMode val="edge"/>
          <c:x val="0"/>
          <c:y val="0.83572998687664024"/>
          <c:w val="0.9612745098039216"/>
          <c:h val="0.1642700131233595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b="1"/>
              <a:t>Returns as July 31, 2022</a:t>
            </a:r>
          </a:p>
        </c:rich>
      </c:tx>
      <c:layout>
        <c:manualLayout>
          <c:xMode val="edge"/>
          <c:yMode val="edge"/>
          <c:x val="0.3183147216210116"/>
          <c:y val="1.8322336573599941E-3"/>
        </c:manualLayout>
      </c:layout>
      <c:overlay val="0"/>
      <c:spPr>
        <a:noFill/>
        <a:ln>
          <a:noFill/>
        </a:ln>
        <a:effectLst/>
      </c:spPr>
      <c:txPr>
        <a:bodyPr rot="0" spcFirstLastPara="1" vertOverflow="ellipsis" vert="horz" wrap="square" anchor="ctr" anchorCtr="1"/>
        <a:lstStyle/>
        <a:p>
          <a:pPr algn="just">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3.0731424170629597E-2"/>
          <c:y val="0.21267714669994606"/>
          <c:w val="0.94335526777533907"/>
          <c:h val="0.51924181119151147"/>
        </c:manualLayout>
      </c:layout>
      <c:barChart>
        <c:barDir val="col"/>
        <c:grouping val="clustered"/>
        <c:varyColors val="0"/>
        <c:ser>
          <c:idx val="0"/>
          <c:order val="0"/>
          <c:tx>
            <c:strRef>
              <c:f>Sheet1!$B$1</c:f>
              <c:strCache>
                <c:ptCount val="1"/>
                <c:pt idx="0">
                  <c:v>Glb 60/40</c:v>
                </c:pt>
              </c:strCache>
            </c:strRef>
          </c:tx>
          <c:spPr>
            <a:solidFill>
              <a:schemeClr val="tx1"/>
            </a:solidFill>
            <a:ln>
              <a:noFill/>
            </a:ln>
            <a:effectLst/>
          </c:spPr>
          <c:invertIfNegative val="0"/>
          <c:dLbls>
            <c:dLbl>
              <c:idx val="0"/>
              <c:tx>
                <c:rich>
                  <a:bodyPr/>
                  <a:lstStyle/>
                  <a:p>
                    <a:fld id="{BF59C2CE-4A3A-4BF9-8254-32B3ABB2849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640A-47B2-B9DA-F5BD6FD6A08F}"/>
                </c:ext>
              </c:extLst>
            </c:dLbl>
            <c:dLbl>
              <c:idx val="1"/>
              <c:tx>
                <c:rich>
                  <a:bodyPr/>
                  <a:lstStyle/>
                  <a:p>
                    <a:fld id="{1DEAEE47-CFA9-4B18-A1E0-DB820867AF6E}"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40A-47B2-B9DA-F5BD6FD6A08F}"/>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Jul-22</c:v>
                </c:pt>
                <c:pt idx="1">
                  <c:v>Year to Date</c:v>
                </c:pt>
              </c:strCache>
            </c:strRef>
          </c:cat>
          <c:val>
            <c:numRef>
              <c:f>Sheet1!$B$2:$B$3</c:f>
              <c:numCache>
                <c:formatCode>0.0</c:formatCode>
                <c:ptCount val="2"/>
                <c:pt idx="0">
                  <c:v>5.04</c:v>
                </c:pt>
                <c:pt idx="1">
                  <c:v>-13.48</c:v>
                </c:pt>
              </c:numCache>
            </c:numRef>
          </c:val>
          <c:extLst>
            <c:ext xmlns:c16="http://schemas.microsoft.com/office/drawing/2014/chart" uri="{C3380CC4-5D6E-409C-BE32-E72D297353CC}">
              <c16:uniqueId val="{00000002-640A-47B2-B9DA-F5BD6FD6A08F}"/>
            </c:ext>
          </c:extLst>
        </c:ser>
        <c:ser>
          <c:idx val="1"/>
          <c:order val="1"/>
          <c:tx>
            <c:strRef>
              <c:f>Sheet1!$C$1</c:f>
              <c:strCache>
                <c:ptCount val="1"/>
                <c:pt idx="0">
                  <c:v>Glb Equities</c:v>
                </c:pt>
              </c:strCache>
            </c:strRef>
          </c:tx>
          <c:spPr>
            <a:solidFill>
              <a:schemeClr val="accent6">
                <a:lumMod val="75000"/>
              </a:schemeClr>
            </a:solidFill>
            <a:ln>
              <a:noFill/>
            </a:ln>
            <a:effectLst/>
          </c:spPr>
          <c:invertIfNegative val="0"/>
          <c:dLbls>
            <c:dLbl>
              <c:idx val="0"/>
              <c:tx>
                <c:rich>
                  <a:bodyPr/>
                  <a:lstStyle/>
                  <a:p>
                    <a:fld id="{D39F284E-AA1D-442E-A171-393864CA2DB0}"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40A-47B2-B9DA-F5BD6FD6A08F}"/>
                </c:ext>
              </c:extLst>
            </c:dLbl>
            <c:dLbl>
              <c:idx val="1"/>
              <c:tx>
                <c:rich>
                  <a:bodyPr/>
                  <a:lstStyle/>
                  <a:p>
                    <a:fld id="{BEFF0068-B178-4F4B-8BBC-EEB5BBA6DA7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640A-47B2-B9DA-F5BD6FD6A08F}"/>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Jul-22</c:v>
                </c:pt>
                <c:pt idx="1">
                  <c:v>Year to Date</c:v>
                </c:pt>
              </c:strCache>
            </c:strRef>
          </c:cat>
          <c:val>
            <c:numRef>
              <c:f>Sheet1!$C$2:$C$3</c:f>
              <c:numCache>
                <c:formatCode>0.0</c:formatCode>
                <c:ptCount val="2"/>
                <c:pt idx="0">
                  <c:v>7</c:v>
                </c:pt>
                <c:pt idx="1">
                  <c:v>-14.4</c:v>
                </c:pt>
              </c:numCache>
            </c:numRef>
          </c:val>
          <c:extLst>
            <c:ext xmlns:c16="http://schemas.microsoft.com/office/drawing/2014/chart" uri="{C3380CC4-5D6E-409C-BE32-E72D297353CC}">
              <c16:uniqueId val="{00000005-640A-47B2-B9DA-F5BD6FD6A08F}"/>
            </c:ext>
          </c:extLst>
        </c:ser>
        <c:ser>
          <c:idx val="2"/>
          <c:order val="2"/>
          <c:tx>
            <c:strRef>
              <c:f>Sheet1!$D$1</c:f>
              <c:strCache>
                <c:ptCount val="1"/>
                <c:pt idx="0">
                  <c:v>Glb Bonds</c:v>
                </c:pt>
              </c:strCache>
            </c:strRef>
          </c:tx>
          <c:spPr>
            <a:solidFill>
              <a:schemeClr val="accent5">
                <a:lumMod val="75000"/>
              </a:schemeClr>
            </a:solidFill>
            <a:ln>
              <a:noFill/>
            </a:ln>
            <a:effectLst/>
          </c:spPr>
          <c:invertIfNegative val="0"/>
          <c:dLbls>
            <c:dLbl>
              <c:idx val="0"/>
              <c:tx>
                <c:rich>
                  <a:bodyPr/>
                  <a:lstStyle/>
                  <a:p>
                    <a:fld id="{189CD266-3744-466C-A968-AA74D3FD97A8}"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640A-47B2-B9DA-F5BD6FD6A08F}"/>
                </c:ext>
              </c:extLst>
            </c:dLbl>
            <c:dLbl>
              <c:idx val="1"/>
              <c:tx>
                <c:rich>
                  <a:bodyPr/>
                  <a:lstStyle/>
                  <a:p>
                    <a:fld id="{C1C3848E-4123-4DB5-B9ED-1D8BD656E61F}"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640A-47B2-B9DA-F5BD6FD6A08F}"/>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Jul-22</c:v>
                </c:pt>
                <c:pt idx="1">
                  <c:v>Year to Date</c:v>
                </c:pt>
              </c:strCache>
            </c:strRef>
          </c:cat>
          <c:val>
            <c:numRef>
              <c:f>Sheet1!$D$2:$D$3</c:f>
              <c:numCache>
                <c:formatCode>0.0</c:formatCode>
                <c:ptCount val="2"/>
                <c:pt idx="0">
                  <c:v>2.1</c:v>
                </c:pt>
                <c:pt idx="1">
                  <c:v>-12.1</c:v>
                </c:pt>
              </c:numCache>
            </c:numRef>
          </c:val>
          <c:extLst>
            <c:ext xmlns:c16="http://schemas.microsoft.com/office/drawing/2014/chart" uri="{C3380CC4-5D6E-409C-BE32-E72D297353CC}">
              <c16:uniqueId val="{00000008-640A-47B2-B9DA-F5BD6FD6A08F}"/>
            </c:ext>
          </c:extLst>
        </c:ser>
        <c:ser>
          <c:idx val="3"/>
          <c:order val="3"/>
          <c:tx>
            <c:strRef>
              <c:f>Sheet1!$E$1</c:f>
              <c:strCache>
                <c:ptCount val="1"/>
                <c:pt idx="0">
                  <c:v>US REITs</c:v>
                </c:pt>
              </c:strCache>
            </c:strRef>
          </c:tx>
          <c:spPr>
            <a:solidFill>
              <a:schemeClr val="accent3">
                <a:lumMod val="75000"/>
              </a:schemeClr>
            </a:solidFill>
            <a:ln>
              <a:noFill/>
            </a:ln>
            <a:effectLst/>
          </c:spPr>
          <c:invertIfNegative val="0"/>
          <c:dLbls>
            <c:dLbl>
              <c:idx val="0"/>
              <c:tx>
                <c:rich>
                  <a:bodyPr/>
                  <a:lstStyle/>
                  <a:p>
                    <a:fld id="{41880CD7-9990-49BF-90A1-76F26B76DCF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640A-47B2-B9DA-F5BD6FD6A08F}"/>
                </c:ext>
              </c:extLst>
            </c:dLbl>
            <c:dLbl>
              <c:idx val="1"/>
              <c:tx>
                <c:rich>
                  <a:bodyPr/>
                  <a:lstStyle/>
                  <a:p>
                    <a:fld id="{E22C80B0-EF8C-46A4-BEF0-389A75DDF8C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640A-47B2-B9DA-F5BD6FD6A08F}"/>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Jul-22</c:v>
                </c:pt>
                <c:pt idx="1">
                  <c:v>Year to Date</c:v>
                </c:pt>
              </c:strCache>
            </c:strRef>
          </c:cat>
          <c:val>
            <c:numRef>
              <c:f>Sheet1!$E$2:$E$3</c:f>
              <c:numCache>
                <c:formatCode>0.0</c:formatCode>
                <c:ptCount val="2"/>
                <c:pt idx="0">
                  <c:v>8.5</c:v>
                </c:pt>
                <c:pt idx="1">
                  <c:v>-12.3</c:v>
                </c:pt>
              </c:numCache>
            </c:numRef>
          </c:val>
          <c:extLst>
            <c:ext xmlns:c16="http://schemas.microsoft.com/office/drawing/2014/chart" uri="{C3380CC4-5D6E-409C-BE32-E72D297353CC}">
              <c16:uniqueId val="{0000000B-640A-47B2-B9DA-F5BD6FD6A08F}"/>
            </c:ext>
          </c:extLst>
        </c:ser>
        <c:ser>
          <c:idx val="4"/>
          <c:order val="4"/>
          <c:tx>
            <c:strRef>
              <c:f>Sheet1!$F$1</c:f>
              <c:strCache>
                <c:ptCount val="1"/>
                <c:pt idx="0">
                  <c:v>Commodities</c:v>
                </c:pt>
              </c:strCache>
            </c:strRef>
          </c:tx>
          <c:spPr>
            <a:solidFill>
              <a:schemeClr val="accent3"/>
            </a:solidFill>
            <a:ln>
              <a:noFill/>
            </a:ln>
            <a:effectLst/>
          </c:spPr>
          <c:invertIfNegative val="0"/>
          <c:dLbls>
            <c:dLbl>
              <c:idx val="0"/>
              <c:tx>
                <c:rich>
                  <a:bodyPr/>
                  <a:lstStyle/>
                  <a:p>
                    <a:fld id="{1F3FB801-7F7F-45DC-86DE-9EA7D8573CAD}"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640A-47B2-B9DA-F5BD6FD6A08F}"/>
                </c:ext>
              </c:extLst>
            </c:dLbl>
            <c:dLbl>
              <c:idx val="1"/>
              <c:tx>
                <c:rich>
                  <a:bodyPr/>
                  <a:lstStyle/>
                  <a:p>
                    <a:fld id="{413E31C4-83ED-4E67-87D0-FEFFD8EC5F72}"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640A-47B2-B9DA-F5BD6FD6A08F}"/>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Jul-22</c:v>
                </c:pt>
                <c:pt idx="1">
                  <c:v>Year to Date</c:v>
                </c:pt>
              </c:strCache>
            </c:strRef>
          </c:cat>
          <c:val>
            <c:numRef>
              <c:f>Sheet1!$F$2:$F$3</c:f>
              <c:numCache>
                <c:formatCode>0.0</c:formatCode>
                <c:ptCount val="2"/>
                <c:pt idx="0">
                  <c:v>4.3</c:v>
                </c:pt>
                <c:pt idx="1">
                  <c:v>23.5</c:v>
                </c:pt>
              </c:numCache>
            </c:numRef>
          </c:val>
          <c:extLst>
            <c:ext xmlns:c16="http://schemas.microsoft.com/office/drawing/2014/chart" uri="{C3380CC4-5D6E-409C-BE32-E72D297353CC}">
              <c16:uniqueId val="{0000000E-640A-47B2-B9DA-F5BD6FD6A08F}"/>
            </c:ext>
          </c:extLst>
        </c:ser>
        <c:ser>
          <c:idx val="5"/>
          <c:order val="5"/>
          <c:tx>
            <c:strRef>
              <c:f>Sheet1!$G$1</c:f>
              <c:strCache>
                <c:ptCount val="1"/>
                <c:pt idx="0">
                  <c:v>Gold</c:v>
                </c:pt>
              </c:strCache>
            </c:strRef>
          </c:tx>
          <c:spPr>
            <a:solidFill>
              <a:schemeClr val="accent4"/>
            </a:solidFill>
            <a:ln>
              <a:noFill/>
            </a:ln>
            <a:effectLst/>
          </c:spPr>
          <c:invertIfNegative val="0"/>
          <c:dLbls>
            <c:dLbl>
              <c:idx val="0"/>
              <c:tx>
                <c:rich>
                  <a:bodyPr/>
                  <a:lstStyle/>
                  <a:p>
                    <a:fld id="{0A64BB21-D464-46F0-93B7-3E20E9CC7CA8}"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640A-47B2-B9DA-F5BD6FD6A08F}"/>
                </c:ext>
              </c:extLst>
            </c:dLbl>
            <c:dLbl>
              <c:idx val="1"/>
              <c:tx>
                <c:rich>
                  <a:bodyPr/>
                  <a:lstStyle/>
                  <a:p>
                    <a:fld id="{F2195A43-361B-48DB-A0F2-5DEE857FA7A1}"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640A-47B2-B9DA-F5BD6FD6A08F}"/>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Jul-22</c:v>
                </c:pt>
                <c:pt idx="1">
                  <c:v>Year to Date</c:v>
                </c:pt>
              </c:strCache>
            </c:strRef>
          </c:cat>
          <c:val>
            <c:numRef>
              <c:f>Sheet1!$G$2:$G$3</c:f>
              <c:numCache>
                <c:formatCode>0.0</c:formatCode>
                <c:ptCount val="2"/>
                <c:pt idx="0">
                  <c:v>-2.2999999999999998</c:v>
                </c:pt>
                <c:pt idx="1">
                  <c:v>-3.8</c:v>
                </c:pt>
              </c:numCache>
            </c:numRef>
          </c:val>
          <c:extLst>
            <c:ext xmlns:c16="http://schemas.microsoft.com/office/drawing/2014/chart" uri="{C3380CC4-5D6E-409C-BE32-E72D297353CC}">
              <c16:uniqueId val="{00000011-640A-47B2-B9DA-F5BD6FD6A08F}"/>
            </c:ext>
          </c:extLst>
        </c:ser>
        <c:dLbls>
          <c:showLegendKey val="0"/>
          <c:showVal val="0"/>
          <c:showCatName val="0"/>
          <c:showSerName val="0"/>
          <c:showPercent val="0"/>
          <c:showBubbleSize val="0"/>
        </c:dLbls>
        <c:gapWidth val="125"/>
        <c:overlap val="-27"/>
        <c:axId val="111373312"/>
        <c:axId val="265864992"/>
      </c:barChart>
      <c:catAx>
        <c:axId val="111373312"/>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0" spcFirstLastPara="1" vertOverflow="ellipsis" wrap="square" anchor="b" anchorCtr="0"/>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65864992"/>
        <c:crosses val="autoZero"/>
        <c:auto val="1"/>
        <c:lblAlgn val="ctr"/>
        <c:lblOffset val="100"/>
        <c:tickLblSkip val="1"/>
        <c:noMultiLvlLbl val="1"/>
      </c:catAx>
      <c:valAx>
        <c:axId val="265864992"/>
        <c:scaling>
          <c:orientation val="minMax"/>
        </c:scaling>
        <c:delete val="1"/>
        <c:axPos val="l"/>
        <c:numFmt formatCode="0.0" sourceLinked="1"/>
        <c:majorTickMark val="none"/>
        <c:minorTickMark val="none"/>
        <c:tickLblPos val="nextTo"/>
        <c:crossAx val="111373312"/>
        <c:crosses val="autoZero"/>
        <c:crossBetween val="between"/>
      </c:valAx>
      <c:spPr>
        <a:noFill/>
        <a:ln>
          <a:noFill/>
        </a:ln>
        <a:effectLst/>
      </c:spPr>
    </c:plotArea>
    <c:legend>
      <c:legendPos val="b"/>
      <c:layout>
        <c:manualLayout>
          <c:xMode val="edge"/>
          <c:yMode val="edge"/>
          <c:x val="3.4448915345650387E-2"/>
          <c:y val="0.87671099936037411"/>
          <c:w val="0.96331696289066271"/>
          <c:h val="0.1097531926156289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EF8D7-CB53-B84F-98F8-D565024CA930}">
  <we:reference id="wa104381967" version="1.0.0.0" store="en-US" storeType="OMEX"/>
  <we:alternateReferences>
    <we:reference id="wa104381967" version="1.0.0.0" store="WA10438196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183FA619D2B349B00D5F0F2CE6B706" ma:contentTypeVersion="13" ma:contentTypeDescription="Create a new document." ma:contentTypeScope="" ma:versionID="47669d2f804b87331f7a3523a2fd81fd">
  <xsd:schema xmlns:xsd="http://www.w3.org/2001/XMLSchema" xmlns:xs="http://www.w3.org/2001/XMLSchema" xmlns:p="http://schemas.microsoft.com/office/2006/metadata/properties" xmlns:ns3="0b9e382b-daa0-4834-87ed-27ee55f638e7" xmlns:ns4="4e52db4d-ebf4-459d-8c3d-a29637997161" targetNamespace="http://schemas.microsoft.com/office/2006/metadata/properties" ma:root="true" ma:fieldsID="c95782c651d3d77cc00955b03adf91e3" ns3:_="" ns4:_="">
    <xsd:import namespace="0b9e382b-daa0-4834-87ed-27ee55f638e7"/>
    <xsd:import namespace="4e52db4d-ebf4-459d-8c3d-a296379971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e382b-daa0-4834-87ed-27ee55f63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52db4d-ebf4-459d-8c3d-a296379971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A8546D-53EE-4006-AA2D-987055372E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E43FE3-C3B3-4434-BE57-8CB4EF723A02}">
  <ds:schemaRefs>
    <ds:schemaRef ds:uri="http://schemas.microsoft.com/sharepoint/v3/contenttype/forms"/>
  </ds:schemaRefs>
</ds:datastoreItem>
</file>

<file path=customXml/itemProps3.xml><?xml version="1.0" encoding="utf-8"?>
<ds:datastoreItem xmlns:ds="http://schemas.openxmlformats.org/officeDocument/2006/customXml" ds:itemID="{3F063F58-CF1A-426F-8E35-F5C7844AE637}">
  <ds:schemaRefs>
    <ds:schemaRef ds:uri="http://schemas.openxmlformats.org/officeDocument/2006/bibliography"/>
  </ds:schemaRefs>
</ds:datastoreItem>
</file>

<file path=customXml/itemProps4.xml><?xml version="1.0" encoding="utf-8"?>
<ds:datastoreItem xmlns:ds="http://schemas.openxmlformats.org/officeDocument/2006/customXml" ds:itemID="{957108C6-D6D4-44DE-A1A1-F45982175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e382b-daa0-4834-87ed-27ee55f638e7"/>
    <ds:schemaRef ds:uri="4e52db4d-ebf4-459d-8c3d-a29637997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Chelsey (AssetMark)</dc:creator>
  <cp:keywords/>
  <dc:description/>
  <cp:lastModifiedBy>Ernst, Patti (AssetMark)</cp:lastModifiedBy>
  <cp:revision>2</cp:revision>
  <cp:lastPrinted>2022-08-03T20:04:00Z</cp:lastPrinted>
  <dcterms:created xsi:type="dcterms:W3CDTF">2022-08-05T19:59:00Z</dcterms:created>
  <dcterms:modified xsi:type="dcterms:W3CDTF">2022-08-05T19:59:00Z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0x01010037183FA619D2B349B00D5F0F2CE6B706</vt:lpwstr>
  </property>
</Properties>
</file>