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color w:val="0070C0"/>
          <w:sz w:val="20"/>
          <w:szCs w:val="20"/>
        </w:rPr>
        <w:id w:val="1609467124"/>
        <w:showingPlcHdr/>
        <w:picture/>
      </w:sdtPr>
      <w:sdtEndPr/>
      <w:sdtContent>
        <w:p w14:paraId="0CC3231F" w14:textId="47E849E2" w:rsidR="004B1C5E" w:rsidRDefault="007A1E85" w:rsidP="00996FBD">
          <w:pPr>
            <w:spacing w:after="0"/>
            <w:ind w:left="-720"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67456" behindDoc="1" locked="1" layoutInCell="1" allowOverlap="1" wp14:anchorId="26CF89A4" wp14:editId="5A4C3752">
                <wp:simplePos x="0" y="0"/>
                <wp:positionH relativeFrom="page">
                  <wp:posOffset>5486400</wp:posOffset>
                </wp:positionH>
                <wp:positionV relativeFrom="page">
                  <wp:posOffset>640080</wp:posOffset>
                </wp:positionV>
                <wp:extent cx="1830071" cy="914400"/>
                <wp:effectExtent l="0" t="0" r="0" b="0"/>
                <wp:wrapTight wrapText="bothSides">
                  <wp:wrapPolygon edited="0">
                    <wp:start x="0" y="0"/>
                    <wp:lineTo x="0" y="21150"/>
                    <wp:lineTo x="21360" y="21150"/>
                    <wp:lineTo x="21360"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6EDD6CB0" w14:textId="14478B61" w:rsidR="004B1C5E" w:rsidRDefault="004B1C5E" w:rsidP="00996FBD">
      <w:pPr>
        <w:spacing w:after="0"/>
        <w:ind w:left="-720"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59F92E0E" w14:textId="1E8FFF20" w:rsidR="004B1C5E" w:rsidRDefault="004B1C5E" w:rsidP="00996FBD">
      <w:pPr>
        <w:spacing w:after="0"/>
        <w:ind w:left="-720" w:right="-720"/>
        <w:rPr>
          <w:rFonts w:ascii="Arial" w:hAnsi="Arial" w:cs="Arial"/>
          <w:b/>
          <w:color w:val="0070C0"/>
          <w:sz w:val="20"/>
          <w:szCs w:val="20"/>
        </w:rPr>
      </w:pPr>
    </w:p>
    <w:p w14:paraId="51DB198D" w14:textId="77777777" w:rsidR="00E776BB" w:rsidRPr="00FB2425" w:rsidRDefault="00E776BB" w:rsidP="00E776BB">
      <w:pPr>
        <w:spacing w:after="0"/>
        <w:ind w:left="1440" w:right="-360"/>
        <w:rPr>
          <w:rFonts w:ascii="Arial" w:hAnsi="Arial" w:cs="Arial"/>
          <w:b/>
          <w:color w:val="037EBB"/>
          <w:szCs w:val="20"/>
        </w:rPr>
      </w:pPr>
      <w:r>
        <w:rPr>
          <w:noProof/>
        </w:rPr>
        <w:drawing>
          <wp:anchor distT="0" distB="0" distL="114300" distR="114300" simplePos="0" relativeHeight="251683840" behindDoc="0" locked="0" layoutInCell="1" allowOverlap="1" wp14:anchorId="580294B2" wp14:editId="0D613F58">
            <wp:simplePos x="0" y="0"/>
            <wp:positionH relativeFrom="column">
              <wp:posOffset>933450</wp:posOffset>
            </wp:positionH>
            <wp:positionV relativeFrom="page">
              <wp:posOffset>2171700</wp:posOffset>
            </wp:positionV>
            <wp:extent cx="5181600" cy="275272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7D272C">
        <w:rPr>
          <w:rFonts w:ascii="Arial" w:hAnsi="Arial" w:cs="Arial"/>
          <w:b/>
          <w:noProof/>
          <w:color w:val="3B3838" w:themeColor="background2" w:themeShade="40"/>
          <w:sz w:val="21"/>
          <w:szCs w:val="20"/>
        </w:rPr>
        <w:drawing>
          <wp:anchor distT="0" distB="0" distL="114300" distR="114300" simplePos="0" relativeHeight="251682816" behindDoc="0" locked="0" layoutInCell="1" allowOverlap="1" wp14:anchorId="4279563E" wp14:editId="43EE70C0">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Pr="007D272C">
        <w:rPr>
          <w:rFonts w:ascii="Arial" w:hAnsi="Arial" w:cs="Arial"/>
          <w:b/>
          <w:color w:val="037EBB"/>
          <w:sz w:val="24"/>
          <w:szCs w:val="20"/>
        </w:rPr>
        <w:t>Market Review</w:t>
      </w:r>
    </w:p>
    <w:p w14:paraId="5D700964" w14:textId="77777777" w:rsidR="00E776BB" w:rsidRPr="002815AB" w:rsidRDefault="00E776BB" w:rsidP="00E776BB">
      <w:pPr>
        <w:spacing w:after="0"/>
        <w:ind w:left="1440" w:right="-360"/>
        <w:rPr>
          <w:rFonts w:ascii="Arial" w:hAnsi="Arial" w:cs="Arial"/>
          <w:b/>
          <w:color w:val="3B3838" w:themeColor="background2" w:themeShade="40"/>
          <w:sz w:val="20"/>
          <w:szCs w:val="20"/>
        </w:rPr>
      </w:pPr>
      <w:r w:rsidRPr="003127F9">
        <w:rPr>
          <w:rFonts w:ascii="Arial" w:hAnsi="Arial" w:cs="Arial"/>
          <w:color w:val="767171" w:themeColor="background2" w:themeShade="80"/>
          <w:sz w:val="18"/>
          <w:szCs w:val="18"/>
        </w:rPr>
        <w:t>Source:  Zephyr Style Advisor</w:t>
      </w:r>
    </w:p>
    <w:p w14:paraId="2E2532FF" w14:textId="77777777" w:rsidR="00E776BB" w:rsidRPr="00525FA1" w:rsidRDefault="00E776BB" w:rsidP="00E776BB">
      <w:pPr>
        <w:spacing w:after="0"/>
        <w:ind w:left="1440" w:right="-360"/>
        <w:rPr>
          <w:rFonts w:ascii="Arial" w:hAnsi="Arial" w:cs="Arial"/>
          <w:b/>
          <w:color w:val="3B3838" w:themeColor="background2" w:themeShade="40"/>
          <w:sz w:val="20"/>
          <w:szCs w:val="20"/>
        </w:rPr>
      </w:pPr>
    </w:p>
    <w:p w14:paraId="6422292A" w14:textId="0B2FF774" w:rsidR="00E776BB" w:rsidRPr="006F399C" w:rsidRDefault="00E776BB" w:rsidP="00E776BB">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January 2022 was a challenging month and a reminder that market volatility is inevitable, even “normal</w:t>
      </w:r>
      <w:r w:rsidRPr="006F399C">
        <w:rPr>
          <w:rFonts w:ascii="Arial" w:hAnsi="Arial" w:cs="Arial"/>
          <w:color w:val="3B3838" w:themeColor="background2" w:themeShade="40"/>
          <w:sz w:val="20"/>
          <w:szCs w:val="20"/>
        </w:rPr>
        <w:t>.</w:t>
      </w:r>
      <w:r>
        <w:rPr>
          <w:rFonts w:ascii="Arial" w:hAnsi="Arial" w:cs="Arial"/>
          <w:color w:val="3B3838" w:themeColor="background2" w:themeShade="40"/>
          <w:sz w:val="20"/>
          <w:szCs w:val="20"/>
        </w:rPr>
        <w:t>”</w:t>
      </w:r>
      <w:r w:rsidRPr="006F399C">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Higher interest rates</w:t>
      </w:r>
      <w:r w:rsidRPr="006F399C">
        <w:rPr>
          <w:rFonts w:ascii="Arial" w:hAnsi="Arial" w:cs="Arial"/>
          <w:color w:val="3B3838" w:themeColor="background2" w:themeShade="40"/>
          <w:sz w:val="20"/>
          <w:szCs w:val="20"/>
        </w:rPr>
        <w:t>, ongoing supply constraints</w:t>
      </w:r>
      <w:r w:rsidR="00D96E34">
        <w:rPr>
          <w:rFonts w:ascii="Arial" w:hAnsi="Arial" w:cs="Arial"/>
          <w:color w:val="3B3838" w:themeColor="background2" w:themeShade="40"/>
          <w:sz w:val="20"/>
          <w:szCs w:val="20"/>
        </w:rPr>
        <w:t>,</w:t>
      </w:r>
      <w:r w:rsidRPr="006F399C">
        <w:rPr>
          <w:rFonts w:ascii="Arial" w:hAnsi="Arial" w:cs="Arial"/>
          <w:color w:val="3B3838" w:themeColor="background2" w:themeShade="40"/>
          <w:sz w:val="20"/>
          <w:szCs w:val="20"/>
        </w:rPr>
        <w:t xml:space="preserve"> and spiking Omicron infections </w:t>
      </w:r>
      <w:r>
        <w:rPr>
          <w:rFonts w:ascii="Arial" w:hAnsi="Arial" w:cs="Arial"/>
          <w:color w:val="3B3838" w:themeColor="background2" w:themeShade="40"/>
          <w:sz w:val="20"/>
          <w:szCs w:val="20"/>
        </w:rPr>
        <w:t>led stock markets lower. The selloff was sharpest in the US (-5.2%) led by technology stocks that had benefited the most from ultra-low interest rates. T</w:t>
      </w:r>
      <w:r w:rsidRPr="006F399C">
        <w:rPr>
          <w:rFonts w:ascii="Arial" w:hAnsi="Arial" w:cs="Arial"/>
          <w:color w:val="3B3838" w:themeColor="background2" w:themeShade="40"/>
          <w:sz w:val="20"/>
          <w:szCs w:val="20"/>
        </w:rPr>
        <w:t>he S&amp;P 500</w:t>
      </w:r>
      <w:r>
        <w:rPr>
          <w:rFonts w:ascii="Arial" w:hAnsi="Arial" w:cs="Arial"/>
          <w:color w:val="3B3838" w:themeColor="background2" w:themeShade="40"/>
          <w:sz w:val="20"/>
          <w:szCs w:val="20"/>
        </w:rPr>
        <w:t xml:space="preserve"> index</w:t>
      </w:r>
      <w:r w:rsidRPr="006F399C">
        <w:rPr>
          <w:rFonts w:ascii="Arial" w:hAnsi="Arial" w:cs="Arial"/>
          <w:color w:val="3B3838" w:themeColor="background2" w:themeShade="40"/>
          <w:sz w:val="20"/>
          <w:szCs w:val="20"/>
        </w:rPr>
        <w:t xml:space="preserve"> recorded its worst performance since March 2020</w:t>
      </w:r>
      <w:r w:rsidRPr="006F399C">
        <w:rPr>
          <w:rStyle w:val="EndnoteReference"/>
          <w:rFonts w:ascii="Arial" w:hAnsi="Arial" w:cs="Arial"/>
          <w:color w:val="3B3838" w:themeColor="background2" w:themeShade="40"/>
          <w:sz w:val="20"/>
          <w:szCs w:val="20"/>
        </w:rPr>
        <w:endnoteReference w:id="1"/>
      </w:r>
      <w:r w:rsidRPr="006F399C">
        <w:rPr>
          <w:rFonts w:ascii="Arial" w:hAnsi="Arial" w:cs="Arial"/>
          <w:color w:val="3B3838" w:themeColor="background2" w:themeShade="40"/>
          <w:sz w:val="20"/>
          <w:szCs w:val="20"/>
        </w:rPr>
        <w:t xml:space="preserve">. </w:t>
      </w:r>
      <w:r w:rsidRPr="00977AAA">
        <w:rPr>
          <w:rFonts w:ascii="Arial" w:hAnsi="Arial" w:cs="Arial"/>
          <w:color w:val="3B3838" w:themeColor="background2" w:themeShade="40"/>
          <w:sz w:val="20"/>
          <w:szCs w:val="20"/>
        </w:rPr>
        <w:t xml:space="preserve">International stocks also </w:t>
      </w:r>
      <w:r>
        <w:rPr>
          <w:rFonts w:ascii="Arial" w:hAnsi="Arial" w:cs="Arial"/>
          <w:color w:val="3B3838" w:themeColor="background2" w:themeShade="40"/>
          <w:sz w:val="20"/>
          <w:szCs w:val="20"/>
        </w:rPr>
        <w:t>fell</w:t>
      </w:r>
      <w:r w:rsidRPr="00977AAA">
        <w:rPr>
          <w:rFonts w:ascii="Arial" w:hAnsi="Arial" w:cs="Arial"/>
          <w:color w:val="3B3838" w:themeColor="background2" w:themeShade="40"/>
          <w:sz w:val="20"/>
          <w:szCs w:val="20"/>
        </w:rPr>
        <w:t xml:space="preserve">, but not quite as much as the US market. </w:t>
      </w:r>
      <w:r>
        <w:rPr>
          <w:rFonts w:ascii="Arial" w:hAnsi="Arial" w:cs="Arial"/>
          <w:color w:val="3B3838" w:themeColor="background2" w:themeShade="40"/>
          <w:sz w:val="20"/>
          <w:szCs w:val="20"/>
        </w:rPr>
        <w:t>There were some notable exceptions abroad</w:t>
      </w:r>
      <w:r w:rsidRPr="00977AAA">
        <w:rPr>
          <w:rFonts w:ascii="Arial" w:hAnsi="Arial" w:cs="Arial"/>
          <w:color w:val="3B3838" w:themeColor="background2" w:themeShade="40"/>
          <w:sz w:val="20"/>
          <w:szCs w:val="20"/>
        </w:rPr>
        <w:t>: Latin America gained 7.4% and UK equities climbed 1%</w:t>
      </w:r>
      <w:r>
        <w:rPr>
          <w:rStyle w:val="EndnoteReference"/>
          <w:rFonts w:ascii="Arial" w:hAnsi="Arial" w:cs="Arial"/>
          <w:color w:val="3B3838" w:themeColor="background2" w:themeShade="40"/>
          <w:sz w:val="20"/>
          <w:szCs w:val="20"/>
        </w:rPr>
        <w:endnoteReference w:id="2"/>
      </w:r>
      <w:r w:rsidRPr="00977AAA">
        <w:rPr>
          <w:rFonts w:ascii="Arial" w:hAnsi="Arial" w:cs="Arial"/>
          <w:color w:val="3B3838" w:themeColor="background2" w:themeShade="40"/>
          <w:sz w:val="20"/>
          <w:szCs w:val="20"/>
        </w:rPr>
        <w:t xml:space="preserve">. Overall, developed </w:t>
      </w:r>
      <w:r>
        <w:rPr>
          <w:rFonts w:ascii="Arial" w:hAnsi="Arial" w:cs="Arial"/>
          <w:color w:val="3B3838" w:themeColor="background2" w:themeShade="40"/>
          <w:sz w:val="20"/>
          <w:szCs w:val="20"/>
        </w:rPr>
        <w:t xml:space="preserve">international </w:t>
      </w:r>
      <w:r w:rsidRPr="00977AAA">
        <w:rPr>
          <w:rFonts w:ascii="Arial" w:hAnsi="Arial" w:cs="Arial"/>
          <w:color w:val="3B3838" w:themeColor="background2" w:themeShade="40"/>
          <w:sz w:val="20"/>
          <w:szCs w:val="20"/>
        </w:rPr>
        <w:t>markets were weaker</w:t>
      </w:r>
      <w:r>
        <w:rPr>
          <w:rFonts w:ascii="Arial" w:hAnsi="Arial" w:cs="Arial"/>
          <w:color w:val="3B3838" w:themeColor="background2" w:themeShade="40"/>
          <w:sz w:val="20"/>
          <w:szCs w:val="20"/>
        </w:rPr>
        <w:t xml:space="preserve"> (-4.8%)</w:t>
      </w:r>
      <w:r w:rsidRPr="00977AAA">
        <w:rPr>
          <w:rFonts w:ascii="Arial" w:hAnsi="Arial" w:cs="Arial"/>
          <w:color w:val="3B3838" w:themeColor="background2" w:themeShade="40"/>
          <w:sz w:val="20"/>
          <w:szCs w:val="20"/>
        </w:rPr>
        <w:t xml:space="preserve"> than emerging markets</w:t>
      </w:r>
      <w:r>
        <w:rPr>
          <w:rFonts w:ascii="Arial" w:hAnsi="Arial" w:cs="Arial"/>
          <w:color w:val="3B3838" w:themeColor="background2" w:themeShade="40"/>
          <w:sz w:val="20"/>
          <w:szCs w:val="20"/>
        </w:rPr>
        <w:t xml:space="preserve"> (-</w:t>
      </w:r>
      <w:r w:rsidRPr="00977AAA">
        <w:rPr>
          <w:rFonts w:ascii="Arial" w:hAnsi="Arial" w:cs="Arial"/>
          <w:color w:val="3B3838" w:themeColor="background2" w:themeShade="40"/>
          <w:sz w:val="20"/>
          <w:szCs w:val="20"/>
        </w:rPr>
        <w:t>1.9%</w:t>
      </w:r>
      <w:r>
        <w:rPr>
          <w:rFonts w:ascii="Arial" w:hAnsi="Arial" w:cs="Arial"/>
          <w:color w:val="3B3838" w:themeColor="background2" w:themeShade="40"/>
          <w:sz w:val="20"/>
          <w:szCs w:val="20"/>
        </w:rPr>
        <w:t>).</w:t>
      </w:r>
    </w:p>
    <w:p w14:paraId="0D9229DF" w14:textId="77777777" w:rsidR="00E776BB" w:rsidRPr="006F399C" w:rsidRDefault="00E776BB" w:rsidP="00E776BB">
      <w:pPr>
        <w:spacing w:after="0"/>
        <w:ind w:left="1440" w:right="-360"/>
        <w:rPr>
          <w:rFonts w:ascii="Arial" w:hAnsi="Arial" w:cs="Arial"/>
          <w:color w:val="3B3838" w:themeColor="background2" w:themeShade="40"/>
          <w:sz w:val="20"/>
          <w:szCs w:val="20"/>
        </w:rPr>
      </w:pPr>
      <w:r w:rsidRPr="006F399C">
        <w:rPr>
          <w:rFonts w:ascii="Arial" w:hAnsi="Arial" w:cs="Arial"/>
          <w:color w:val="3B3838" w:themeColor="background2" w:themeShade="40"/>
          <w:sz w:val="20"/>
          <w:szCs w:val="20"/>
        </w:rPr>
        <w:t xml:space="preserve"> </w:t>
      </w:r>
    </w:p>
    <w:p w14:paraId="3B5CFBEC" w14:textId="7346BD8F" w:rsidR="00E776BB" w:rsidRPr="006F399C" w:rsidRDefault="00E776BB" w:rsidP="00E776BB">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Most sectors in the US equity markets struggled, with the exception of energy (+19.1%).  Energy stocks benefitted from rising crude oil prices. Six sectors fell more than 6% with consumer discretionary and real estate faring the worst. </w:t>
      </w:r>
      <w:r w:rsidRPr="006F399C">
        <w:rPr>
          <w:rFonts w:ascii="Arial" w:hAnsi="Arial" w:cs="Arial"/>
          <w:color w:val="3B3838" w:themeColor="background2" w:themeShade="40"/>
          <w:sz w:val="20"/>
          <w:szCs w:val="20"/>
        </w:rPr>
        <w:t xml:space="preserve">From a </w:t>
      </w:r>
      <w:r>
        <w:rPr>
          <w:rFonts w:ascii="Arial" w:hAnsi="Arial" w:cs="Arial"/>
          <w:color w:val="3B3838" w:themeColor="background2" w:themeShade="40"/>
          <w:sz w:val="20"/>
          <w:szCs w:val="20"/>
        </w:rPr>
        <w:t>size perspective, larger stocks often considered more stable fared better than smaller vulnerable stocks for the month. From style perspective,</w:t>
      </w:r>
      <w:r w:rsidRPr="006F399C">
        <w:rPr>
          <w:rFonts w:ascii="Arial" w:hAnsi="Arial" w:cs="Arial"/>
          <w:color w:val="3B3838" w:themeColor="background2" w:themeShade="40"/>
          <w:sz w:val="20"/>
          <w:szCs w:val="20"/>
        </w:rPr>
        <w:t xml:space="preserve"> value </w:t>
      </w:r>
      <w:r>
        <w:rPr>
          <w:rFonts w:ascii="Arial" w:hAnsi="Arial" w:cs="Arial"/>
          <w:color w:val="3B3838" w:themeColor="background2" w:themeShade="40"/>
          <w:sz w:val="20"/>
          <w:szCs w:val="20"/>
        </w:rPr>
        <w:t xml:space="preserve">stocks that benefit from rising rates </w:t>
      </w:r>
      <w:r w:rsidRPr="006F399C">
        <w:rPr>
          <w:rFonts w:ascii="Arial" w:hAnsi="Arial" w:cs="Arial"/>
          <w:color w:val="3B3838" w:themeColor="background2" w:themeShade="40"/>
          <w:sz w:val="20"/>
          <w:szCs w:val="20"/>
        </w:rPr>
        <w:t>outperformed growth</w:t>
      </w:r>
      <w:r>
        <w:rPr>
          <w:rFonts w:ascii="Arial" w:hAnsi="Arial" w:cs="Arial"/>
          <w:color w:val="3B3838" w:themeColor="background2" w:themeShade="40"/>
          <w:sz w:val="20"/>
          <w:szCs w:val="20"/>
        </w:rPr>
        <w:t xml:space="preserve"> stocks</w:t>
      </w:r>
      <w:r w:rsidR="00D96E34">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 which struggle in rising interest rate environments</w:t>
      </w:r>
      <w:r w:rsidRPr="006F399C">
        <w:rPr>
          <w:rFonts w:ascii="Arial" w:hAnsi="Arial" w:cs="Arial"/>
          <w:color w:val="3B3838" w:themeColor="background2" w:themeShade="40"/>
          <w:sz w:val="20"/>
          <w:szCs w:val="20"/>
        </w:rPr>
        <w:t xml:space="preserve">.  </w:t>
      </w:r>
    </w:p>
    <w:p w14:paraId="79395124" w14:textId="77777777" w:rsidR="00E776BB" w:rsidRPr="006F399C" w:rsidRDefault="00E776BB" w:rsidP="00E776BB">
      <w:pPr>
        <w:spacing w:after="0"/>
        <w:ind w:left="1440" w:right="-360"/>
        <w:rPr>
          <w:rFonts w:ascii="Arial" w:hAnsi="Arial" w:cs="Arial"/>
          <w:color w:val="3B3838" w:themeColor="background2" w:themeShade="40"/>
          <w:sz w:val="20"/>
          <w:szCs w:val="20"/>
        </w:rPr>
      </w:pPr>
      <w:r w:rsidRPr="006F399C">
        <w:rPr>
          <w:rFonts w:ascii="Arial" w:hAnsi="Arial" w:cs="Arial"/>
          <w:color w:val="3B3838" w:themeColor="background2" w:themeShade="40"/>
          <w:sz w:val="20"/>
          <w:szCs w:val="20"/>
        </w:rPr>
        <w:t xml:space="preserve"> </w:t>
      </w:r>
    </w:p>
    <w:p w14:paraId="26EACC10" w14:textId="460FD491" w:rsidR="00E776BB" w:rsidRPr="006F399C" w:rsidRDefault="00E776BB" w:rsidP="00E776BB">
      <w:pPr>
        <w:spacing w:after="0"/>
        <w:ind w:left="1440" w:right="-360"/>
        <w:rPr>
          <w:rFonts w:ascii="Arial" w:hAnsi="Arial" w:cs="Arial"/>
          <w:color w:val="3B3838" w:themeColor="background2" w:themeShade="40"/>
          <w:sz w:val="20"/>
          <w:szCs w:val="20"/>
        </w:rPr>
      </w:pPr>
      <w:r w:rsidRPr="006F399C">
        <w:rPr>
          <w:rFonts w:ascii="Arial" w:hAnsi="Arial" w:cs="Arial"/>
          <w:color w:val="3B3838" w:themeColor="background2" w:themeShade="40"/>
          <w:sz w:val="20"/>
          <w:szCs w:val="20"/>
        </w:rPr>
        <w:t>The fixed income markets did not fare much better than equities in January. US bonds were down 2.2% for the month. All major sectors were negative, led by long treasuries (-4.1%)</w:t>
      </w:r>
      <w:r>
        <w:rPr>
          <w:rFonts w:ascii="Arial" w:hAnsi="Arial" w:cs="Arial"/>
          <w:color w:val="3B3838" w:themeColor="background2" w:themeShade="40"/>
          <w:sz w:val="20"/>
          <w:szCs w:val="20"/>
        </w:rPr>
        <w:t>. Record inflation sent longer term interest rates higher hurting bonds</w:t>
      </w:r>
      <w:r w:rsidRPr="006F399C">
        <w:rPr>
          <w:rStyle w:val="EndnoteReference"/>
          <w:rFonts w:ascii="Arial" w:hAnsi="Arial" w:cs="Arial"/>
          <w:color w:val="3B3838" w:themeColor="background2" w:themeShade="40"/>
          <w:sz w:val="20"/>
          <w:szCs w:val="20"/>
        </w:rPr>
        <w:endnoteReference w:id="3"/>
      </w:r>
      <w:r w:rsidRPr="006F399C">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 xml:space="preserve">High yield bonds were surprisingly flat for the month despite equity market volatility. </w:t>
      </w:r>
      <w:r w:rsidRPr="006F399C">
        <w:rPr>
          <w:rFonts w:ascii="Arial" w:hAnsi="Arial" w:cs="Arial"/>
          <w:color w:val="3B3838" w:themeColor="background2" w:themeShade="40"/>
          <w:sz w:val="20"/>
          <w:szCs w:val="20"/>
        </w:rPr>
        <w:t xml:space="preserve">International (-2.0%) and emerging markets (-2.6%) bonds followed suit </w:t>
      </w:r>
      <w:r>
        <w:rPr>
          <w:rFonts w:ascii="Arial" w:hAnsi="Arial" w:cs="Arial"/>
          <w:color w:val="3B3838" w:themeColor="background2" w:themeShade="40"/>
          <w:sz w:val="20"/>
          <w:szCs w:val="20"/>
        </w:rPr>
        <w:t>and were also hurt by a stronger dollar</w:t>
      </w:r>
      <w:r w:rsidRPr="006F399C">
        <w:rPr>
          <w:rFonts w:ascii="Arial" w:hAnsi="Arial" w:cs="Arial"/>
          <w:color w:val="3B3838" w:themeColor="background2" w:themeShade="40"/>
          <w:sz w:val="20"/>
          <w:szCs w:val="20"/>
        </w:rPr>
        <w:t xml:space="preserve">. </w:t>
      </w:r>
    </w:p>
    <w:p w14:paraId="18A35091" w14:textId="77777777" w:rsidR="00E776BB" w:rsidRPr="006F399C" w:rsidRDefault="00E776BB" w:rsidP="00E776BB">
      <w:pPr>
        <w:spacing w:after="0"/>
        <w:ind w:left="1440" w:right="-360"/>
        <w:rPr>
          <w:rFonts w:ascii="Arial" w:hAnsi="Arial" w:cs="Arial"/>
          <w:color w:val="3B3838" w:themeColor="background2" w:themeShade="40"/>
          <w:sz w:val="20"/>
          <w:szCs w:val="20"/>
        </w:rPr>
      </w:pPr>
      <w:r w:rsidRPr="006F399C">
        <w:rPr>
          <w:rFonts w:ascii="Arial" w:hAnsi="Arial" w:cs="Arial"/>
          <w:color w:val="3B3838" w:themeColor="background2" w:themeShade="40"/>
          <w:sz w:val="20"/>
          <w:szCs w:val="20"/>
        </w:rPr>
        <w:t xml:space="preserve"> </w:t>
      </w:r>
    </w:p>
    <w:p w14:paraId="4C567A7B" w14:textId="5A6CA349" w:rsidR="00E776BB" w:rsidRPr="006F399C" w:rsidRDefault="00E776BB" w:rsidP="00E776BB">
      <w:pPr>
        <w:spacing w:after="0"/>
        <w:ind w:left="1440" w:right="-360"/>
        <w:rPr>
          <w:rFonts w:ascii="Arial" w:hAnsi="Arial" w:cs="Arial"/>
          <w:color w:val="3B3838" w:themeColor="background2" w:themeShade="40"/>
          <w:sz w:val="20"/>
          <w:szCs w:val="20"/>
        </w:rPr>
      </w:pPr>
      <w:r w:rsidRPr="006F399C">
        <w:rPr>
          <w:rFonts w:ascii="Arial" w:hAnsi="Arial" w:cs="Arial"/>
          <w:color w:val="3B3838" w:themeColor="background2" w:themeShade="40"/>
          <w:sz w:val="20"/>
          <w:szCs w:val="20"/>
        </w:rPr>
        <w:lastRenderedPageBreak/>
        <w:t xml:space="preserve">The broad commodity index was a bright spot for the month, returning 8.8%. Energy </w:t>
      </w:r>
      <w:r>
        <w:rPr>
          <w:rFonts w:ascii="Arial" w:hAnsi="Arial" w:cs="Arial"/>
          <w:color w:val="3B3838" w:themeColor="background2" w:themeShade="40"/>
          <w:sz w:val="20"/>
          <w:szCs w:val="20"/>
        </w:rPr>
        <w:t>was the top performer in the</w:t>
      </w:r>
      <w:r w:rsidRPr="006F399C">
        <w:rPr>
          <w:rFonts w:ascii="Arial" w:hAnsi="Arial" w:cs="Arial"/>
          <w:color w:val="3B3838" w:themeColor="background2" w:themeShade="40"/>
          <w:sz w:val="20"/>
          <w:szCs w:val="20"/>
        </w:rPr>
        <w:t xml:space="preserve"> index and w</w:t>
      </w:r>
      <w:r>
        <w:rPr>
          <w:rFonts w:ascii="Arial" w:hAnsi="Arial" w:cs="Arial"/>
          <w:color w:val="3B3838" w:themeColor="background2" w:themeShade="40"/>
          <w:sz w:val="20"/>
          <w:szCs w:val="20"/>
        </w:rPr>
        <w:t>as</w:t>
      </w:r>
      <w:r w:rsidRPr="006F399C">
        <w:rPr>
          <w:rFonts w:ascii="Arial" w:hAnsi="Arial" w:cs="Arial"/>
          <w:color w:val="3B3838" w:themeColor="background2" w:themeShade="40"/>
          <w:sz w:val="20"/>
          <w:szCs w:val="20"/>
        </w:rPr>
        <w:t xml:space="preserve"> up 22.0%.</w:t>
      </w:r>
      <w:r>
        <w:rPr>
          <w:rFonts w:ascii="Arial" w:hAnsi="Arial" w:cs="Arial"/>
          <w:color w:val="3B3838" w:themeColor="background2" w:themeShade="40"/>
          <w:sz w:val="20"/>
          <w:szCs w:val="20"/>
        </w:rPr>
        <w:t xml:space="preserve"> </w:t>
      </w:r>
      <w:r w:rsidRPr="006F399C">
        <w:rPr>
          <w:rFonts w:ascii="Arial" w:hAnsi="Arial" w:cs="Arial"/>
          <w:color w:val="3B3838" w:themeColor="background2" w:themeShade="40"/>
          <w:sz w:val="20"/>
          <w:szCs w:val="20"/>
        </w:rPr>
        <w:t>Oil prices reached highs it had not seen since October of 2014</w:t>
      </w:r>
      <w:r w:rsidRPr="006F399C">
        <w:rPr>
          <w:rStyle w:val="EndnoteReference"/>
          <w:rFonts w:ascii="Arial" w:hAnsi="Arial" w:cs="Arial"/>
          <w:color w:val="3B3838" w:themeColor="background2" w:themeShade="40"/>
          <w:sz w:val="20"/>
          <w:szCs w:val="20"/>
        </w:rPr>
        <w:endnoteReference w:id="4"/>
      </w:r>
      <w:r w:rsidRPr="006F399C">
        <w:rPr>
          <w:rFonts w:ascii="Arial" w:hAnsi="Arial" w:cs="Arial"/>
          <w:color w:val="3B3838" w:themeColor="background2" w:themeShade="40"/>
          <w:sz w:val="20"/>
          <w:szCs w:val="20"/>
        </w:rPr>
        <w:t xml:space="preserve">. Gold (-1.9%) and silver (-4.1%) were both down for the month.  REITs, a top performer in 2021, was down for -7.9% in January, and was the worst performing among all major asset class. The US dollar had a bullish start to 2022 and was up 0.9% in January.  </w:t>
      </w:r>
    </w:p>
    <w:p w14:paraId="2CA5962E" w14:textId="77777777" w:rsidR="00E776BB" w:rsidRPr="006F399C" w:rsidRDefault="00E776BB" w:rsidP="00E776BB">
      <w:pPr>
        <w:spacing w:after="0"/>
        <w:ind w:left="1440" w:right="-360"/>
        <w:rPr>
          <w:rFonts w:ascii="Arial" w:hAnsi="Arial" w:cs="Arial"/>
          <w:color w:val="3B3838" w:themeColor="background2" w:themeShade="40"/>
          <w:sz w:val="20"/>
          <w:szCs w:val="20"/>
        </w:rPr>
      </w:pPr>
    </w:p>
    <w:p w14:paraId="677F1FDA" w14:textId="77777777" w:rsidR="00E776BB" w:rsidRPr="006F399C" w:rsidRDefault="00E776BB" w:rsidP="00E776BB">
      <w:pPr>
        <w:spacing w:after="0"/>
        <w:ind w:left="1440" w:right="-360"/>
        <w:rPr>
          <w:rFonts w:ascii="Arial" w:hAnsi="Arial" w:cs="Arial"/>
          <w:color w:val="3B3838" w:themeColor="background2" w:themeShade="40"/>
          <w:sz w:val="20"/>
          <w:szCs w:val="20"/>
        </w:rPr>
      </w:pPr>
      <w:r>
        <w:rPr>
          <w:noProof/>
        </w:rPr>
        <w:drawing>
          <wp:anchor distT="0" distB="0" distL="114300" distR="114300" simplePos="0" relativeHeight="251681792" behindDoc="0" locked="0" layoutInCell="1" allowOverlap="1" wp14:anchorId="2D6842A1" wp14:editId="5D933249">
            <wp:simplePos x="0" y="0"/>
            <wp:positionH relativeFrom="margin">
              <wp:posOffset>843915</wp:posOffset>
            </wp:positionH>
            <wp:positionV relativeFrom="page">
              <wp:posOffset>2675255</wp:posOffset>
            </wp:positionV>
            <wp:extent cx="5271770" cy="2680335"/>
            <wp:effectExtent l="0" t="0" r="5080" b="571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6F399C">
        <w:rPr>
          <w:rFonts w:ascii="Arial" w:hAnsi="Arial" w:cs="Arial"/>
          <w:color w:val="3B3838" w:themeColor="background2" w:themeShade="40"/>
          <w:sz w:val="20"/>
          <w:szCs w:val="20"/>
        </w:rPr>
        <w:t xml:space="preserve">Relative to a globally balanced (60/40) equity/bond index, allocations to commodities and global bonds helped while global equites, US REITs and gold hurt for the month. </w:t>
      </w:r>
    </w:p>
    <w:p w14:paraId="12F5D06E" w14:textId="77777777" w:rsidR="00E776BB" w:rsidRDefault="00E776BB" w:rsidP="00E776BB">
      <w:pPr>
        <w:autoSpaceDE w:val="0"/>
        <w:autoSpaceDN w:val="0"/>
        <w:spacing w:after="0"/>
        <w:ind w:right="-360"/>
        <w:rPr>
          <w:rFonts w:ascii="Arial" w:hAnsi="Arial" w:cs="Arial"/>
          <w:color w:val="7F7F7F" w:themeColor="text1" w:themeTint="80"/>
          <w:sz w:val="18"/>
          <w:szCs w:val="18"/>
        </w:rPr>
      </w:pPr>
    </w:p>
    <w:p w14:paraId="7B49C474" w14:textId="77777777" w:rsidR="00E776BB" w:rsidRPr="00706956" w:rsidRDefault="00E776BB" w:rsidP="00E776BB">
      <w:pPr>
        <w:autoSpaceDE w:val="0"/>
        <w:autoSpaceDN w:val="0"/>
        <w:spacing w:after="0"/>
        <w:ind w:left="1470" w:right="-360" w:firstLine="14"/>
        <w:rPr>
          <w:rFonts w:ascii="Arial" w:hAnsi="Arial" w:cs="Arial"/>
          <w:noProof/>
          <w:color w:val="3B3838" w:themeColor="background2" w:themeShade="40"/>
          <w:sz w:val="20"/>
          <w:szCs w:val="20"/>
        </w:rPr>
      </w:pPr>
      <w:r w:rsidRPr="005C2C8A">
        <w:rPr>
          <w:rFonts w:ascii="Arial" w:hAnsi="Arial" w:cs="Arial"/>
          <w:color w:val="7F7F7F" w:themeColor="text1" w:themeTint="80"/>
          <w:sz w:val="18"/>
          <w:szCs w:val="18"/>
        </w:rPr>
        <w:t>Source:  Zephyr Style Advisor</w:t>
      </w:r>
    </w:p>
    <w:p w14:paraId="1EFBD56B" w14:textId="5A8828A6" w:rsidR="00690464" w:rsidRPr="00BF2749" w:rsidRDefault="00690464" w:rsidP="00690464">
      <w:pPr>
        <w:autoSpaceDE w:val="0"/>
        <w:autoSpaceDN w:val="0"/>
        <w:spacing w:after="0"/>
        <w:ind w:left="1440" w:right="-360"/>
        <w:rPr>
          <w:rFonts w:ascii="Arial" w:hAnsi="Arial" w:cs="Arial"/>
          <w:color w:val="3B3838" w:themeColor="background2" w:themeShade="40"/>
          <w:sz w:val="20"/>
          <w:szCs w:val="20"/>
        </w:rPr>
      </w:pPr>
    </w:p>
    <w:p w14:paraId="452AFDC2" w14:textId="266E1BEC" w:rsidR="002F7F11" w:rsidRDefault="002F7F11" w:rsidP="00AC6525">
      <w:pPr>
        <w:autoSpaceDE w:val="0"/>
        <w:autoSpaceDN w:val="0"/>
        <w:spacing w:after="0"/>
        <w:ind w:right="-360"/>
        <w:rPr>
          <w:rFonts w:ascii="Arial" w:hAnsi="Arial" w:cs="Arial"/>
          <w:color w:val="3B3838" w:themeColor="background2" w:themeShade="40"/>
          <w:sz w:val="20"/>
          <w:szCs w:val="20"/>
        </w:rPr>
      </w:pPr>
    </w:p>
    <w:p w14:paraId="2118F804" w14:textId="10A64B45" w:rsidR="00996FBD" w:rsidRPr="000E5F02" w:rsidRDefault="00B5385F" w:rsidP="000E5F02">
      <w:pPr>
        <w:autoSpaceDE w:val="0"/>
        <w:autoSpaceDN w:val="0"/>
        <w:spacing w:after="0"/>
        <w:ind w:right="-360" w:hanging="540"/>
        <w:rPr>
          <w:rFonts w:ascii="Arial" w:hAnsi="Arial" w:cs="Arial"/>
          <w:color w:val="3B3838" w:themeColor="background2" w:themeShade="40"/>
          <w:sz w:val="20"/>
          <w:szCs w:val="20"/>
        </w:rPr>
      </w:pPr>
      <w:r w:rsidRPr="0040163B">
        <w:rPr>
          <w:rFonts w:ascii="Arial" w:hAnsi="Arial" w:cs="Arial"/>
          <w:color w:val="343433"/>
          <w:sz w:val="21"/>
        </w:rPr>
        <w:t>DEFINITIONS</w:t>
      </w:r>
    </w:p>
    <w:tbl>
      <w:tblPr>
        <w:tblW w:w="10656" w:type="dxa"/>
        <w:tblInd w:w="-630" w:type="dxa"/>
        <w:tblLayout w:type="fixed"/>
        <w:tblCellMar>
          <w:left w:w="101" w:type="dxa"/>
          <w:right w:w="101" w:type="dxa"/>
        </w:tblCellMar>
        <w:tblLook w:val="04A0" w:firstRow="1" w:lastRow="0" w:firstColumn="1" w:lastColumn="0" w:noHBand="0" w:noVBand="1"/>
      </w:tblPr>
      <w:tblGrid>
        <w:gridCol w:w="1654"/>
        <w:gridCol w:w="1929"/>
        <w:gridCol w:w="3490"/>
        <w:gridCol w:w="3583"/>
      </w:tblGrid>
      <w:tr w:rsidR="003A27B5" w:rsidRPr="00567CF8" w14:paraId="5DE4BB2F" w14:textId="77777777" w:rsidTr="009625CF">
        <w:trPr>
          <w:trHeight w:val="264"/>
        </w:trPr>
        <w:tc>
          <w:tcPr>
            <w:tcW w:w="1654" w:type="dxa"/>
            <w:tcBorders>
              <w:top w:val="nil"/>
              <w:left w:val="nil"/>
              <w:bottom w:val="nil"/>
              <w:right w:val="nil"/>
            </w:tcBorders>
            <w:shd w:val="clear" w:color="auto" w:fill="auto"/>
            <w:noWrap/>
            <w:vAlign w:val="bottom"/>
          </w:tcPr>
          <w:p w14:paraId="562E447D" w14:textId="2C6046B9" w:rsidR="003A27B5" w:rsidRPr="00567CF8" w:rsidRDefault="003A27B5" w:rsidP="003A27B5">
            <w:pPr>
              <w:spacing w:after="0" w:line="240" w:lineRule="auto"/>
              <w:rPr>
                <w:rFonts w:ascii="Arial" w:hAnsi="Arial" w:cs="Arial"/>
                <w:b/>
                <w:bCs/>
                <w:color w:val="000000"/>
                <w:sz w:val="18"/>
                <w:szCs w:val="18"/>
              </w:rPr>
            </w:pPr>
            <w:bookmarkStart w:id="0" w:name="_Hlk52777023"/>
          </w:p>
        </w:tc>
        <w:tc>
          <w:tcPr>
            <w:tcW w:w="1929" w:type="dxa"/>
            <w:tcBorders>
              <w:top w:val="nil"/>
              <w:left w:val="nil"/>
              <w:bottom w:val="nil"/>
              <w:right w:val="nil"/>
            </w:tcBorders>
            <w:shd w:val="clear" w:color="auto" w:fill="auto"/>
            <w:noWrap/>
            <w:vAlign w:val="bottom"/>
          </w:tcPr>
          <w:p w14:paraId="48064727" w14:textId="199CB88A" w:rsidR="003A27B5" w:rsidRPr="00567CF8" w:rsidRDefault="003A27B5" w:rsidP="003A27B5">
            <w:pPr>
              <w:spacing w:after="0" w:line="240" w:lineRule="auto"/>
              <w:rPr>
                <w:rFonts w:ascii="Arial" w:hAnsi="Arial" w:cs="Arial"/>
                <w:b/>
                <w:bCs/>
                <w:color w:val="000000"/>
                <w:sz w:val="18"/>
                <w:szCs w:val="18"/>
              </w:rPr>
            </w:pPr>
          </w:p>
        </w:tc>
        <w:tc>
          <w:tcPr>
            <w:tcW w:w="7073" w:type="dxa"/>
            <w:gridSpan w:val="2"/>
            <w:tcBorders>
              <w:top w:val="nil"/>
              <w:left w:val="nil"/>
              <w:bottom w:val="nil"/>
              <w:right w:val="nil"/>
            </w:tcBorders>
            <w:shd w:val="clear" w:color="auto" w:fill="auto"/>
            <w:noWrap/>
            <w:vAlign w:val="bottom"/>
          </w:tcPr>
          <w:p w14:paraId="33E4718B" w14:textId="45E91378" w:rsidR="003A27B5" w:rsidRPr="00567CF8" w:rsidRDefault="003A27B5" w:rsidP="003A27B5">
            <w:pPr>
              <w:spacing w:after="0" w:line="240" w:lineRule="auto"/>
              <w:rPr>
                <w:rFonts w:ascii="Arial" w:hAnsi="Arial" w:cs="Arial"/>
                <w:b/>
                <w:bCs/>
                <w:color w:val="000000"/>
                <w:sz w:val="18"/>
                <w:szCs w:val="18"/>
              </w:rPr>
            </w:pPr>
          </w:p>
        </w:tc>
      </w:tr>
      <w:tr w:rsidR="004F6998" w:rsidRPr="00567CF8" w14:paraId="0DC35FF2" w14:textId="77777777" w:rsidTr="009B5DC2">
        <w:trPr>
          <w:trHeight w:val="264"/>
        </w:trPr>
        <w:tc>
          <w:tcPr>
            <w:tcW w:w="1654" w:type="dxa"/>
            <w:tcBorders>
              <w:top w:val="nil"/>
              <w:left w:val="nil"/>
              <w:bottom w:val="nil"/>
              <w:right w:val="nil"/>
            </w:tcBorders>
            <w:shd w:val="clear" w:color="auto" w:fill="auto"/>
            <w:noWrap/>
            <w:vAlign w:val="bottom"/>
            <w:hideMark/>
          </w:tcPr>
          <w:p w14:paraId="7CE3A7ED" w14:textId="77777777" w:rsidR="004F6998" w:rsidRPr="00567CF8" w:rsidRDefault="004F6998" w:rsidP="009B5DC2">
            <w:pPr>
              <w:spacing w:after="0" w:line="240" w:lineRule="auto"/>
              <w:rPr>
                <w:rFonts w:ascii="Arial" w:hAnsi="Arial" w:cs="Arial"/>
                <w:b/>
                <w:bCs/>
                <w:color w:val="000000"/>
                <w:sz w:val="18"/>
                <w:szCs w:val="18"/>
              </w:rPr>
            </w:pPr>
            <w:r w:rsidRPr="00567CF8">
              <w:rPr>
                <w:rFonts w:ascii="Arial" w:hAnsi="Arial" w:cs="Arial"/>
                <w:b/>
                <w:bCs/>
                <w:color w:val="000000"/>
                <w:sz w:val="18"/>
                <w:szCs w:val="18"/>
              </w:rPr>
              <w:t>Asset Class</w:t>
            </w:r>
          </w:p>
        </w:tc>
        <w:tc>
          <w:tcPr>
            <w:tcW w:w="1929" w:type="dxa"/>
            <w:tcBorders>
              <w:top w:val="nil"/>
              <w:left w:val="nil"/>
              <w:bottom w:val="nil"/>
              <w:right w:val="nil"/>
            </w:tcBorders>
            <w:shd w:val="clear" w:color="auto" w:fill="auto"/>
            <w:noWrap/>
            <w:vAlign w:val="bottom"/>
            <w:hideMark/>
          </w:tcPr>
          <w:p w14:paraId="44AE1FB7" w14:textId="77777777" w:rsidR="004F6998" w:rsidRPr="00567CF8" w:rsidRDefault="004F6998" w:rsidP="009B5DC2">
            <w:pPr>
              <w:spacing w:after="0" w:line="240" w:lineRule="auto"/>
              <w:rPr>
                <w:rFonts w:ascii="Arial" w:hAnsi="Arial" w:cs="Arial"/>
                <w:b/>
                <w:bCs/>
                <w:color w:val="000000"/>
                <w:sz w:val="18"/>
                <w:szCs w:val="18"/>
              </w:rPr>
            </w:pPr>
            <w:r w:rsidRPr="00567CF8">
              <w:rPr>
                <w:rFonts w:ascii="Arial" w:hAnsi="Arial" w:cs="Arial"/>
                <w:b/>
                <w:bCs/>
                <w:color w:val="000000"/>
                <w:sz w:val="18"/>
                <w:szCs w:val="18"/>
              </w:rPr>
              <w:t>Index</w:t>
            </w:r>
          </w:p>
        </w:tc>
        <w:tc>
          <w:tcPr>
            <w:tcW w:w="7073" w:type="dxa"/>
            <w:gridSpan w:val="2"/>
            <w:tcBorders>
              <w:top w:val="nil"/>
              <w:left w:val="nil"/>
              <w:bottom w:val="nil"/>
              <w:right w:val="nil"/>
            </w:tcBorders>
            <w:shd w:val="clear" w:color="auto" w:fill="auto"/>
            <w:noWrap/>
            <w:vAlign w:val="bottom"/>
            <w:hideMark/>
          </w:tcPr>
          <w:p w14:paraId="6703899E" w14:textId="77777777" w:rsidR="004F6998" w:rsidRPr="00567CF8" w:rsidRDefault="004F6998" w:rsidP="009B5DC2">
            <w:pPr>
              <w:spacing w:after="0" w:line="240" w:lineRule="auto"/>
              <w:rPr>
                <w:rFonts w:ascii="Arial" w:hAnsi="Arial" w:cs="Arial"/>
                <w:b/>
                <w:bCs/>
                <w:color w:val="000000"/>
                <w:sz w:val="18"/>
                <w:szCs w:val="18"/>
              </w:rPr>
            </w:pPr>
            <w:r w:rsidRPr="00567CF8">
              <w:rPr>
                <w:rFonts w:ascii="Arial" w:hAnsi="Arial" w:cs="Arial"/>
                <w:b/>
                <w:bCs/>
                <w:color w:val="000000"/>
                <w:sz w:val="18"/>
                <w:szCs w:val="18"/>
              </w:rPr>
              <w:t>Definition</w:t>
            </w:r>
          </w:p>
        </w:tc>
      </w:tr>
      <w:tr w:rsidR="004F6998" w:rsidRPr="00567CF8" w14:paraId="36AB11DF" w14:textId="77777777" w:rsidTr="009B5DC2">
        <w:trPr>
          <w:trHeight w:val="636"/>
        </w:trPr>
        <w:tc>
          <w:tcPr>
            <w:tcW w:w="1654" w:type="dxa"/>
            <w:tcBorders>
              <w:top w:val="nil"/>
              <w:left w:val="nil"/>
              <w:bottom w:val="nil"/>
              <w:right w:val="nil"/>
            </w:tcBorders>
            <w:shd w:val="clear" w:color="auto" w:fill="auto"/>
            <w:hideMark/>
          </w:tcPr>
          <w:p w14:paraId="1B448FD2"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US Equity</w:t>
            </w:r>
          </w:p>
        </w:tc>
        <w:tc>
          <w:tcPr>
            <w:tcW w:w="1929" w:type="dxa"/>
            <w:tcBorders>
              <w:top w:val="nil"/>
              <w:left w:val="nil"/>
              <w:bottom w:val="nil"/>
              <w:right w:val="nil"/>
            </w:tcBorders>
            <w:shd w:val="clear" w:color="auto" w:fill="auto"/>
            <w:hideMark/>
          </w:tcPr>
          <w:p w14:paraId="304E3B04"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S&amp;P 500</w:t>
            </w:r>
          </w:p>
        </w:tc>
        <w:tc>
          <w:tcPr>
            <w:tcW w:w="7073" w:type="dxa"/>
            <w:gridSpan w:val="2"/>
            <w:tcBorders>
              <w:top w:val="nil"/>
              <w:left w:val="nil"/>
              <w:bottom w:val="nil"/>
              <w:right w:val="nil"/>
            </w:tcBorders>
            <w:shd w:val="clear" w:color="auto" w:fill="auto"/>
            <w:hideMark/>
          </w:tcPr>
          <w:p w14:paraId="443AC61F" w14:textId="77777777" w:rsidR="004F699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500 leading companies in the U.S.  Constituents generally have a market-cap above $5 billion and represent approximately 80% of the investable market. </w:t>
            </w:r>
          </w:p>
          <w:p w14:paraId="1DCF598C" w14:textId="77777777" w:rsidR="004F6998" w:rsidRPr="00567CF8" w:rsidRDefault="004F6998" w:rsidP="009B5DC2">
            <w:pPr>
              <w:spacing w:after="0" w:line="240" w:lineRule="auto"/>
              <w:rPr>
                <w:rFonts w:ascii="Arial" w:hAnsi="Arial" w:cs="Arial"/>
                <w:color w:val="000000"/>
                <w:sz w:val="18"/>
                <w:szCs w:val="18"/>
              </w:rPr>
            </w:pPr>
          </w:p>
        </w:tc>
      </w:tr>
      <w:tr w:rsidR="004F6998" w:rsidRPr="00567CF8" w14:paraId="0813E77A" w14:textId="77777777" w:rsidTr="009B5DC2">
        <w:trPr>
          <w:trHeight w:val="384"/>
        </w:trPr>
        <w:tc>
          <w:tcPr>
            <w:tcW w:w="1654" w:type="dxa"/>
            <w:tcBorders>
              <w:top w:val="nil"/>
              <w:left w:val="nil"/>
              <w:bottom w:val="nil"/>
              <w:right w:val="nil"/>
            </w:tcBorders>
            <w:shd w:val="clear" w:color="auto" w:fill="auto"/>
            <w:hideMark/>
          </w:tcPr>
          <w:p w14:paraId="5BD972D3"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Global Equity</w:t>
            </w:r>
          </w:p>
        </w:tc>
        <w:tc>
          <w:tcPr>
            <w:tcW w:w="1929" w:type="dxa"/>
            <w:tcBorders>
              <w:top w:val="nil"/>
              <w:left w:val="nil"/>
              <w:bottom w:val="nil"/>
              <w:right w:val="nil"/>
            </w:tcBorders>
            <w:shd w:val="clear" w:color="auto" w:fill="auto"/>
            <w:hideMark/>
          </w:tcPr>
          <w:p w14:paraId="4016E830"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 xml:space="preserve">MSCI ACWI </w:t>
            </w:r>
          </w:p>
        </w:tc>
        <w:tc>
          <w:tcPr>
            <w:tcW w:w="7073" w:type="dxa"/>
            <w:gridSpan w:val="2"/>
            <w:tcBorders>
              <w:top w:val="nil"/>
              <w:left w:val="nil"/>
              <w:bottom w:val="nil"/>
              <w:right w:val="nil"/>
            </w:tcBorders>
            <w:shd w:val="clear" w:color="auto" w:fill="auto"/>
            <w:hideMark/>
          </w:tcPr>
          <w:p w14:paraId="49D6439E" w14:textId="77777777" w:rsidR="004F699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large- and mid-cap equity performance of developed and emerging markets.  Represents approximately 85% of the global equity investment universe. </w:t>
            </w:r>
          </w:p>
          <w:p w14:paraId="3BECD77F" w14:textId="77777777" w:rsidR="004F6998" w:rsidRPr="00567CF8" w:rsidRDefault="004F6998" w:rsidP="009B5DC2">
            <w:pPr>
              <w:spacing w:after="0" w:line="240" w:lineRule="auto"/>
              <w:rPr>
                <w:rFonts w:ascii="Arial" w:hAnsi="Arial" w:cs="Arial"/>
                <w:color w:val="000000"/>
                <w:sz w:val="18"/>
                <w:szCs w:val="18"/>
              </w:rPr>
            </w:pPr>
          </w:p>
        </w:tc>
      </w:tr>
      <w:tr w:rsidR="004F6998" w:rsidRPr="00567CF8" w14:paraId="6162B9B6" w14:textId="77777777" w:rsidTr="009B5DC2">
        <w:trPr>
          <w:trHeight w:val="537"/>
        </w:trPr>
        <w:tc>
          <w:tcPr>
            <w:tcW w:w="1654" w:type="dxa"/>
            <w:tcBorders>
              <w:top w:val="nil"/>
              <w:left w:val="nil"/>
              <w:bottom w:val="nil"/>
              <w:right w:val="nil"/>
            </w:tcBorders>
            <w:shd w:val="clear" w:color="auto" w:fill="auto"/>
            <w:hideMark/>
          </w:tcPr>
          <w:p w14:paraId="7EA3D99B"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International Developed Equity</w:t>
            </w:r>
          </w:p>
        </w:tc>
        <w:tc>
          <w:tcPr>
            <w:tcW w:w="1929" w:type="dxa"/>
            <w:tcBorders>
              <w:top w:val="nil"/>
              <w:left w:val="nil"/>
              <w:bottom w:val="nil"/>
              <w:right w:val="nil"/>
            </w:tcBorders>
            <w:shd w:val="clear" w:color="auto" w:fill="auto"/>
            <w:hideMark/>
          </w:tcPr>
          <w:p w14:paraId="6EE0088A"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MSCI EAFE</w:t>
            </w:r>
          </w:p>
        </w:tc>
        <w:tc>
          <w:tcPr>
            <w:tcW w:w="7073" w:type="dxa"/>
            <w:gridSpan w:val="2"/>
            <w:tcBorders>
              <w:top w:val="nil"/>
              <w:left w:val="nil"/>
              <w:bottom w:val="nil"/>
              <w:right w:val="nil"/>
            </w:tcBorders>
            <w:shd w:val="clear" w:color="auto" w:fill="auto"/>
            <w:hideMark/>
          </w:tcPr>
          <w:p w14:paraId="23B49271"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measures the equity performance of countries considered to represent developed markets, excluding the U.S. and Canada.</w:t>
            </w:r>
          </w:p>
        </w:tc>
      </w:tr>
      <w:tr w:rsidR="004F6998" w:rsidRPr="00567CF8" w14:paraId="2F0AAC9D" w14:textId="77777777" w:rsidTr="009B5DC2">
        <w:trPr>
          <w:trHeight w:val="546"/>
        </w:trPr>
        <w:tc>
          <w:tcPr>
            <w:tcW w:w="1654" w:type="dxa"/>
            <w:tcBorders>
              <w:top w:val="nil"/>
              <w:left w:val="nil"/>
              <w:bottom w:val="nil"/>
              <w:right w:val="nil"/>
            </w:tcBorders>
            <w:shd w:val="clear" w:color="auto" w:fill="auto"/>
            <w:hideMark/>
          </w:tcPr>
          <w:p w14:paraId="237B71F5"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Emerging Markets (EM) Equity</w:t>
            </w:r>
          </w:p>
        </w:tc>
        <w:tc>
          <w:tcPr>
            <w:tcW w:w="1929" w:type="dxa"/>
            <w:tcBorders>
              <w:top w:val="nil"/>
              <w:left w:val="nil"/>
              <w:bottom w:val="nil"/>
              <w:right w:val="nil"/>
            </w:tcBorders>
            <w:shd w:val="clear" w:color="auto" w:fill="auto"/>
            <w:hideMark/>
          </w:tcPr>
          <w:p w14:paraId="51CF7AA0"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MSCI Emerging Markets</w:t>
            </w:r>
          </w:p>
        </w:tc>
        <w:tc>
          <w:tcPr>
            <w:tcW w:w="7073" w:type="dxa"/>
            <w:gridSpan w:val="2"/>
            <w:tcBorders>
              <w:top w:val="nil"/>
              <w:left w:val="nil"/>
              <w:bottom w:val="nil"/>
              <w:right w:val="nil"/>
            </w:tcBorders>
            <w:shd w:val="clear" w:color="auto" w:fill="auto"/>
            <w:hideMark/>
          </w:tcPr>
          <w:p w14:paraId="1FA035ED" w14:textId="77777777" w:rsidR="004F699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equity market performance of countries considered to represent emerging markets. </w:t>
            </w:r>
          </w:p>
          <w:p w14:paraId="60418ADB" w14:textId="77777777" w:rsidR="004F6998" w:rsidRDefault="004F6998" w:rsidP="009B5DC2">
            <w:pPr>
              <w:spacing w:after="0" w:line="240" w:lineRule="auto"/>
              <w:rPr>
                <w:rFonts w:ascii="Arial" w:hAnsi="Arial" w:cs="Arial"/>
                <w:color w:val="000000"/>
                <w:sz w:val="18"/>
                <w:szCs w:val="18"/>
              </w:rPr>
            </w:pPr>
          </w:p>
          <w:p w14:paraId="4D78D185" w14:textId="77777777" w:rsidR="004F6998" w:rsidRPr="00567CF8" w:rsidRDefault="004F6998" w:rsidP="009B5DC2">
            <w:pPr>
              <w:spacing w:after="0" w:line="240" w:lineRule="auto"/>
              <w:rPr>
                <w:rFonts w:ascii="Arial" w:hAnsi="Arial" w:cs="Arial"/>
                <w:color w:val="000000"/>
                <w:sz w:val="18"/>
                <w:szCs w:val="18"/>
              </w:rPr>
            </w:pPr>
          </w:p>
        </w:tc>
      </w:tr>
      <w:tr w:rsidR="004F6998" w:rsidRPr="00567CF8" w14:paraId="027829C0" w14:textId="77777777" w:rsidTr="009B5DC2">
        <w:trPr>
          <w:gridAfter w:val="1"/>
          <w:wAfter w:w="3583" w:type="dxa"/>
          <w:trHeight w:val="78"/>
        </w:trPr>
        <w:tc>
          <w:tcPr>
            <w:tcW w:w="7073" w:type="dxa"/>
            <w:gridSpan w:val="3"/>
            <w:tcBorders>
              <w:top w:val="nil"/>
              <w:left w:val="nil"/>
              <w:bottom w:val="nil"/>
              <w:right w:val="nil"/>
            </w:tcBorders>
            <w:shd w:val="clear" w:color="auto" w:fill="auto"/>
          </w:tcPr>
          <w:p w14:paraId="478CDFF2" w14:textId="77777777" w:rsidR="004F6998" w:rsidRPr="00567CF8" w:rsidRDefault="004F6998" w:rsidP="009B5DC2">
            <w:pPr>
              <w:spacing w:after="0" w:line="240" w:lineRule="auto"/>
              <w:rPr>
                <w:rFonts w:ascii="Arial" w:hAnsi="Arial" w:cs="Arial"/>
                <w:color w:val="000000"/>
                <w:sz w:val="18"/>
                <w:szCs w:val="18"/>
              </w:rPr>
            </w:pPr>
          </w:p>
        </w:tc>
      </w:tr>
      <w:tr w:rsidR="004F6998" w:rsidRPr="00567CF8" w14:paraId="7AAE4BE0" w14:textId="77777777" w:rsidTr="009B5DC2">
        <w:trPr>
          <w:trHeight w:val="438"/>
        </w:trPr>
        <w:tc>
          <w:tcPr>
            <w:tcW w:w="1654" w:type="dxa"/>
            <w:tcBorders>
              <w:top w:val="nil"/>
              <w:left w:val="nil"/>
              <w:bottom w:val="nil"/>
              <w:right w:val="nil"/>
            </w:tcBorders>
            <w:shd w:val="clear" w:color="auto" w:fill="auto"/>
          </w:tcPr>
          <w:p w14:paraId="56E64E44" w14:textId="77777777" w:rsidR="004F6998" w:rsidRPr="003127F9" w:rsidRDefault="004F6998" w:rsidP="009B5DC2">
            <w:pPr>
              <w:spacing w:after="0" w:line="240" w:lineRule="auto"/>
              <w:rPr>
                <w:rFonts w:ascii="Arial" w:hAnsi="Arial" w:cs="Arial"/>
                <w:color w:val="000000"/>
                <w:sz w:val="18"/>
                <w:szCs w:val="18"/>
              </w:rPr>
            </w:pPr>
            <w:r>
              <w:rPr>
                <w:rFonts w:ascii="Arial" w:hAnsi="Arial" w:cs="Arial"/>
                <w:color w:val="000000"/>
                <w:sz w:val="18"/>
                <w:szCs w:val="18"/>
              </w:rPr>
              <w:t>US Equity</w:t>
            </w:r>
          </w:p>
        </w:tc>
        <w:tc>
          <w:tcPr>
            <w:tcW w:w="1929" w:type="dxa"/>
            <w:tcBorders>
              <w:top w:val="nil"/>
              <w:left w:val="nil"/>
              <w:bottom w:val="nil"/>
              <w:right w:val="nil"/>
            </w:tcBorders>
            <w:shd w:val="clear" w:color="auto" w:fill="auto"/>
          </w:tcPr>
          <w:p w14:paraId="5C55644A" w14:textId="77777777" w:rsidR="004F6998" w:rsidRDefault="004F6998" w:rsidP="009B5DC2">
            <w:pPr>
              <w:spacing w:after="0" w:line="240" w:lineRule="auto"/>
              <w:rPr>
                <w:rFonts w:ascii="Arial" w:hAnsi="Arial" w:cs="Arial"/>
                <w:color w:val="000000"/>
                <w:sz w:val="18"/>
                <w:szCs w:val="18"/>
              </w:rPr>
            </w:pPr>
            <w:r>
              <w:rPr>
                <w:rFonts w:ascii="Arial" w:hAnsi="Arial" w:cs="Arial"/>
                <w:color w:val="000000"/>
                <w:sz w:val="18"/>
                <w:szCs w:val="18"/>
              </w:rPr>
              <w:t>Nasdaq 100</w:t>
            </w:r>
          </w:p>
          <w:p w14:paraId="52F556B4" w14:textId="77777777" w:rsidR="004F6998" w:rsidRPr="003127F9" w:rsidRDefault="004F6998" w:rsidP="009B5DC2">
            <w:pPr>
              <w:spacing w:after="0" w:line="240" w:lineRule="auto"/>
              <w:rPr>
                <w:rFonts w:ascii="Arial" w:hAnsi="Arial" w:cs="Arial"/>
                <w:color w:val="000000"/>
                <w:sz w:val="18"/>
                <w:szCs w:val="18"/>
              </w:rPr>
            </w:pPr>
          </w:p>
        </w:tc>
        <w:tc>
          <w:tcPr>
            <w:tcW w:w="7073" w:type="dxa"/>
            <w:gridSpan w:val="2"/>
            <w:tcBorders>
              <w:top w:val="nil"/>
              <w:left w:val="nil"/>
              <w:bottom w:val="nil"/>
              <w:right w:val="nil"/>
            </w:tcBorders>
            <w:shd w:val="clear" w:color="auto" w:fill="auto"/>
          </w:tcPr>
          <w:p w14:paraId="290C1FD8" w14:textId="77777777" w:rsidR="004F6998" w:rsidRPr="00B67D7C" w:rsidRDefault="004F6998" w:rsidP="009B5DC2">
            <w:pPr>
              <w:spacing w:after="0" w:line="240" w:lineRule="auto"/>
              <w:rPr>
                <w:rFonts w:ascii="Arial" w:hAnsi="Arial" w:cs="Arial"/>
                <w:color w:val="000000"/>
                <w:sz w:val="18"/>
                <w:szCs w:val="20"/>
              </w:rPr>
            </w:pPr>
            <w:r>
              <w:rPr>
                <w:rFonts w:ascii="Arial" w:hAnsi="Arial" w:cs="Arial"/>
                <w:color w:val="000000"/>
                <w:sz w:val="18"/>
                <w:szCs w:val="20"/>
              </w:rPr>
              <w:t xml:space="preserve">measures companies across major industry groups including computer hardware and software, telecommunications, retail/wholesale trade and biotechnology. </w:t>
            </w:r>
          </w:p>
          <w:p w14:paraId="512E5CE3" w14:textId="77777777" w:rsidR="004F6998" w:rsidRPr="003127F9" w:rsidRDefault="004F6998" w:rsidP="009B5DC2">
            <w:pPr>
              <w:spacing w:after="0" w:line="240" w:lineRule="auto"/>
              <w:rPr>
                <w:rFonts w:ascii="Arial" w:hAnsi="Arial" w:cs="Arial"/>
                <w:color w:val="000000"/>
                <w:sz w:val="18"/>
                <w:szCs w:val="20"/>
              </w:rPr>
            </w:pPr>
          </w:p>
        </w:tc>
      </w:tr>
      <w:tr w:rsidR="004F6998" w:rsidRPr="00567CF8" w14:paraId="31FBD474" w14:textId="77777777" w:rsidTr="009B5DC2">
        <w:trPr>
          <w:trHeight w:val="438"/>
        </w:trPr>
        <w:tc>
          <w:tcPr>
            <w:tcW w:w="1654" w:type="dxa"/>
            <w:tcBorders>
              <w:top w:val="nil"/>
              <w:left w:val="nil"/>
              <w:bottom w:val="nil"/>
              <w:right w:val="nil"/>
            </w:tcBorders>
            <w:shd w:val="clear" w:color="auto" w:fill="auto"/>
          </w:tcPr>
          <w:p w14:paraId="0BA1C14C" w14:textId="77777777" w:rsidR="004F699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 xml:space="preserve">Sector </w:t>
            </w:r>
            <w:r>
              <w:rPr>
                <w:rFonts w:ascii="Arial" w:hAnsi="Arial" w:cs="Arial"/>
                <w:color w:val="000000"/>
                <w:sz w:val="18"/>
                <w:szCs w:val="18"/>
              </w:rPr>
              <w:t>–</w:t>
            </w:r>
            <w:r w:rsidRPr="00567CF8">
              <w:rPr>
                <w:rFonts w:ascii="Arial" w:hAnsi="Arial" w:cs="Arial"/>
                <w:color w:val="000000"/>
                <w:sz w:val="18"/>
                <w:szCs w:val="18"/>
              </w:rPr>
              <w:t xml:space="preserve"> </w:t>
            </w:r>
            <w:r>
              <w:rPr>
                <w:rFonts w:ascii="Arial" w:hAnsi="Arial" w:cs="Arial"/>
                <w:color w:val="000000"/>
                <w:sz w:val="18"/>
                <w:szCs w:val="18"/>
              </w:rPr>
              <w:t xml:space="preserve">                                           Real Estate   </w:t>
            </w:r>
          </w:p>
          <w:p w14:paraId="578129E5" w14:textId="77777777" w:rsidR="004F6998" w:rsidRDefault="004F6998" w:rsidP="009B5DC2">
            <w:pPr>
              <w:spacing w:after="0" w:line="240" w:lineRule="auto"/>
              <w:rPr>
                <w:rFonts w:ascii="Arial" w:hAnsi="Arial" w:cs="Arial"/>
                <w:color w:val="000000"/>
                <w:sz w:val="18"/>
                <w:szCs w:val="18"/>
              </w:rPr>
            </w:pPr>
          </w:p>
        </w:tc>
        <w:tc>
          <w:tcPr>
            <w:tcW w:w="1929" w:type="dxa"/>
            <w:tcBorders>
              <w:top w:val="nil"/>
              <w:left w:val="nil"/>
              <w:bottom w:val="nil"/>
              <w:right w:val="nil"/>
            </w:tcBorders>
            <w:shd w:val="clear" w:color="auto" w:fill="auto"/>
          </w:tcPr>
          <w:p w14:paraId="11311341" w14:textId="77777777" w:rsidR="004F6998" w:rsidRDefault="004F6998" w:rsidP="009B5DC2">
            <w:pPr>
              <w:spacing w:after="0" w:line="240" w:lineRule="auto"/>
              <w:rPr>
                <w:rFonts w:ascii="Arial" w:hAnsi="Arial" w:cs="Arial"/>
                <w:color w:val="000000"/>
                <w:sz w:val="18"/>
                <w:szCs w:val="18"/>
              </w:rPr>
            </w:pPr>
            <w:r w:rsidRPr="0027433B">
              <w:rPr>
                <w:rFonts w:ascii="Arial" w:hAnsi="Arial" w:cs="Arial"/>
                <w:color w:val="000000"/>
                <w:sz w:val="18"/>
                <w:szCs w:val="18"/>
              </w:rPr>
              <w:t>S&amp;P 500 Sector Real Estate</w:t>
            </w:r>
          </w:p>
        </w:tc>
        <w:tc>
          <w:tcPr>
            <w:tcW w:w="7073" w:type="dxa"/>
            <w:gridSpan w:val="2"/>
            <w:tcBorders>
              <w:top w:val="nil"/>
              <w:left w:val="nil"/>
              <w:bottom w:val="nil"/>
              <w:right w:val="nil"/>
            </w:tcBorders>
            <w:shd w:val="clear" w:color="auto" w:fill="auto"/>
          </w:tcPr>
          <w:p w14:paraId="22BC6F05" w14:textId="77777777" w:rsidR="004F6998" w:rsidRDefault="004F6998" w:rsidP="009B5DC2">
            <w:pPr>
              <w:spacing w:after="0" w:line="240" w:lineRule="auto"/>
              <w:rPr>
                <w:rFonts w:ascii="Arial" w:hAnsi="Arial" w:cs="Arial"/>
                <w:color w:val="000000"/>
                <w:sz w:val="18"/>
                <w:szCs w:val="20"/>
              </w:rPr>
            </w:pPr>
            <w:r w:rsidRPr="0027433B">
              <w:rPr>
                <w:rFonts w:ascii="Arial" w:hAnsi="Arial" w:cs="Arial"/>
                <w:color w:val="000000"/>
                <w:sz w:val="18"/>
                <w:szCs w:val="18"/>
              </w:rPr>
              <w:t>measures the performance of companies from the following industries:  real estate management &amp; development and REITS, excluding mortgage REITS.</w:t>
            </w:r>
          </w:p>
        </w:tc>
      </w:tr>
      <w:tr w:rsidR="004F6998" w:rsidRPr="00567CF8" w14:paraId="397D1A61" w14:textId="77777777" w:rsidTr="009B5DC2">
        <w:trPr>
          <w:trHeight w:val="1791"/>
        </w:trPr>
        <w:tc>
          <w:tcPr>
            <w:tcW w:w="10656" w:type="dxa"/>
            <w:gridSpan w:val="4"/>
            <w:tcBorders>
              <w:top w:val="nil"/>
              <w:left w:val="nil"/>
              <w:right w:val="nil"/>
            </w:tcBorders>
            <w:shd w:val="clear" w:color="auto" w:fill="auto"/>
          </w:tcPr>
          <w:tbl>
            <w:tblPr>
              <w:tblW w:w="10346" w:type="dxa"/>
              <w:tblLayout w:type="fixed"/>
              <w:tblLook w:val="04A0" w:firstRow="1" w:lastRow="0" w:firstColumn="1" w:lastColumn="0" w:noHBand="0" w:noVBand="1"/>
            </w:tblPr>
            <w:tblGrid>
              <w:gridCol w:w="1502"/>
              <w:gridCol w:w="1961"/>
              <w:gridCol w:w="6883"/>
            </w:tblGrid>
            <w:tr w:rsidR="004F6998" w:rsidRPr="00567CF8" w14:paraId="4E8B01C1" w14:textId="77777777" w:rsidTr="009B5DC2">
              <w:trPr>
                <w:trHeight w:val="569"/>
              </w:trPr>
              <w:tc>
                <w:tcPr>
                  <w:tcW w:w="1502" w:type="dxa"/>
                  <w:tcBorders>
                    <w:top w:val="nil"/>
                    <w:left w:val="nil"/>
                    <w:bottom w:val="nil"/>
                    <w:right w:val="nil"/>
                  </w:tcBorders>
                  <w:shd w:val="clear" w:color="auto" w:fill="auto"/>
                </w:tcPr>
                <w:p w14:paraId="2512447A" w14:textId="77777777" w:rsidR="004F6998" w:rsidRPr="003127F9" w:rsidRDefault="004F6998" w:rsidP="009B5DC2">
                  <w:pPr>
                    <w:spacing w:after="0" w:line="240" w:lineRule="auto"/>
                    <w:rPr>
                      <w:rFonts w:ascii="Arial" w:hAnsi="Arial" w:cs="Arial"/>
                      <w:color w:val="000000"/>
                      <w:sz w:val="18"/>
                      <w:szCs w:val="18"/>
                    </w:rPr>
                  </w:pPr>
                  <w:r w:rsidRPr="003127F9">
                    <w:rPr>
                      <w:rFonts w:ascii="Arial" w:hAnsi="Arial" w:cs="Arial"/>
                      <w:color w:val="000000"/>
                      <w:sz w:val="18"/>
                      <w:szCs w:val="18"/>
                    </w:rPr>
                    <w:lastRenderedPageBreak/>
                    <w:t>Global Fixed Income</w:t>
                  </w:r>
                </w:p>
              </w:tc>
              <w:tc>
                <w:tcPr>
                  <w:tcW w:w="1961" w:type="dxa"/>
                  <w:tcBorders>
                    <w:top w:val="nil"/>
                    <w:left w:val="nil"/>
                    <w:bottom w:val="nil"/>
                    <w:right w:val="nil"/>
                  </w:tcBorders>
                  <w:shd w:val="clear" w:color="auto" w:fill="auto"/>
                </w:tcPr>
                <w:p w14:paraId="48D9CA18" w14:textId="77777777" w:rsidR="004F6998" w:rsidRPr="003127F9" w:rsidRDefault="004F6998" w:rsidP="009B5DC2">
                  <w:pPr>
                    <w:spacing w:after="0" w:line="240" w:lineRule="auto"/>
                    <w:rPr>
                      <w:rFonts w:ascii="Arial" w:hAnsi="Arial" w:cs="Arial"/>
                      <w:color w:val="000000"/>
                      <w:sz w:val="18"/>
                      <w:szCs w:val="18"/>
                    </w:rPr>
                  </w:pPr>
                  <w:r w:rsidRPr="00B67D7C">
                    <w:rPr>
                      <w:rFonts w:ascii="Arial" w:hAnsi="Arial" w:cs="Arial"/>
                      <w:color w:val="000000"/>
                      <w:sz w:val="18"/>
                      <w:szCs w:val="18"/>
                    </w:rPr>
                    <w:t>Bloomberg</w:t>
                  </w:r>
                  <w:r w:rsidRPr="003127F9">
                    <w:rPr>
                      <w:rFonts w:ascii="Arial" w:hAnsi="Arial" w:cs="Arial"/>
                      <w:color w:val="000000"/>
                      <w:sz w:val="18"/>
                      <w:szCs w:val="18"/>
                    </w:rPr>
                    <w:t xml:space="preserve"> Global Aggregate</w:t>
                  </w:r>
                </w:p>
              </w:tc>
              <w:tc>
                <w:tcPr>
                  <w:tcW w:w="6883" w:type="dxa"/>
                  <w:tcBorders>
                    <w:top w:val="nil"/>
                    <w:left w:val="nil"/>
                    <w:bottom w:val="nil"/>
                    <w:right w:val="nil"/>
                  </w:tcBorders>
                  <w:shd w:val="clear" w:color="auto" w:fill="auto"/>
                </w:tcPr>
                <w:p w14:paraId="662AE963" w14:textId="77777777" w:rsidR="004F6998" w:rsidRDefault="004F6998" w:rsidP="009B5DC2">
                  <w:pPr>
                    <w:spacing w:after="0" w:line="240" w:lineRule="auto"/>
                    <w:rPr>
                      <w:rFonts w:ascii="Arial" w:hAnsi="Arial" w:cs="Arial"/>
                      <w:color w:val="000000"/>
                      <w:sz w:val="18"/>
                      <w:szCs w:val="18"/>
                    </w:rPr>
                  </w:pPr>
                  <w:r>
                    <w:rPr>
                      <w:rFonts w:ascii="Arial" w:hAnsi="Arial" w:cs="Arial"/>
                      <w:color w:val="000000"/>
                      <w:sz w:val="18"/>
                      <w:szCs w:val="18"/>
                    </w:rPr>
                    <w:t>m</w:t>
                  </w:r>
                  <w:r w:rsidRPr="00567CF8">
                    <w:rPr>
                      <w:rFonts w:ascii="Arial" w:hAnsi="Arial" w:cs="Arial"/>
                      <w:color w:val="000000"/>
                      <w:sz w:val="18"/>
                      <w:szCs w:val="18"/>
                    </w:rPr>
                    <w:t>easures the performance of global, investment-grade debt from 24 local currency markets.  This benchmark includes treasury, government-related, corporate and securitized fixed-rate bonds from both developed and emerging markets issuers</w:t>
                  </w:r>
                  <w:r>
                    <w:rPr>
                      <w:rFonts w:ascii="Arial" w:hAnsi="Arial" w:cs="Arial"/>
                      <w:color w:val="000000"/>
                      <w:sz w:val="18"/>
                      <w:szCs w:val="18"/>
                    </w:rPr>
                    <w:t>.</w:t>
                  </w:r>
                </w:p>
                <w:p w14:paraId="17485FAC" w14:textId="77777777" w:rsidR="004F6998" w:rsidRPr="00567CF8" w:rsidRDefault="004F6998" w:rsidP="009B5DC2">
                  <w:pPr>
                    <w:spacing w:after="0" w:line="240" w:lineRule="auto"/>
                    <w:rPr>
                      <w:rFonts w:ascii="Arial" w:hAnsi="Arial" w:cs="Arial"/>
                      <w:color w:val="000000"/>
                      <w:sz w:val="18"/>
                      <w:szCs w:val="18"/>
                    </w:rPr>
                  </w:pPr>
                </w:p>
              </w:tc>
            </w:tr>
            <w:tr w:rsidR="004F6998" w:rsidRPr="00567CF8" w14:paraId="249186C3" w14:textId="77777777" w:rsidTr="009B5DC2">
              <w:trPr>
                <w:trHeight w:val="698"/>
              </w:trPr>
              <w:tc>
                <w:tcPr>
                  <w:tcW w:w="1502" w:type="dxa"/>
                  <w:tcBorders>
                    <w:top w:val="nil"/>
                    <w:left w:val="nil"/>
                    <w:bottom w:val="nil"/>
                    <w:right w:val="nil"/>
                  </w:tcBorders>
                  <w:shd w:val="clear" w:color="auto" w:fill="auto"/>
                </w:tcPr>
                <w:p w14:paraId="45CF32C3" w14:textId="77777777" w:rsidR="004F6998" w:rsidRPr="00B67D7C" w:rsidRDefault="004F6998" w:rsidP="009B5DC2">
                  <w:pPr>
                    <w:spacing w:after="0" w:line="240" w:lineRule="auto"/>
                    <w:rPr>
                      <w:rFonts w:ascii="Arial" w:hAnsi="Arial" w:cs="Arial"/>
                      <w:color w:val="000000"/>
                      <w:sz w:val="18"/>
                      <w:szCs w:val="18"/>
                    </w:rPr>
                  </w:pPr>
                  <w:r w:rsidRPr="00B67D7C">
                    <w:rPr>
                      <w:rFonts w:ascii="Arial" w:hAnsi="Arial" w:cs="Arial"/>
                      <w:color w:val="000000"/>
                      <w:sz w:val="18"/>
                      <w:szCs w:val="18"/>
                    </w:rPr>
                    <w:t>US Fixed Income</w:t>
                  </w:r>
                </w:p>
              </w:tc>
              <w:tc>
                <w:tcPr>
                  <w:tcW w:w="1961" w:type="dxa"/>
                  <w:tcBorders>
                    <w:top w:val="nil"/>
                    <w:left w:val="nil"/>
                    <w:bottom w:val="nil"/>
                    <w:right w:val="nil"/>
                  </w:tcBorders>
                  <w:shd w:val="clear" w:color="auto" w:fill="auto"/>
                </w:tcPr>
                <w:p w14:paraId="38DB4107" w14:textId="77777777" w:rsidR="004F6998" w:rsidRPr="00B67D7C" w:rsidRDefault="004F6998" w:rsidP="009B5DC2">
                  <w:pPr>
                    <w:spacing w:after="0" w:line="240" w:lineRule="auto"/>
                    <w:rPr>
                      <w:rFonts w:ascii="Arial" w:hAnsi="Arial" w:cs="Arial"/>
                      <w:color w:val="000000"/>
                      <w:sz w:val="18"/>
                      <w:szCs w:val="18"/>
                    </w:rPr>
                  </w:pPr>
                  <w:r w:rsidRPr="00B67D7C">
                    <w:rPr>
                      <w:rFonts w:ascii="Arial" w:hAnsi="Arial" w:cs="Arial"/>
                      <w:color w:val="000000"/>
                      <w:sz w:val="18"/>
                      <w:szCs w:val="18"/>
                    </w:rPr>
                    <w:t>Bloomberg US Aggregate</w:t>
                  </w:r>
                </w:p>
              </w:tc>
              <w:tc>
                <w:tcPr>
                  <w:tcW w:w="6883" w:type="dxa"/>
                  <w:tcBorders>
                    <w:top w:val="nil"/>
                    <w:left w:val="nil"/>
                    <w:bottom w:val="nil"/>
                    <w:right w:val="nil"/>
                  </w:tcBorders>
                  <w:shd w:val="clear" w:color="auto" w:fill="auto"/>
                </w:tcPr>
                <w:p w14:paraId="4E5A6962" w14:textId="77777777" w:rsidR="004F6998" w:rsidRPr="00B67D7C" w:rsidRDefault="004F6998" w:rsidP="009B5DC2">
                  <w:pPr>
                    <w:spacing w:after="0" w:line="240" w:lineRule="auto"/>
                    <w:rPr>
                      <w:rFonts w:ascii="Arial" w:hAnsi="Arial" w:cs="Arial"/>
                      <w:color w:val="000000"/>
                      <w:sz w:val="18"/>
                      <w:szCs w:val="18"/>
                    </w:rPr>
                  </w:pPr>
                  <w:r w:rsidRPr="004561AF">
                    <w:rPr>
                      <w:rFonts w:ascii="Arial" w:hAnsi="Arial" w:cs="Arial"/>
                      <w:color w:val="000000"/>
                      <w:sz w:val="18"/>
                      <w:szCs w:val="18"/>
                    </w:rPr>
                    <w:t>measures the performance of USD-denominated, investment-grade, fixed-rate taxable bond market of SEC-registered securities.  The index includes Treasury bonds, Government-related Corporate, MBS (agency fixed-rate and hybrid ARM pass-throughs), ABS and CMBS sectors</w:t>
                  </w:r>
                  <w:r w:rsidRPr="00B67D7C">
                    <w:rPr>
                      <w:rFonts w:ascii="Arial" w:hAnsi="Arial" w:cs="Arial"/>
                      <w:color w:val="000000"/>
                      <w:sz w:val="18"/>
                      <w:szCs w:val="18"/>
                    </w:rPr>
                    <w:t>.</w:t>
                  </w:r>
                </w:p>
                <w:p w14:paraId="7D89A525" w14:textId="77777777" w:rsidR="004F6998" w:rsidRPr="006C7478" w:rsidRDefault="004F6998" w:rsidP="009B5DC2">
                  <w:pPr>
                    <w:spacing w:after="0" w:line="240" w:lineRule="auto"/>
                    <w:rPr>
                      <w:rFonts w:ascii="Arial" w:hAnsi="Arial" w:cs="Arial"/>
                      <w:color w:val="000000"/>
                      <w:sz w:val="18"/>
                      <w:szCs w:val="18"/>
                      <w:highlight w:val="yellow"/>
                    </w:rPr>
                  </w:pPr>
                </w:p>
              </w:tc>
            </w:tr>
            <w:tr w:rsidR="004F6998" w:rsidRPr="00567CF8" w14:paraId="447750A6" w14:textId="77777777" w:rsidTr="009B5DC2">
              <w:trPr>
                <w:trHeight w:val="698"/>
              </w:trPr>
              <w:tc>
                <w:tcPr>
                  <w:tcW w:w="1502" w:type="dxa"/>
                  <w:tcBorders>
                    <w:top w:val="nil"/>
                    <w:left w:val="nil"/>
                    <w:bottom w:val="nil"/>
                    <w:right w:val="nil"/>
                  </w:tcBorders>
                  <w:shd w:val="clear" w:color="auto" w:fill="auto"/>
                </w:tcPr>
                <w:p w14:paraId="7DEBA64D" w14:textId="77777777" w:rsidR="004F6998" w:rsidRPr="00B67D7C" w:rsidRDefault="004F6998" w:rsidP="009B5DC2">
                  <w:pPr>
                    <w:spacing w:after="0" w:line="240" w:lineRule="auto"/>
                    <w:rPr>
                      <w:rFonts w:ascii="Arial" w:hAnsi="Arial" w:cs="Arial"/>
                      <w:color w:val="000000"/>
                      <w:sz w:val="18"/>
                      <w:szCs w:val="18"/>
                    </w:rPr>
                  </w:pPr>
                  <w:r w:rsidRPr="00B67D7C">
                    <w:rPr>
                      <w:rFonts w:ascii="Arial" w:hAnsi="Arial" w:cs="Arial"/>
                      <w:color w:val="000000"/>
                      <w:sz w:val="18"/>
                      <w:szCs w:val="18"/>
                    </w:rPr>
                    <w:t>US Long Treasuries</w:t>
                  </w:r>
                </w:p>
              </w:tc>
              <w:tc>
                <w:tcPr>
                  <w:tcW w:w="1961" w:type="dxa"/>
                  <w:tcBorders>
                    <w:top w:val="nil"/>
                    <w:left w:val="nil"/>
                    <w:bottom w:val="nil"/>
                    <w:right w:val="nil"/>
                  </w:tcBorders>
                  <w:shd w:val="clear" w:color="auto" w:fill="auto"/>
                </w:tcPr>
                <w:p w14:paraId="5457D268" w14:textId="77777777" w:rsidR="004F6998" w:rsidRPr="00B67D7C" w:rsidRDefault="004F6998" w:rsidP="009B5DC2">
                  <w:pPr>
                    <w:spacing w:after="0" w:line="240" w:lineRule="auto"/>
                    <w:rPr>
                      <w:rFonts w:ascii="Arial" w:hAnsi="Arial" w:cs="Arial"/>
                      <w:color w:val="000000"/>
                      <w:sz w:val="18"/>
                      <w:szCs w:val="18"/>
                    </w:rPr>
                  </w:pPr>
                  <w:r w:rsidRPr="00B67D7C">
                    <w:rPr>
                      <w:rFonts w:ascii="Arial" w:hAnsi="Arial" w:cs="Arial"/>
                      <w:color w:val="000000"/>
                      <w:sz w:val="18"/>
                      <w:szCs w:val="18"/>
                    </w:rPr>
                    <w:t>Bloomberg US Treasury Long</w:t>
                  </w:r>
                </w:p>
              </w:tc>
              <w:tc>
                <w:tcPr>
                  <w:tcW w:w="6883" w:type="dxa"/>
                  <w:tcBorders>
                    <w:top w:val="nil"/>
                    <w:left w:val="nil"/>
                    <w:bottom w:val="nil"/>
                    <w:right w:val="nil"/>
                  </w:tcBorders>
                  <w:shd w:val="clear" w:color="auto" w:fill="auto"/>
                </w:tcPr>
                <w:p w14:paraId="482FB221" w14:textId="77777777" w:rsidR="004F6998" w:rsidRPr="004561AF" w:rsidRDefault="004F6998" w:rsidP="009B5DC2">
                  <w:pPr>
                    <w:spacing w:after="0" w:line="240" w:lineRule="auto"/>
                    <w:rPr>
                      <w:rFonts w:ascii="Arial" w:hAnsi="Arial" w:cs="Arial"/>
                      <w:color w:val="000000"/>
                      <w:sz w:val="18"/>
                      <w:szCs w:val="20"/>
                    </w:rPr>
                  </w:pPr>
                  <w:r w:rsidRPr="004561AF">
                    <w:rPr>
                      <w:rFonts w:ascii="Arial" w:hAnsi="Arial" w:cs="Arial"/>
                      <w:color w:val="000000"/>
                      <w:sz w:val="18"/>
                      <w:szCs w:val="20"/>
                    </w:rPr>
                    <w:t>measures the performance of long-term US Treasury bonds, including all publicly issued securities that have a remaining maturity of ten or more years, are: non-convertible, denominated in US dollars, rated investment-grade, fixed-rate and have $250 or more of outstanding face value.</w:t>
                  </w:r>
                </w:p>
                <w:p w14:paraId="68D1675D" w14:textId="77777777" w:rsidR="004F6998" w:rsidRPr="006C208B" w:rsidRDefault="004F6998" w:rsidP="009B5DC2">
                  <w:pPr>
                    <w:spacing w:after="0" w:line="240" w:lineRule="auto"/>
                    <w:rPr>
                      <w:rFonts w:ascii="Arial" w:hAnsi="Arial" w:cs="Arial"/>
                      <w:color w:val="000000"/>
                      <w:sz w:val="18"/>
                      <w:szCs w:val="18"/>
                      <w:highlight w:val="yellow"/>
                    </w:rPr>
                  </w:pPr>
                </w:p>
              </w:tc>
            </w:tr>
            <w:tr w:rsidR="004F6998" w:rsidRPr="007A7BDF" w14:paraId="0ECD4955" w14:textId="77777777" w:rsidTr="009B5DC2">
              <w:trPr>
                <w:trHeight w:val="698"/>
              </w:trPr>
              <w:tc>
                <w:tcPr>
                  <w:tcW w:w="1502" w:type="dxa"/>
                  <w:tcBorders>
                    <w:top w:val="nil"/>
                    <w:left w:val="nil"/>
                    <w:bottom w:val="nil"/>
                    <w:right w:val="nil"/>
                  </w:tcBorders>
                  <w:shd w:val="clear" w:color="auto" w:fill="auto"/>
                </w:tcPr>
                <w:p w14:paraId="305DBF6E"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US Investment Grade Credit</w:t>
                  </w:r>
                </w:p>
              </w:tc>
              <w:tc>
                <w:tcPr>
                  <w:tcW w:w="1961" w:type="dxa"/>
                  <w:tcBorders>
                    <w:top w:val="nil"/>
                    <w:left w:val="nil"/>
                    <w:bottom w:val="nil"/>
                    <w:right w:val="nil"/>
                  </w:tcBorders>
                  <w:shd w:val="clear" w:color="auto" w:fill="auto"/>
                </w:tcPr>
                <w:p w14:paraId="1785B19C"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 xml:space="preserve">Bloomberg Barclays US Corporate </w:t>
                  </w:r>
                </w:p>
              </w:tc>
              <w:tc>
                <w:tcPr>
                  <w:tcW w:w="6883" w:type="dxa"/>
                  <w:tcBorders>
                    <w:top w:val="nil"/>
                    <w:left w:val="nil"/>
                    <w:bottom w:val="nil"/>
                    <w:right w:val="nil"/>
                  </w:tcBorders>
                  <w:shd w:val="clear" w:color="auto" w:fill="auto"/>
                </w:tcPr>
                <w:p w14:paraId="7EFB6E8E" w14:textId="77777777" w:rsidR="004F6998" w:rsidRPr="007A7BDF" w:rsidRDefault="004F6998" w:rsidP="009B5DC2">
                  <w:pPr>
                    <w:spacing w:after="0" w:line="240" w:lineRule="auto"/>
                    <w:rPr>
                      <w:rFonts w:ascii="Arial" w:hAnsi="Arial" w:cs="Arial"/>
                      <w:color w:val="000000"/>
                      <w:sz w:val="18"/>
                      <w:szCs w:val="20"/>
                    </w:rPr>
                  </w:pPr>
                  <w:r w:rsidRPr="007A7BDF">
                    <w:rPr>
                      <w:rFonts w:ascii="Arial" w:hAnsi="Arial" w:cs="Arial"/>
                      <w:color w:val="000000"/>
                      <w:sz w:val="18"/>
                      <w:szCs w:val="20"/>
                    </w:rPr>
                    <w:t>measures the performance of the investment-grade, fixed-rate, taxable corporate bond market. Includes USD-denominated securities publicly issued by US and non-US industrial, utility and financial issuers that meet specified maturity, liquidity and quality requirements.</w:t>
                  </w:r>
                </w:p>
              </w:tc>
            </w:tr>
            <w:tr w:rsidR="004F6998" w:rsidRPr="00567CF8" w14:paraId="485A5B4A" w14:textId="77777777" w:rsidTr="009B5DC2">
              <w:trPr>
                <w:trHeight w:val="698"/>
              </w:trPr>
              <w:tc>
                <w:tcPr>
                  <w:tcW w:w="1502" w:type="dxa"/>
                  <w:tcBorders>
                    <w:top w:val="nil"/>
                    <w:left w:val="nil"/>
                    <w:bottom w:val="nil"/>
                    <w:right w:val="nil"/>
                  </w:tcBorders>
                  <w:shd w:val="clear" w:color="auto" w:fill="auto"/>
                </w:tcPr>
                <w:p w14:paraId="7482EC36" w14:textId="77777777" w:rsidR="004F6998" w:rsidRDefault="004F6998" w:rsidP="009B5DC2">
                  <w:pPr>
                    <w:spacing w:after="0" w:line="240" w:lineRule="auto"/>
                    <w:rPr>
                      <w:rFonts w:ascii="Arial" w:hAnsi="Arial" w:cs="Arial"/>
                      <w:color w:val="000000"/>
                      <w:sz w:val="18"/>
                      <w:szCs w:val="18"/>
                    </w:rPr>
                  </w:pPr>
                </w:p>
                <w:p w14:paraId="5DACC582" w14:textId="77777777" w:rsidR="004F6998" w:rsidRPr="003127F9" w:rsidRDefault="004F6998" w:rsidP="009B5DC2">
                  <w:pPr>
                    <w:spacing w:after="0" w:line="240" w:lineRule="auto"/>
                    <w:rPr>
                      <w:rFonts w:ascii="Arial" w:hAnsi="Arial" w:cs="Arial"/>
                      <w:color w:val="000000"/>
                      <w:sz w:val="18"/>
                      <w:szCs w:val="18"/>
                    </w:rPr>
                  </w:pPr>
                  <w:r w:rsidRPr="003127F9">
                    <w:rPr>
                      <w:rFonts w:ascii="Arial" w:hAnsi="Arial" w:cs="Arial"/>
                      <w:color w:val="000000"/>
                      <w:sz w:val="18"/>
                      <w:szCs w:val="18"/>
                    </w:rPr>
                    <w:t>Emerging Markets Fixed Income</w:t>
                  </w:r>
                </w:p>
              </w:tc>
              <w:tc>
                <w:tcPr>
                  <w:tcW w:w="1961" w:type="dxa"/>
                  <w:tcBorders>
                    <w:top w:val="nil"/>
                    <w:left w:val="nil"/>
                    <w:bottom w:val="nil"/>
                    <w:right w:val="nil"/>
                  </w:tcBorders>
                  <w:shd w:val="clear" w:color="auto" w:fill="auto"/>
                </w:tcPr>
                <w:p w14:paraId="4821E9A9" w14:textId="77777777" w:rsidR="004F6998" w:rsidRDefault="004F6998" w:rsidP="009B5DC2">
                  <w:pPr>
                    <w:spacing w:after="0" w:line="240" w:lineRule="auto"/>
                    <w:rPr>
                      <w:rFonts w:ascii="Arial" w:hAnsi="Arial" w:cs="Arial"/>
                      <w:color w:val="000000"/>
                      <w:sz w:val="18"/>
                      <w:szCs w:val="18"/>
                    </w:rPr>
                  </w:pPr>
                </w:p>
                <w:p w14:paraId="580DE5A4" w14:textId="77777777" w:rsidR="004F6998" w:rsidRPr="003127F9" w:rsidRDefault="004F6998" w:rsidP="009B5DC2">
                  <w:pPr>
                    <w:spacing w:after="0" w:line="240" w:lineRule="auto"/>
                    <w:rPr>
                      <w:rFonts w:ascii="Arial" w:hAnsi="Arial" w:cs="Arial"/>
                      <w:color w:val="000000"/>
                      <w:sz w:val="18"/>
                      <w:szCs w:val="18"/>
                    </w:rPr>
                  </w:pPr>
                  <w:r w:rsidRPr="00B67D7C">
                    <w:rPr>
                      <w:rFonts w:ascii="Arial" w:hAnsi="Arial" w:cs="Arial"/>
                      <w:color w:val="000000"/>
                      <w:sz w:val="18"/>
                      <w:szCs w:val="18"/>
                    </w:rPr>
                    <w:t>Bloomberg</w:t>
                  </w:r>
                  <w:r w:rsidRPr="003127F9">
                    <w:rPr>
                      <w:rFonts w:ascii="Arial" w:hAnsi="Arial" w:cs="Arial"/>
                      <w:color w:val="000000"/>
                      <w:sz w:val="18"/>
                      <w:szCs w:val="18"/>
                    </w:rPr>
                    <w:t xml:space="preserve"> Emerging Markets USD Aggregate</w:t>
                  </w:r>
                </w:p>
              </w:tc>
              <w:tc>
                <w:tcPr>
                  <w:tcW w:w="6883" w:type="dxa"/>
                  <w:tcBorders>
                    <w:top w:val="nil"/>
                    <w:left w:val="nil"/>
                    <w:bottom w:val="nil"/>
                    <w:right w:val="nil"/>
                  </w:tcBorders>
                  <w:shd w:val="clear" w:color="auto" w:fill="auto"/>
                </w:tcPr>
                <w:p w14:paraId="282F97FA" w14:textId="77777777" w:rsidR="004F6998" w:rsidRDefault="004F6998" w:rsidP="009B5DC2">
                  <w:pPr>
                    <w:spacing w:after="0" w:line="240" w:lineRule="auto"/>
                    <w:rPr>
                      <w:rFonts w:ascii="Arial" w:hAnsi="Arial" w:cs="Arial"/>
                      <w:color w:val="000000"/>
                      <w:sz w:val="18"/>
                      <w:szCs w:val="18"/>
                    </w:rPr>
                  </w:pPr>
                </w:p>
                <w:p w14:paraId="44E60BAA"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hard-currency emerging markets debt including fixed and floating-rate USD-denominated debt issued from sovereign, quasi-sovereign, and corporate emerging markets debt.  </w:t>
                  </w:r>
                </w:p>
              </w:tc>
            </w:tr>
            <w:tr w:rsidR="004F6998" w:rsidRPr="00567CF8" w14:paraId="7045677D" w14:textId="77777777" w:rsidTr="009B5DC2">
              <w:trPr>
                <w:trHeight w:val="698"/>
              </w:trPr>
              <w:tc>
                <w:tcPr>
                  <w:tcW w:w="1502" w:type="dxa"/>
                  <w:tcBorders>
                    <w:top w:val="nil"/>
                    <w:left w:val="nil"/>
                    <w:bottom w:val="nil"/>
                    <w:right w:val="nil"/>
                  </w:tcBorders>
                  <w:shd w:val="clear" w:color="auto" w:fill="auto"/>
                </w:tcPr>
                <w:p w14:paraId="4D6CFA40" w14:textId="77777777" w:rsidR="004F6998" w:rsidRDefault="004F6998" w:rsidP="009B5DC2">
                  <w:pPr>
                    <w:spacing w:after="0" w:line="240" w:lineRule="auto"/>
                    <w:rPr>
                      <w:rFonts w:ascii="Arial" w:hAnsi="Arial" w:cs="Arial"/>
                      <w:color w:val="000000"/>
                      <w:sz w:val="18"/>
                      <w:szCs w:val="18"/>
                    </w:rPr>
                  </w:pPr>
                </w:p>
                <w:p w14:paraId="68C95751"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International Fixed Income</w:t>
                  </w:r>
                </w:p>
              </w:tc>
              <w:tc>
                <w:tcPr>
                  <w:tcW w:w="1961" w:type="dxa"/>
                  <w:tcBorders>
                    <w:top w:val="nil"/>
                    <w:left w:val="nil"/>
                    <w:bottom w:val="nil"/>
                    <w:right w:val="nil"/>
                  </w:tcBorders>
                  <w:shd w:val="clear" w:color="auto" w:fill="auto"/>
                </w:tcPr>
                <w:p w14:paraId="0F27B81D" w14:textId="77777777" w:rsidR="004F6998" w:rsidRDefault="004F6998" w:rsidP="009B5DC2">
                  <w:pPr>
                    <w:spacing w:after="0" w:line="240" w:lineRule="auto"/>
                    <w:rPr>
                      <w:rFonts w:ascii="Arial" w:hAnsi="Arial" w:cs="Arial"/>
                      <w:color w:val="000000"/>
                      <w:sz w:val="18"/>
                      <w:szCs w:val="18"/>
                    </w:rPr>
                  </w:pPr>
                </w:p>
                <w:p w14:paraId="01CEE36A"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Bloomberg Global Aggregate ex-USD</w:t>
                  </w:r>
                </w:p>
              </w:tc>
              <w:tc>
                <w:tcPr>
                  <w:tcW w:w="6883" w:type="dxa"/>
                  <w:tcBorders>
                    <w:top w:val="nil"/>
                    <w:left w:val="nil"/>
                    <w:bottom w:val="nil"/>
                    <w:right w:val="nil"/>
                  </w:tcBorders>
                  <w:shd w:val="clear" w:color="auto" w:fill="auto"/>
                </w:tcPr>
                <w:p w14:paraId="78F719CB" w14:textId="77777777" w:rsidR="004F6998" w:rsidRDefault="004F6998" w:rsidP="009B5DC2">
                  <w:pPr>
                    <w:spacing w:after="0" w:line="240" w:lineRule="auto"/>
                    <w:rPr>
                      <w:rFonts w:ascii="Arial" w:hAnsi="Arial" w:cs="Arial"/>
                      <w:color w:val="000000"/>
                      <w:sz w:val="18"/>
                      <w:szCs w:val="18"/>
                    </w:rPr>
                  </w:pPr>
                </w:p>
                <w:p w14:paraId="3AA57B1B" w14:textId="77777777" w:rsidR="004F699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measures the performance of investment-grade debt from 24 local currency markets.  This multi-currency index includes treasury, government-related, corporate and securitized fixed-rate bonds from both developed and emerging markets issuers.  It excludes bonds issued in USD.</w:t>
                  </w:r>
                </w:p>
                <w:p w14:paraId="79709D09" w14:textId="77777777" w:rsidR="004F6998" w:rsidRPr="00567CF8" w:rsidRDefault="004F6998" w:rsidP="009B5DC2">
                  <w:pPr>
                    <w:spacing w:after="0" w:line="240" w:lineRule="auto"/>
                    <w:rPr>
                      <w:rFonts w:ascii="Arial" w:hAnsi="Arial" w:cs="Arial"/>
                      <w:color w:val="000000"/>
                      <w:sz w:val="18"/>
                      <w:szCs w:val="18"/>
                    </w:rPr>
                  </w:pPr>
                </w:p>
              </w:tc>
            </w:tr>
            <w:tr w:rsidR="004F6998" w:rsidRPr="00567CF8" w14:paraId="482FCA80" w14:textId="77777777" w:rsidTr="009B5DC2">
              <w:trPr>
                <w:trHeight w:val="480"/>
              </w:trPr>
              <w:tc>
                <w:tcPr>
                  <w:tcW w:w="1502" w:type="dxa"/>
                  <w:tcBorders>
                    <w:top w:val="nil"/>
                    <w:left w:val="nil"/>
                    <w:bottom w:val="nil"/>
                    <w:right w:val="nil"/>
                  </w:tcBorders>
                  <w:shd w:val="clear" w:color="auto" w:fill="auto"/>
                </w:tcPr>
                <w:p w14:paraId="31A0251D"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Commodities</w:t>
                  </w:r>
                </w:p>
              </w:tc>
              <w:tc>
                <w:tcPr>
                  <w:tcW w:w="1961" w:type="dxa"/>
                  <w:tcBorders>
                    <w:top w:val="nil"/>
                    <w:left w:val="nil"/>
                    <w:bottom w:val="nil"/>
                    <w:right w:val="nil"/>
                  </w:tcBorders>
                  <w:shd w:val="clear" w:color="auto" w:fill="auto"/>
                </w:tcPr>
                <w:p w14:paraId="67BCA95E"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 xml:space="preserve">Bloomberg Commodity </w:t>
                  </w:r>
                </w:p>
              </w:tc>
              <w:tc>
                <w:tcPr>
                  <w:tcW w:w="6883" w:type="dxa"/>
                  <w:tcBorders>
                    <w:top w:val="nil"/>
                    <w:left w:val="nil"/>
                    <w:bottom w:val="nil"/>
                    <w:right w:val="nil"/>
                  </w:tcBorders>
                  <w:shd w:val="clear" w:color="auto" w:fill="auto"/>
                </w:tcPr>
                <w:p w14:paraId="4BBA6133"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a broadly diversified exposure to physical commodities via futures contracts.  </w:t>
                  </w:r>
                </w:p>
              </w:tc>
            </w:tr>
            <w:tr w:rsidR="004F6998" w:rsidRPr="00567CF8" w14:paraId="695BE8D8" w14:textId="77777777" w:rsidTr="009B5DC2">
              <w:trPr>
                <w:trHeight w:val="400"/>
              </w:trPr>
              <w:tc>
                <w:tcPr>
                  <w:tcW w:w="1502" w:type="dxa"/>
                  <w:tcBorders>
                    <w:top w:val="nil"/>
                    <w:left w:val="nil"/>
                    <w:bottom w:val="nil"/>
                    <w:right w:val="nil"/>
                  </w:tcBorders>
                  <w:shd w:val="clear" w:color="auto" w:fill="auto"/>
                </w:tcPr>
                <w:p w14:paraId="6C787CB2"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Gold</w:t>
                  </w:r>
                </w:p>
              </w:tc>
              <w:tc>
                <w:tcPr>
                  <w:tcW w:w="1961" w:type="dxa"/>
                  <w:tcBorders>
                    <w:top w:val="nil"/>
                    <w:left w:val="nil"/>
                    <w:bottom w:val="nil"/>
                    <w:right w:val="nil"/>
                  </w:tcBorders>
                  <w:shd w:val="clear" w:color="auto" w:fill="auto"/>
                </w:tcPr>
                <w:p w14:paraId="65549D97"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Bloomberg Sub Gold</w:t>
                  </w:r>
                </w:p>
              </w:tc>
              <w:tc>
                <w:tcPr>
                  <w:tcW w:w="6883" w:type="dxa"/>
                  <w:tcBorders>
                    <w:top w:val="nil"/>
                    <w:left w:val="nil"/>
                    <w:bottom w:val="nil"/>
                    <w:right w:val="nil"/>
                  </w:tcBorders>
                  <w:shd w:val="clear" w:color="auto" w:fill="auto"/>
                </w:tcPr>
                <w:p w14:paraId="7A2E9D77"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measures the performance of futures contract on Gold and is quoted in USD.</w:t>
                  </w:r>
                </w:p>
              </w:tc>
            </w:tr>
            <w:tr w:rsidR="004F6998" w:rsidRPr="007A7BDF" w14:paraId="28212104" w14:textId="77777777" w:rsidTr="009B5DC2">
              <w:trPr>
                <w:trHeight w:val="400"/>
              </w:trPr>
              <w:tc>
                <w:tcPr>
                  <w:tcW w:w="1502" w:type="dxa"/>
                  <w:tcBorders>
                    <w:top w:val="nil"/>
                    <w:left w:val="nil"/>
                    <w:bottom w:val="nil"/>
                    <w:right w:val="nil"/>
                  </w:tcBorders>
                  <w:shd w:val="clear" w:color="auto" w:fill="auto"/>
                </w:tcPr>
                <w:p w14:paraId="0600A82C"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Silver</w:t>
                  </w:r>
                </w:p>
              </w:tc>
              <w:tc>
                <w:tcPr>
                  <w:tcW w:w="1961" w:type="dxa"/>
                  <w:tcBorders>
                    <w:top w:val="nil"/>
                    <w:left w:val="nil"/>
                    <w:bottom w:val="nil"/>
                    <w:right w:val="nil"/>
                  </w:tcBorders>
                  <w:shd w:val="clear" w:color="auto" w:fill="auto"/>
                </w:tcPr>
                <w:p w14:paraId="62406391"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Bloomberg Silver Sub-index</w:t>
                  </w:r>
                </w:p>
              </w:tc>
              <w:tc>
                <w:tcPr>
                  <w:tcW w:w="6883" w:type="dxa"/>
                  <w:tcBorders>
                    <w:top w:val="nil"/>
                    <w:left w:val="nil"/>
                    <w:bottom w:val="nil"/>
                    <w:right w:val="nil"/>
                  </w:tcBorders>
                  <w:shd w:val="clear" w:color="auto" w:fill="auto"/>
                </w:tcPr>
                <w:p w14:paraId="5B38ABBC"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 xml:space="preserve">is designed to measure the performance of silver as represented by the price of COMEX silver futures contracts. </w:t>
                  </w:r>
                </w:p>
              </w:tc>
            </w:tr>
            <w:tr w:rsidR="004F6998" w:rsidRPr="00567CF8" w14:paraId="00F556AE" w14:textId="77777777" w:rsidTr="009B5DC2">
              <w:trPr>
                <w:trHeight w:val="909"/>
              </w:trPr>
              <w:tc>
                <w:tcPr>
                  <w:tcW w:w="1502" w:type="dxa"/>
                  <w:tcBorders>
                    <w:top w:val="nil"/>
                    <w:left w:val="nil"/>
                    <w:bottom w:val="nil"/>
                    <w:right w:val="nil"/>
                  </w:tcBorders>
                  <w:shd w:val="clear" w:color="auto" w:fill="auto"/>
                </w:tcPr>
                <w:p w14:paraId="19FC6881" w14:textId="77777777" w:rsidR="004F6998" w:rsidRDefault="004F6998" w:rsidP="009B5DC2">
                  <w:pPr>
                    <w:spacing w:after="0" w:line="240" w:lineRule="auto"/>
                    <w:rPr>
                      <w:rFonts w:ascii="Arial" w:hAnsi="Arial" w:cs="Arial"/>
                      <w:color w:val="000000"/>
                      <w:sz w:val="18"/>
                      <w:szCs w:val="18"/>
                    </w:rPr>
                  </w:pPr>
                </w:p>
                <w:p w14:paraId="0341CC5F"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US REIT</w:t>
                  </w:r>
                </w:p>
              </w:tc>
              <w:tc>
                <w:tcPr>
                  <w:tcW w:w="1961" w:type="dxa"/>
                  <w:tcBorders>
                    <w:top w:val="nil"/>
                    <w:left w:val="nil"/>
                    <w:bottom w:val="nil"/>
                    <w:right w:val="nil"/>
                  </w:tcBorders>
                  <w:shd w:val="clear" w:color="auto" w:fill="auto"/>
                </w:tcPr>
                <w:p w14:paraId="0E4A1223" w14:textId="77777777" w:rsidR="004F6998" w:rsidRDefault="004F6998" w:rsidP="009B5DC2">
                  <w:pPr>
                    <w:spacing w:after="0" w:line="240" w:lineRule="auto"/>
                    <w:rPr>
                      <w:rFonts w:ascii="Arial" w:hAnsi="Arial" w:cs="Arial"/>
                      <w:color w:val="000000"/>
                      <w:sz w:val="18"/>
                      <w:szCs w:val="18"/>
                    </w:rPr>
                  </w:pPr>
                </w:p>
                <w:p w14:paraId="4AA66FFB" w14:textId="77777777" w:rsidR="004F6998" w:rsidRPr="00567CF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 xml:space="preserve">FTSE NAREIT All Equity REITs </w:t>
                  </w:r>
                </w:p>
              </w:tc>
              <w:tc>
                <w:tcPr>
                  <w:tcW w:w="6883" w:type="dxa"/>
                  <w:tcBorders>
                    <w:top w:val="nil"/>
                    <w:left w:val="nil"/>
                    <w:bottom w:val="nil"/>
                    <w:right w:val="nil"/>
                  </w:tcBorders>
                  <w:shd w:val="clear" w:color="auto" w:fill="auto"/>
                </w:tcPr>
                <w:p w14:paraId="6E22C18E" w14:textId="77777777" w:rsidR="004F6998" w:rsidRDefault="004F6998" w:rsidP="009B5DC2">
                  <w:pPr>
                    <w:spacing w:after="0" w:line="240" w:lineRule="auto"/>
                    <w:rPr>
                      <w:rFonts w:ascii="Arial" w:hAnsi="Arial" w:cs="Arial"/>
                      <w:color w:val="000000"/>
                      <w:sz w:val="18"/>
                      <w:szCs w:val="18"/>
                    </w:rPr>
                  </w:pPr>
                </w:p>
                <w:p w14:paraId="46684877" w14:textId="77777777" w:rsidR="004F6998" w:rsidRDefault="004F6998" w:rsidP="009B5DC2">
                  <w:pPr>
                    <w:spacing w:after="0" w:line="240" w:lineRule="auto"/>
                    <w:rPr>
                      <w:rFonts w:ascii="Arial" w:hAnsi="Arial" w:cs="Arial"/>
                      <w:color w:val="000000"/>
                      <w:sz w:val="18"/>
                      <w:szCs w:val="18"/>
                    </w:rPr>
                  </w:pPr>
                  <w:r w:rsidRPr="00567CF8">
                    <w:rPr>
                      <w:rFonts w:ascii="Arial" w:hAnsi="Arial" w:cs="Arial"/>
                      <w:color w:val="000000"/>
                      <w:sz w:val="18"/>
                      <w:szCs w:val="18"/>
                    </w:rPr>
                    <w:t>measures the performance of a comprehensive family of REIT indexes that spans the commercial real estate space across the US economy. The index series provides investors with exposure to all investment and property sectors.</w:t>
                  </w:r>
                </w:p>
                <w:p w14:paraId="29B0DC04" w14:textId="77777777" w:rsidR="004F6998" w:rsidRPr="00567CF8" w:rsidRDefault="004F6998" w:rsidP="009B5DC2">
                  <w:pPr>
                    <w:spacing w:after="0" w:line="240" w:lineRule="auto"/>
                    <w:rPr>
                      <w:rFonts w:ascii="Arial" w:hAnsi="Arial" w:cs="Arial"/>
                      <w:color w:val="000000"/>
                      <w:sz w:val="18"/>
                      <w:szCs w:val="18"/>
                    </w:rPr>
                  </w:pPr>
                </w:p>
              </w:tc>
            </w:tr>
            <w:tr w:rsidR="004F6998" w:rsidRPr="007A7BDF" w14:paraId="405554B5" w14:textId="77777777" w:rsidTr="009B5DC2">
              <w:trPr>
                <w:trHeight w:val="909"/>
              </w:trPr>
              <w:tc>
                <w:tcPr>
                  <w:tcW w:w="1502" w:type="dxa"/>
                  <w:tcBorders>
                    <w:top w:val="nil"/>
                    <w:left w:val="nil"/>
                    <w:bottom w:val="nil"/>
                    <w:right w:val="nil"/>
                  </w:tcBorders>
                  <w:shd w:val="clear" w:color="auto" w:fill="auto"/>
                </w:tcPr>
                <w:p w14:paraId="5F0B00CA"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Sector - Energy</w:t>
                  </w:r>
                </w:p>
              </w:tc>
              <w:tc>
                <w:tcPr>
                  <w:tcW w:w="1961" w:type="dxa"/>
                  <w:tcBorders>
                    <w:top w:val="nil"/>
                    <w:left w:val="nil"/>
                    <w:bottom w:val="nil"/>
                    <w:right w:val="nil"/>
                  </w:tcBorders>
                  <w:shd w:val="clear" w:color="auto" w:fill="auto"/>
                </w:tcPr>
                <w:p w14:paraId="442A2C56"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S&amp;P 500 Sector Energy</w:t>
                  </w:r>
                </w:p>
              </w:tc>
              <w:tc>
                <w:tcPr>
                  <w:tcW w:w="6883" w:type="dxa"/>
                  <w:tcBorders>
                    <w:top w:val="nil"/>
                    <w:left w:val="nil"/>
                    <w:bottom w:val="nil"/>
                    <w:right w:val="nil"/>
                  </w:tcBorders>
                  <w:shd w:val="clear" w:color="auto" w:fill="auto"/>
                </w:tcPr>
                <w:p w14:paraId="20F3B437"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measures the performance of companies involved in the development and production of crude oil, natural gas and provide drilling and other energy-related services.</w:t>
                  </w:r>
                </w:p>
              </w:tc>
            </w:tr>
            <w:tr w:rsidR="004F6998" w:rsidRPr="00745370" w14:paraId="1A38BC88" w14:textId="77777777" w:rsidTr="009B5DC2">
              <w:trPr>
                <w:trHeight w:val="909"/>
              </w:trPr>
              <w:tc>
                <w:tcPr>
                  <w:tcW w:w="1502" w:type="dxa"/>
                  <w:tcBorders>
                    <w:top w:val="nil"/>
                    <w:left w:val="nil"/>
                    <w:bottom w:val="nil"/>
                    <w:right w:val="nil"/>
                  </w:tcBorders>
                  <w:shd w:val="clear" w:color="auto" w:fill="auto"/>
                </w:tcPr>
                <w:p w14:paraId="249F7C79" w14:textId="77777777" w:rsidR="004F6998" w:rsidRPr="006B4345" w:rsidRDefault="004F6998" w:rsidP="009B5DC2">
                  <w:pPr>
                    <w:spacing w:after="0" w:line="240" w:lineRule="auto"/>
                    <w:rPr>
                      <w:rFonts w:ascii="Arial" w:hAnsi="Arial" w:cs="Arial"/>
                      <w:color w:val="000000"/>
                      <w:sz w:val="18"/>
                      <w:szCs w:val="18"/>
                    </w:rPr>
                  </w:pPr>
                  <w:r w:rsidRPr="006B4345">
                    <w:rPr>
                      <w:rFonts w:ascii="Arial" w:hAnsi="Arial" w:cs="Arial"/>
                      <w:color w:val="000000"/>
                      <w:sz w:val="18"/>
                      <w:szCs w:val="18"/>
                    </w:rPr>
                    <w:t>Sector - Consumer Discretionary</w:t>
                  </w:r>
                </w:p>
              </w:tc>
              <w:tc>
                <w:tcPr>
                  <w:tcW w:w="1961" w:type="dxa"/>
                  <w:tcBorders>
                    <w:top w:val="nil"/>
                    <w:left w:val="nil"/>
                    <w:bottom w:val="nil"/>
                    <w:right w:val="nil"/>
                  </w:tcBorders>
                  <w:shd w:val="clear" w:color="auto" w:fill="auto"/>
                </w:tcPr>
                <w:p w14:paraId="1576E3D5" w14:textId="77777777" w:rsidR="004F6998" w:rsidRPr="006B4345" w:rsidRDefault="004F6998" w:rsidP="009B5DC2">
                  <w:pPr>
                    <w:spacing w:after="0" w:line="240" w:lineRule="auto"/>
                    <w:rPr>
                      <w:rFonts w:ascii="Arial" w:hAnsi="Arial" w:cs="Arial"/>
                      <w:color w:val="000000"/>
                      <w:sz w:val="18"/>
                      <w:szCs w:val="18"/>
                    </w:rPr>
                  </w:pPr>
                  <w:r w:rsidRPr="006B4345">
                    <w:rPr>
                      <w:rFonts w:ascii="Arial" w:hAnsi="Arial" w:cs="Arial"/>
                      <w:color w:val="000000"/>
                      <w:sz w:val="18"/>
                      <w:szCs w:val="18"/>
                    </w:rPr>
                    <w:t>S&amp;P 500 Sector Consumer Discretionary</w:t>
                  </w:r>
                </w:p>
              </w:tc>
              <w:tc>
                <w:tcPr>
                  <w:tcW w:w="6883" w:type="dxa"/>
                  <w:tcBorders>
                    <w:top w:val="nil"/>
                    <w:left w:val="nil"/>
                    <w:bottom w:val="nil"/>
                    <w:right w:val="nil"/>
                  </w:tcBorders>
                  <w:shd w:val="clear" w:color="auto" w:fill="auto"/>
                </w:tcPr>
                <w:p w14:paraId="0D0F2CDC" w14:textId="77777777" w:rsidR="004F6998" w:rsidRPr="006B4345" w:rsidRDefault="004F6998" w:rsidP="009B5DC2">
                  <w:pPr>
                    <w:spacing w:after="0" w:line="240" w:lineRule="auto"/>
                    <w:rPr>
                      <w:rFonts w:ascii="Arial" w:hAnsi="Arial" w:cs="Arial"/>
                      <w:color w:val="000000"/>
                      <w:sz w:val="18"/>
                      <w:szCs w:val="18"/>
                    </w:rPr>
                  </w:pPr>
                  <w:r w:rsidRPr="006B4345">
                    <w:rPr>
                      <w:rFonts w:ascii="Arial" w:hAnsi="Arial" w:cs="Arial"/>
                      <w:color w:val="000000"/>
                      <w:sz w:val="18"/>
                      <w:szCs w:val="18"/>
                    </w:rPr>
                    <w:t>measures the performance of companies involved in industries such as: automobiles and components, consumer durables, apparel, hotels, restaurants, leisure, media and retailing.</w:t>
                  </w:r>
                </w:p>
              </w:tc>
            </w:tr>
            <w:tr w:rsidR="004F6998" w:rsidRPr="00567CF8" w14:paraId="19CEB6EB" w14:textId="77777777" w:rsidTr="009B5DC2">
              <w:trPr>
                <w:trHeight w:val="909"/>
              </w:trPr>
              <w:tc>
                <w:tcPr>
                  <w:tcW w:w="1502" w:type="dxa"/>
                  <w:tcBorders>
                    <w:top w:val="nil"/>
                    <w:left w:val="nil"/>
                    <w:bottom w:val="nil"/>
                    <w:right w:val="nil"/>
                  </w:tcBorders>
                  <w:shd w:val="clear" w:color="auto" w:fill="auto"/>
                </w:tcPr>
                <w:p w14:paraId="0DA56143" w14:textId="77777777" w:rsidR="004F6998" w:rsidRDefault="004F6998" w:rsidP="009B5DC2">
                  <w:pPr>
                    <w:spacing w:after="0" w:line="240" w:lineRule="auto"/>
                    <w:rPr>
                      <w:rFonts w:ascii="Arial" w:hAnsi="Arial" w:cs="Arial"/>
                      <w:color w:val="000000"/>
                      <w:sz w:val="18"/>
                      <w:szCs w:val="18"/>
                    </w:rPr>
                  </w:pPr>
                </w:p>
                <w:p w14:paraId="1C90EF21" w14:textId="77777777" w:rsidR="004F6998" w:rsidRDefault="004F6998" w:rsidP="009B5DC2">
                  <w:pPr>
                    <w:spacing w:after="0" w:line="240" w:lineRule="auto"/>
                    <w:rPr>
                      <w:rFonts w:ascii="Arial" w:hAnsi="Arial" w:cs="Arial"/>
                      <w:color w:val="000000"/>
                      <w:sz w:val="18"/>
                      <w:szCs w:val="18"/>
                    </w:rPr>
                  </w:pPr>
                  <w:r w:rsidRPr="00F2716B">
                    <w:rPr>
                      <w:rFonts w:ascii="Arial" w:hAnsi="Arial" w:cs="Arial"/>
                      <w:color w:val="000000"/>
                      <w:sz w:val="18"/>
                      <w:szCs w:val="18"/>
                    </w:rPr>
                    <w:t>Brazil</w:t>
                  </w:r>
                </w:p>
                <w:p w14:paraId="7F3289C5" w14:textId="77777777" w:rsidR="004F6998" w:rsidRDefault="004F6998" w:rsidP="009B5DC2">
                  <w:pPr>
                    <w:spacing w:after="0" w:line="240" w:lineRule="auto"/>
                    <w:rPr>
                      <w:rFonts w:ascii="Arial" w:hAnsi="Arial" w:cs="Arial"/>
                      <w:color w:val="000000"/>
                      <w:sz w:val="18"/>
                      <w:szCs w:val="18"/>
                    </w:rPr>
                  </w:pPr>
                </w:p>
              </w:tc>
              <w:tc>
                <w:tcPr>
                  <w:tcW w:w="1961" w:type="dxa"/>
                  <w:tcBorders>
                    <w:top w:val="nil"/>
                    <w:left w:val="nil"/>
                    <w:bottom w:val="nil"/>
                    <w:right w:val="nil"/>
                  </w:tcBorders>
                  <w:shd w:val="clear" w:color="auto" w:fill="auto"/>
                </w:tcPr>
                <w:p w14:paraId="50DC4107" w14:textId="77777777" w:rsidR="004F6998" w:rsidRDefault="004F6998" w:rsidP="009B5DC2">
                  <w:pPr>
                    <w:spacing w:after="0" w:line="240" w:lineRule="auto"/>
                    <w:rPr>
                      <w:rFonts w:ascii="Arial" w:hAnsi="Arial" w:cs="Arial"/>
                      <w:color w:val="000000"/>
                      <w:sz w:val="18"/>
                      <w:szCs w:val="18"/>
                    </w:rPr>
                  </w:pPr>
                </w:p>
                <w:p w14:paraId="2CB78A21" w14:textId="77777777" w:rsidR="004F6998" w:rsidRDefault="004F6998" w:rsidP="009B5DC2">
                  <w:pPr>
                    <w:spacing w:after="0" w:line="240" w:lineRule="auto"/>
                    <w:rPr>
                      <w:rFonts w:ascii="Arial" w:hAnsi="Arial" w:cs="Arial"/>
                      <w:color w:val="000000"/>
                      <w:sz w:val="18"/>
                      <w:szCs w:val="18"/>
                    </w:rPr>
                  </w:pPr>
                  <w:r w:rsidRPr="00F2716B">
                    <w:rPr>
                      <w:rFonts w:ascii="Arial" w:hAnsi="Arial" w:cs="Arial"/>
                      <w:color w:val="000000"/>
                      <w:sz w:val="18"/>
                      <w:szCs w:val="18"/>
                    </w:rPr>
                    <w:t>MSCI Brazil</w:t>
                  </w:r>
                </w:p>
              </w:tc>
              <w:tc>
                <w:tcPr>
                  <w:tcW w:w="6883" w:type="dxa"/>
                  <w:tcBorders>
                    <w:top w:val="nil"/>
                    <w:left w:val="nil"/>
                    <w:bottom w:val="nil"/>
                    <w:right w:val="nil"/>
                  </w:tcBorders>
                  <w:shd w:val="clear" w:color="auto" w:fill="auto"/>
                </w:tcPr>
                <w:p w14:paraId="183ACCA3" w14:textId="77777777" w:rsidR="004F6998" w:rsidRDefault="004F6998" w:rsidP="009B5DC2">
                  <w:pPr>
                    <w:spacing w:after="0" w:line="240" w:lineRule="auto"/>
                    <w:rPr>
                      <w:rFonts w:ascii="Arial" w:hAnsi="Arial" w:cs="Arial"/>
                      <w:color w:val="000000"/>
                      <w:sz w:val="18"/>
                      <w:szCs w:val="18"/>
                    </w:rPr>
                  </w:pPr>
                </w:p>
                <w:p w14:paraId="22C948FB" w14:textId="77777777" w:rsidR="004F6998" w:rsidRDefault="004F6998" w:rsidP="009B5DC2">
                  <w:pPr>
                    <w:spacing w:after="0" w:line="240" w:lineRule="auto"/>
                    <w:rPr>
                      <w:rFonts w:ascii="Arial" w:hAnsi="Arial" w:cs="Arial"/>
                      <w:color w:val="000000"/>
                      <w:sz w:val="18"/>
                      <w:szCs w:val="18"/>
                    </w:rPr>
                  </w:pPr>
                  <w:r w:rsidRPr="00F2716B">
                    <w:rPr>
                      <w:rFonts w:ascii="Arial" w:hAnsi="Arial" w:cs="Arial"/>
                      <w:color w:val="000000"/>
                      <w:sz w:val="18"/>
                      <w:szCs w:val="18"/>
                    </w:rPr>
                    <w:t>is designed to measure the large and mid-cap segments of the Brazilian markets. With 56 constituents, the index covers approximately 86% of the free-float adjusted market capitalization in Brazil.</w:t>
                  </w:r>
                </w:p>
                <w:p w14:paraId="1F018EC4" w14:textId="77777777" w:rsidR="004F6998" w:rsidRDefault="004F6998" w:rsidP="009B5DC2">
                  <w:pPr>
                    <w:spacing w:after="0" w:line="240" w:lineRule="auto"/>
                    <w:rPr>
                      <w:rFonts w:ascii="Arial" w:hAnsi="Arial" w:cs="Arial"/>
                      <w:color w:val="000000"/>
                      <w:sz w:val="18"/>
                      <w:szCs w:val="18"/>
                    </w:rPr>
                  </w:pPr>
                </w:p>
              </w:tc>
            </w:tr>
            <w:tr w:rsidR="004F6998" w:rsidRPr="007A7BDF" w14:paraId="0009DEDE" w14:textId="77777777" w:rsidTr="009B5DC2">
              <w:trPr>
                <w:trHeight w:val="909"/>
              </w:trPr>
              <w:tc>
                <w:tcPr>
                  <w:tcW w:w="1502" w:type="dxa"/>
                  <w:tcBorders>
                    <w:top w:val="nil"/>
                    <w:left w:val="nil"/>
                    <w:bottom w:val="nil"/>
                    <w:right w:val="nil"/>
                  </w:tcBorders>
                  <w:shd w:val="clear" w:color="auto" w:fill="auto"/>
                </w:tcPr>
                <w:p w14:paraId="2A4C1450"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Russia</w:t>
                  </w:r>
                </w:p>
              </w:tc>
              <w:tc>
                <w:tcPr>
                  <w:tcW w:w="1961" w:type="dxa"/>
                  <w:tcBorders>
                    <w:top w:val="nil"/>
                    <w:left w:val="nil"/>
                    <w:bottom w:val="nil"/>
                    <w:right w:val="nil"/>
                  </w:tcBorders>
                  <w:shd w:val="clear" w:color="auto" w:fill="auto"/>
                </w:tcPr>
                <w:p w14:paraId="43B40AB8"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MSCI Russia</w:t>
                  </w:r>
                </w:p>
              </w:tc>
              <w:tc>
                <w:tcPr>
                  <w:tcW w:w="6883" w:type="dxa"/>
                  <w:tcBorders>
                    <w:top w:val="nil"/>
                    <w:left w:val="nil"/>
                    <w:bottom w:val="nil"/>
                    <w:right w:val="nil"/>
                  </w:tcBorders>
                  <w:shd w:val="clear" w:color="auto" w:fill="auto"/>
                </w:tcPr>
                <w:p w14:paraId="6D0BFD86"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is designed to measure the large and mid-cap segments of the Russian markets. With 23 constituents, the index covers approximately 85% of the free-float adjusted market capitalization in Russia.</w:t>
                  </w:r>
                </w:p>
              </w:tc>
            </w:tr>
            <w:tr w:rsidR="004F6998" w:rsidRPr="006B4345" w14:paraId="581E680E" w14:textId="77777777" w:rsidTr="009B5DC2">
              <w:trPr>
                <w:trHeight w:val="909"/>
              </w:trPr>
              <w:tc>
                <w:tcPr>
                  <w:tcW w:w="1502" w:type="dxa"/>
                  <w:tcBorders>
                    <w:top w:val="nil"/>
                    <w:left w:val="nil"/>
                    <w:bottom w:val="nil"/>
                    <w:right w:val="nil"/>
                  </w:tcBorders>
                  <w:shd w:val="clear" w:color="auto" w:fill="auto"/>
                </w:tcPr>
                <w:p w14:paraId="15B78E64" w14:textId="77777777" w:rsidR="004F6998" w:rsidRPr="006B4345" w:rsidRDefault="004F6998" w:rsidP="009B5DC2">
                  <w:pPr>
                    <w:spacing w:after="0" w:line="240" w:lineRule="auto"/>
                    <w:rPr>
                      <w:rFonts w:ascii="Arial" w:hAnsi="Arial" w:cs="Arial"/>
                      <w:color w:val="000000"/>
                      <w:sz w:val="18"/>
                      <w:szCs w:val="18"/>
                    </w:rPr>
                  </w:pPr>
                  <w:r w:rsidRPr="006B4345">
                    <w:rPr>
                      <w:rFonts w:ascii="Arial" w:hAnsi="Arial" w:cs="Arial"/>
                      <w:color w:val="000000"/>
                      <w:sz w:val="18"/>
                      <w:szCs w:val="18"/>
                    </w:rPr>
                    <w:lastRenderedPageBreak/>
                    <w:t xml:space="preserve">Regional - EM Latin America </w:t>
                  </w:r>
                </w:p>
              </w:tc>
              <w:tc>
                <w:tcPr>
                  <w:tcW w:w="1961" w:type="dxa"/>
                  <w:tcBorders>
                    <w:top w:val="nil"/>
                    <w:left w:val="nil"/>
                    <w:bottom w:val="nil"/>
                    <w:right w:val="nil"/>
                  </w:tcBorders>
                  <w:shd w:val="clear" w:color="auto" w:fill="auto"/>
                </w:tcPr>
                <w:p w14:paraId="3DDE5E75" w14:textId="77777777" w:rsidR="004F6998" w:rsidRPr="006B4345" w:rsidRDefault="004F6998" w:rsidP="009B5DC2">
                  <w:pPr>
                    <w:spacing w:after="0" w:line="240" w:lineRule="auto"/>
                    <w:rPr>
                      <w:rFonts w:ascii="Arial" w:hAnsi="Arial" w:cs="Arial"/>
                      <w:color w:val="000000"/>
                      <w:sz w:val="18"/>
                      <w:szCs w:val="18"/>
                    </w:rPr>
                  </w:pPr>
                  <w:r w:rsidRPr="006B4345">
                    <w:rPr>
                      <w:rFonts w:ascii="Arial" w:hAnsi="Arial" w:cs="Arial"/>
                      <w:color w:val="000000"/>
                      <w:sz w:val="18"/>
                      <w:szCs w:val="18"/>
                    </w:rPr>
                    <w:t xml:space="preserve">MSCI EM Latin America </w:t>
                  </w:r>
                </w:p>
              </w:tc>
              <w:tc>
                <w:tcPr>
                  <w:tcW w:w="6883" w:type="dxa"/>
                  <w:tcBorders>
                    <w:top w:val="nil"/>
                    <w:left w:val="nil"/>
                    <w:bottom w:val="nil"/>
                    <w:right w:val="nil"/>
                  </w:tcBorders>
                  <w:shd w:val="clear" w:color="auto" w:fill="auto"/>
                </w:tcPr>
                <w:p w14:paraId="16DA849E" w14:textId="77777777" w:rsidR="004F6998" w:rsidRPr="006B4345" w:rsidRDefault="004F6998" w:rsidP="009B5DC2">
                  <w:pPr>
                    <w:spacing w:after="0" w:line="240" w:lineRule="auto"/>
                    <w:rPr>
                      <w:rFonts w:ascii="Arial" w:hAnsi="Arial" w:cs="Arial"/>
                      <w:color w:val="000000"/>
                      <w:sz w:val="18"/>
                      <w:szCs w:val="18"/>
                    </w:rPr>
                  </w:pPr>
                  <w:r w:rsidRPr="006B4345">
                    <w:rPr>
                      <w:rFonts w:ascii="Arial" w:hAnsi="Arial" w:cs="Arial"/>
                      <w:color w:val="000000"/>
                      <w:sz w:val="18"/>
                      <w:szCs w:val="18"/>
                    </w:rPr>
                    <w:t xml:space="preserve">measures the performance of large- and mid-cap companies in five emerging-markets countries in Latin America.  The index covers approximately 85% of the market cap in each country. </w:t>
                  </w:r>
                </w:p>
              </w:tc>
            </w:tr>
            <w:tr w:rsidR="004F6998" w:rsidRPr="007A7BDF" w14:paraId="72151808" w14:textId="77777777" w:rsidTr="009B5DC2">
              <w:trPr>
                <w:trHeight w:val="909"/>
              </w:trPr>
              <w:tc>
                <w:tcPr>
                  <w:tcW w:w="1502" w:type="dxa"/>
                  <w:tcBorders>
                    <w:top w:val="nil"/>
                    <w:left w:val="nil"/>
                    <w:bottom w:val="nil"/>
                    <w:right w:val="nil"/>
                  </w:tcBorders>
                  <w:shd w:val="clear" w:color="auto" w:fill="auto"/>
                </w:tcPr>
                <w:p w14:paraId="218AC5F1"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 xml:space="preserve">Regional – UK </w:t>
                  </w:r>
                </w:p>
              </w:tc>
              <w:tc>
                <w:tcPr>
                  <w:tcW w:w="1961" w:type="dxa"/>
                  <w:tcBorders>
                    <w:top w:val="nil"/>
                    <w:left w:val="nil"/>
                    <w:bottom w:val="nil"/>
                    <w:right w:val="nil"/>
                  </w:tcBorders>
                  <w:shd w:val="clear" w:color="auto" w:fill="auto"/>
                </w:tcPr>
                <w:p w14:paraId="63D874C2"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MSCI UK</w:t>
                  </w:r>
                </w:p>
              </w:tc>
              <w:tc>
                <w:tcPr>
                  <w:tcW w:w="6883" w:type="dxa"/>
                  <w:tcBorders>
                    <w:top w:val="nil"/>
                    <w:left w:val="nil"/>
                    <w:bottom w:val="nil"/>
                    <w:right w:val="nil"/>
                  </w:tcBorders>
                  <w:shd w:val="clear" w:color="auto" w:fill="auto"/>
                </w:tcPr>
                <w:p w14:paraId="020417E3"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 xml:space="preserve">measures the performance of the large and mid-cap segments of the UK equity market. </w:t>
                  </w:r>
                </w:p>
              </w:tc>
            </w:tr>
            <w:tr w:rsidR="004F6998" w:rsidRPr="007A7BDF" w14:paraId="1C3857DF" w14:textId="77777777" w:rsidTr="009B5DC2">
              <w:trPr>
                <w:trHeight w:val="909"/>
              </w:trPr>
              <w:tc>
                <w:tcPr>
                  <w:tcW w:w="1502" w:type="dxa"/>
                  <w:tcBorders>
                    <w:top w:val="nil"/>
                    <w:left w:val="nil"/>
                    <w:bottom w:val="nil"/>
                    <w:right w:val="nil"/>
                  </w:tcBorders>
                  <w:shd w:val="clear" w:color="auto" w:fill="auto"/>
                </w:tcPr>
                <w:p w14:paraId="2E47F06F"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US Growth</w:t>
                  </w:r>
                </w:p>
              </w:tc>
              <w:tc>
                <w:tcPr>
                  <w:tcW w:w="1961" w:type="dxa"/>
                  <w:tcBorders>
                    <w:top w:val="nil"/>
                    <w:left w:val="nil"/>
                    <w:bottom w:val="nil"/>
                    <w:right w:val="nil"/>
                  </w:tcBorders>
                  <w:shd w:val="clear" w:color="auto" w:fill="auto"/>
                </w:tcPr>
                <w:p w14:paraId="18DF90BE"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S&amp;P 500 Growth</w:t>
                  </w:r>
                </w:p>
              </w:tc>
              <w:tc>
                <w:tcPr>
                  <w:tcW w:w="6883" w:type="dxa"/>
                  <w:tcBorders>
                    <w:top w:val="nil"/>
                    <w:left w:val="nil"/>
                    <w:bottom w:val="nil"/>
                    <w:right w:val="nil"/>
                  </w:tcBorders>
                  <w:shd w:val="clear" w:color="auto" w:fill="auto"/>
                </w:tcPr>
                <w:p w14:paraId="53C08843"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 xml:space="preserve">measures the performance of large-cap growth stocks in the U.S., which are identified by sales growth, price-to-earnings and momentum.  Constituents generally have a market-cap above $5 billion. </w:t>
                  </w:r>
                </w:p>
              </w:tc>
            </w:tr>
            <w:tr w:rsidR="004F6998" w:rsidRPr="007A7BDF" w14:paraId="47B43FD1" w14:textId="77777777" w:rsidTr="009B5DC2">
              <w:trPr>
                <w:trHeight w:val="909"/>
              </w:trPr>
              <w:tc>
                <w:tcPr>
                  <w:tcW w:w="1502" w:type="dxa"/>
                  <w:tcBorders>
                    <w:top w:val="nil"/>
                    <w:left w:val="nil"/>
                    <w:bottom w:val="nil"/>
                    <w:right w:val="nil"/>
                  </w:tcBorders>
                  <w:shd w:val="clear" w:color="auto" w:fill="auto"/>
                </w:tcPr>
                <w:p w14:paraId="388FBE35"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US Value</w:t>
                  </w:r>
                </w:p>
              </w:tc>
              <w:tc>
                <w:tcPr>
                  <w:tcW w:w="1961" w:type="dxa"/>
                  <w:tcBorders>
                    <w:top w:val="nil"/>
                    <w:left w:val="nil"/>
                    <w:bottom w:val="nil"/>
                    <w:right w:val="nil"/>
                  </w:tcBorders>
                  <w:shd w:val="clear" w:color="auto" w:fill="auto"/>
                </w:tcPr>
                <w:p w14:paraId="7D80D9EE"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S&amp;P 500 Value</w:t>
                  </w:r>
                </w:p>
              </w:tc>
              <w:tc>
                <w:tcPr>
                  <w:tcW w:w="6883" w:type="dxa"/>
                  <w:tcBorders>
                    <w:top w:val="nil"/>
                    <w:left w:val="nil"/>
                    <w:bottom w:val="nil"/>
                    <w:right w:val="nil"/>
                  </w:tcBorders>
                  <w:shd w:val="clear" w:color="auto" w:fill="auto"/>
                </w:tcPr>
                <w:p w14:paraId="53358821"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 xml:space="preserve">measures the performance of value stocks in the U.S., which are identified by sales growth, price-to-earnings and momentum.  Constituents generally have a market-cap above $5 billion. </w:t>
                  </w:r>
                </w:p>
              </w:tc>
            </w:tr>
            <w:tr w:rsidR="004F6998" w:rsidRPr="00FC1CD5" w14:paraId="145385D1" w14:textId="77777777" w:rsidTr="009B5DC2">
              <w:trPr>
                <w:trHeight w:val="909"/>
              </w:trPr>
              <w:tc>
                <w:tcPr>
                  <w:tcW w:w="1502" w:type="dxa"/>
                  <w:tcBorders>
                    <w:top w:val="nil"/>
                    <w:left w:val="nil"/>
                    <w:bottom w:val="nil"/>
                    <w:right w:val="nil"/>
                  </w:tcBorders>
                  <w:shd w:val="clear" w:color="auto" w:fill="auto"/>
                </w:tcPr>
                <w:p w14:paraId="690108FE" w14:textId="77777777" w:rsidR="004F6998" w:rsidRPr="00FC1CD5" w:rsidRDefault="004F6998" w:rsidP="009B5DC2">
                  <w:pPr>
                    <w:spacing w:after="0" w:line="240" w:lineRule="auto"/>
                    <w:rPr>
                      <w:rFonts w:ascii="Arial" w:hAnsi="Arial" w:cs="Arial"/>
                      <w:color w:val="000000"/>
                      <w:sz w:val="18"/>
                      <w:szCs w:val="18"/>
                    </w:rPr>
                  </w:pPr>
                  <w:r w:rsidRPr="00FC1CD5">
                    <w:rPr>
                      <w:rFonts w:ascii="Arial" w:hAnsi="Arial" w:cs="Arial"/>
                      <w:color w:val="000000"/>
                      <w:sz w:val="18"/>
                      <w:szCs w:val="18"/>
                    </w:rPr>
                    <w:t>China</w:t>
                  </w:r>
                </w:p>
              </w:tc>
              <w:tc>
                <w:tcPr>
                  <w:tcW w:w="1961" w:type="dxa"/>
                  <w:tcBorders>
                    <w:top w:val="nil"/>
                    <w:left w:val="nil"/>
                    <w:bottom w:val="nil"/>
                    <w:right w:val="nil"/>
                  </w:tcBorders>
                  <w:shd w:val="clear" w:color="auto" w:fill="auto"/>
                </w:tcPr>
                <w:p w14:paraId="67C2F0D5" w14:textId="77777777" w:rsidR="004F6998" w:rsidRPr="00FC1CD5" w:rsidRDefault="004F6998" w:rsidP="009B5DC2">
                  <w:pPr>
                    <w:spacing w:after="0" w:line="240" w:lineRule="auto"/>
                    <w:rPr>
                      <w:rFonts w:ascii="Arial" w:hAnsi="Arial" w:cs="Arial"/>
                      <w:color w:val="000000"/>
                      <w:sz w:val="18"/>
                      <w:szCs w:val="18"/>
                    </w:rPr>
                  </w:pPr>
                  <w:r w:rsidRPr="00FC1CD5">
                    <w:rPr>
                      <w:rFonts w:ascii="Arial" w:hAnsi="Arial" w:cs="Arial"/>
                      <w:color w:val="000000"/>
                      <w:sz w:val="18"/>
                      <w:szCs w:val="18"/>
                    </w:rPr>
                    <w:t>MSCI China</w:t>
                  </w:r>
                </w:p>
              </w:tc>
              <w:tc>
                <w:tcPr>
                  <w:tcW w:w="6883" w:type="dxa"/>
                  <w:tcBorders>
                    <w:top w:val="nil"/>
                    <w:left w:val="nil"/>
                    <w:bottom w:val="nil"/>
                    <w:right w:val="nil"/>
                  </w:tcBorders>
                  <w:shd w:val="clear" w:color="auto" w:fill="auto"/>
                </w:tcPr>
                <w:p w14:paraId="3C9DFF2F" w14:textId="77777777" w:rsidR="004F6998" w:rsidRPr="00FC1CD5" w:rsidRDefault="004F6998" w:rsidP="009B5DC2">
                  <w:pPr>
                    <w:spacing w:after="0" w:line="240" w:lineRule="auto"/>
                    <w:rPr>
                      <w:rFonts w:ascii="Arial" w:hAnsi="Arial" w:cs="Arial"/>
                      <w:color w:val="000000"/>
                      <w:sz w:val="18"/>
                      <w:szCs w:val="18"/>
                    </w:rPr>
                  </w:pPr>
                  <w:r w:rsidRPr="00FC1CD5">
                    <w:rPr>
                      <w:rFonts w:ascii="Arial" w:hAnsi="Arial" w:cs="Arial"/>
                      <w:color w:val="000000"/>
                      <w:sz w:val="18"/>
                      <w:szCs w:val="18"/>
                    </w:rPr>
                    <w:t>measures the performance of large and mid-cap shares in China including:  China H shares, B shares, Red chips, P chips and foreign listings (e.g. ADRs).  Index covers about 85% of the China equity universe.</w:t>
                  </w:r>
                </w:p>
              </w:tc>
            </w:tr>
            <w:tr w:rsidR="004F6998" w:rsidRPr="007A7BDF" w14:paraId="7CDDDC67" w14:textId="77777777" w:rsidTr="009B5DC2">
              <w:trPr>
                <w:trHeight w:val="909"/>
              </w:trPr>
              <w:tc>
                <w:tcPr>
                  <w:tcW w:w="1502" w:type="dxa"/>
                  <w:tcBorders>
                    <w:top w:val="nil"/>
                    <w:left w:val="nil"/>
                    <w:bottom w:val="nil"/>
                    <w:right w:val="nil"/>
                  </w:tcBorders>
                  <w:shd w:val="clear" w:color="auto" w:fill="auto"/>
                </w:tcPr>
                <w:p w14:paraId="6341714D"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Global 60/40 Index Blend</w:t>
                  </w:r>
                </w:p>
              </w:tc>
              <w:tc>
                <w:tcPr>
                  <w:tcW w:w="1961" w:type="dxa"/>
                  <w:tcBorders>
                    <w:top w:val="nil"/>
                    <w:left w:val="nil"/>
                    <w:bottom w:val="nil"/>
                    <w:right w:val="nil"/>
                  </w:tcBorders>
                  <w:shd w:val="clear" w:color="auto" w:fill="auto"/>
                </w:tcPr>
                <w:p w14:paraId="60A470A9"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60% MSCI ACWI, 40% BBG Barclays Global Aggregate</w:t>
                  </w:r>
                </w:p>
              </w:tc>
              <w:tc>
                <w:tcPr>
                  <w:tcW w:w="6883" w:type="dxa"/>
                  <w:tcBorders>
                    <w:top w:val="nil"/>
                    <w:left w:val="nil"/>
                    <w:bottom w:val="nil"/>
                    <w:right w:val="nil"/>
                  </w:tcBorders>
                  <w:shd w:val="clear" w:color="auto" w:fill="auto"/>
                </w:tcPr>
                <w:p w14:paraId="1F82ED7F" w14:textId="77777777" w:rsidR="004F6998" w:rsidRPr="007A7BDF" w:rsidRDefault="004F6998" w:rsidP="009B5DC2">
                  <w:pPr>
                    <w:spacing w:after="0" w:line="240" w:lineRule="auto"/>
                    <w:rPr>
                      <w:rFonts w:ascii="Arial" w:hAnsi="Arial" w:cs="Arial"/>
                      <w:color w:val="000000"/>
                      <w:sz w:val="18"/>
                      <w:szCs w:val="18"/>
                    </w:rPr>
                  </w:pPr>
                  <w:r w:rsidRPr="007A7BDF">
                    <w:rPr>
                      <w:rFonts w:ascii="Arial" w:hAnsi="Arial" w:cs="Arial"/>
                      <w:color w:val="000000"/>
                      <w:sz w:val="18"/>
                      <w:szCs w:val="18"/>
                    </w:rPr>
                    <w:t>measures the performance of a blend of global equities and global bond indexes used as a benchmark for balanced portfolios</w:t>
                  </w:r>
                </w:p>
              </w:tc>
            </w:tr>
            <w:tr w:rsidR="004F6998" w:rsidRPr="00FC1CD5" w14:paraId="79FE6007" w14:textId="77777777" w:rsidTr="009B5DC2">
              <w:trPr>
                <w:trHeight w:val="909"/>
              </w:trPr>
              <w:tc>
                <w:tcPr>
                  <w:tcW w:w="1502" w:type="dxa"/>
                  <w:tcBorders>
                    <w:top w:val="nil"/>
                    <w:left w:val="nil"/>
                    <w:bottom w:val="nil"/>
                    <w:right w:val="nil"/>
                  </w:tcBorders>
                  <w:shd w:val="clear" w:color="auto" w:fill="auto"/>
                </w:tcPr>
                <w:p w14:paraId="665D4F41" w14:textId="77777777" w:rsidR="004F6998" w:rsidRPr="00FC1CD5" w:rsidRDefault="004F6998" w:rsidP="009B5DC2">
                  <w:pPr>
                    <w:spacing w:after="0" w:line="240" w:lineRule="auto"/>
                    <w:rPr>
                      <w:rFonts w:ascii="Arial" w:hAnsi="Arial" w:cs="Arial"/>
                      <w:color w:val="000000"/>
                      <w:sz w:val="18"/>
                      <w:szCs w:val="18"/>
                    </w:rPr>
                  </w:pPr>
                  <w:r w:rsidRPr="00FC1CD5">
                    <w:rPr>
                      <w:rFonts w:ascii="Arial" w:hAnsi="Arial" w:cs="Arial"/>
                      <w:color w:val="000000"/>
                      <w:sz w:val="18"/>
                      <w:szCs w:val="18"/>
                    </w:rPr>
                    <w:t>US Dollar</w:t>
                  </w:r>
                </w:p>
              </w:tc>
              <w:tc>
                <w:tcPr>
                  <w:tcW w:w="1961" w:type="dxa"/>
                  <w:tcBorders>
                    <w:top w:val="nil"/>
                    <w:left w:val="nil"/>
                    <w:bottom w:val="nil"/>
                    <w:right w:val="nil"/>
                  </w:tcBorders>
                  <w:shd w:val="clear" w:color="auto" w:fill="auto"/>
                </w:tcPr>
                <w:p w14:paraId="24B669ED" w14:textId="77777777" w:rsidR="004F6998" w:rsidRPr="00FC1CD5" w:rsidRDefault="004F6998" w:rsidP="009B5DC2">
                  <w:pPr>
                    <w:spacing w:after="0" w:line="240" w:lineRule="auto"/>
                    <w:rPr>
                      <w:rFonts w:ascii="Arial" w:hAnsi="Arial" w:cs="Arial"/>
                      <w:color w:val="000000"/>
                      <w:sz w:val="18"/>
                      <w:szCs w:val="18"/>
                    </w:rPr>
                  </w:pPr>
                  <w:r w:rsidRPr="00FC1CD5">
                    <w:rPr>
                      <w:rFonts w:ascii="Arial" w:hAnsi="Arial" w:cs="Arial"/>
                      <w:color w:val="000000"/>
                      <w:sz w:val="18"/>
                      <w:szCs w:val="18"/>
                    </w:rPr>
                    <w:t>US Dollar Index</w:t>
                  </w:r>
                </w:p>
              </w:tc>
              <w:tc>
                <w:tcPr>
                  <w:tcW w:w="6883" w:type="dxa"/>
                  <w:tcBorders>
                    <w:top w:val="nil"/>
                    <w:left w:val="nil"/>
                    <w:bottom w:val="nil"/>
                    <w:right w:val="nil"/>
                  </w:tcBorders>
                  <w:shd w:val="clear" w:color="auto" w:fill="auto"/>
                </w:tcPr>
                <w:p w14:paraId="050A5F80" w14:textId="77777777" w:rsidR="004F6998" w:rsidRPr="00FC1CD5" w:rsidRDefault="004F6998" w:rsidP="009B5DC2">
                  <w:pPr>
                    <w:spacing w:after="0" w:line="240" w:lineRule="auto"/>
                    <w:rPr>
                      <w:rFonts w:ascii="Arial" w:hAnsi="Arial" w:cs="Arial"/>
                      <w:color w:val="000000"/>
                      <w:sz w:val="18"/>
                      <w:szCs w:val="18"/>
                    </w:rPr>
                  </w:pPr>
                  <w:r w:rsidRPr="00FC1CD5">
                    <w:rPr>
                      <w:rFonts w:ascii="Arial" w:hAnsi="Arial" w:cs="Arial"/>
                      <w:color w:val="000000"/>
                      <w:sz w:val="18"/>
                      <w:szCs w:val="18"/>
                    </w:rPr>
                    <w:t xml:space="preserve">measures the value of the US dollar relative to the value of a 'basket' of currencies of the majority of the U.S.'s most significant trading partners.  Factors the exchange rates of six major world currencies:  euro, Japanese yen, Canadian dollar, British pound, Swedish krona and Swiss franc. </w:t>
                  </w:r>
                </w:p>
              </w:tc>
            </w:tr>
          </w:tbl>
          <w:p w14:paraId="2EB6E507" w14:textId="30F88C3F" w:rsidR="00F51667" w:rsidRPr="00F51667" w:rsidRDefault="00F51667" w:rsidP="00F51667">
            <w:pPr>
              <w:tabs>
                <w:tab w:val="left" w:pos="3000"/>
              </w:tabs>
              <w:rPr>
                <w:rFonts w:ascii="Arial" w:hAnsi="Arial" w:cs="Arial"/>
                <w:sz w:val="16"/>
                <w:szCs w:val="16"/>
              </w:rPr>
            </w:pPr>
          </w:p>
        </w:tc>
      </w:tr>
    </w:tbl>
    <w:bookmarkEnd w:id="0"/>
    <w:p w14:paraId="640A84B7" w14:textId="5299A391" w:rsidR="003A27B5" w:rsidRPr="0040163B" w:rsidRDefault="005D1A45" w:rsidP="00FE7F0D">
      <w:pPr>
        <w:spacing w:after="160"/>
        <w:ind w:right="-720"/>
        <w:rPr>
          <w:rFonts w:ascii="Arial" w:hAnsi="Arial" w:cs="Arial"/>
          <w:color w:val="343433"/>
          <w:sz w:val="16"/>
          <w:szCs w:val="16"/>
        </w:rPr>
      </w:pPr>
      <w:r>
        <w:rPr>
          <w:rFonts w:ascii="Arial" w:hAnsi="Arial" w:cs="Arial"/>
          <w:noProof/>
          <w:color w:val="343433"/>
          <w:sz w:val="16"/>
          <w:szCs w:val="16"/>
        </w:rPr>
        <w:lastRenderedPageBreak/>
        <mc:AlternateContent>
          <mc:Choice Requires="wpg">
            <w:drawing>
              <wp:anchor distT="0" distB="0" distL="114300" distR="114300" simplePos="0" relativeHeight="251679744" behindDoc="0" locked="0" layoutInCell="1" allowOverlap="1" wp14:anchorId="35A1F3A9" wp14:editId="15EB6EA7">
                <wp:simplePos x="0" y="0"/>
                <wp:positionH relativeFrom="margin">
                  <wp:posOffset>-495300</wp:posOffset>
                </wp:positionH>
                <wp:positionV relativeFrom="paragraph">
                  <wp:posOffset>2451735</wp:posOffset>
                </wp:positionV>
                <wp:extent cx="6927850" cy="5575300"/>
                <wp:effectExtent l="0" t="0" r="6350" b="6350"/>
                <wp:wrapTopAndBottom/>
                <wp:docPr id="3" name="Group 3"/>
                <wp:cNvGraphicFramePr/>
                <a:graphic xmlns:a="http://schemas.openxmlformats.org/drawingml/2006/main">
                  <a:graphicData uri="http://schemas.microsoft.com/office/word/2010/wordprocessingGroup">
                    <wpg:wgp>
                      <wpg:cNvGrpSpPr/>
                      <wpg:grpSpPr>
                        <a:xfrm>
                          <a:off x="0" y="0"/>
                          <a:ext cx="6927850" cy="5575300"/>
                          <a:chOff x="0" y="0"/>
                          <a:chExt cx="6927850" cy="2527540"/>
                        </a:xfrm>
                      </wpg:grpSpPr>
                      <wpg:grpSp>
                        <wpg:cNvPr id="21" name="Group 21"/>
                        <wpg:cNvGrpSpPr/>
                        <wpg:grpSpPr>
                          <a:xfrm>
                            <a:off x="0" y="0"/>
                            <a:ext cx="6927850" cy="2527540"/>
                            <a:chOff x="0" y="299834"/>
                            <a:chExt cx="6858000" cy="2216733"/>
                          </a:xfrm>
                        </wpg:grpSpPr>
                        <wps:wsp>
                          <wps:cNvPr id="17" name="Rectangle 17"/>
                          <wps:cNvSpPr/>
                          <wps:spPr>
                            <a:xfrm>
                              <a:off x="0" y="299834"/>
                              <a:ext cx="6858000" cy="221673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8638" y="319560"/>
                              <a:ext cx="1303507" cy="1945482"/>
                            </a:xfrm>
                            <a:prstGeom prst="rect">
                              <a:avLst/>
                            </a:prstGeom>
                            <a:noFill/>
                            <a:ln w="6350">
                              <a:noFill/>
                            </a:ln>
                          </wps:spPr>
                          <wps:txb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1311215" y="44450"/>
                            <a:ext cx="5417820" cy="2483090"/>
                          </a:xfrm>
                          <a:prstGeom prst="rect">
                            <a:avLst/>
                          </a:prstGeom>
                          <a:noFill/>
                          <a:ln w="6350">
                            <a:noFill/>
                          </a:ln>
                        </wps:spPr>
                        <wps:txb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02BC4DFA" w14:textId="77777777" w:rsidR="00476763" w:rsidRPr="00476763" w:rsidRDefault="00476763" w:rsidP="00476763">
                              <w:pPr>
                                <w:pStyle w:val="NormalWeb"/>
                                <w:contextualSpacing/>
                                <w:rPr>
                                  <w:rFonts w:ascii="Arial" w:hAnsi="Arial" w:cs="Arial"/>
                                  <w:sz w:val="16"/>
                                  <w:szCs w:val="16"/>
                                </w:rPr>
                              </w:pPr>
                            </w:p>
                            <w:p w14:paraId="0D082ED7" w14:textId="3F17C769"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Please read the Terms of Use posted at </w:t>
                              </w:r>
                              <w:hyperlink r:id="rId15" w:history="1">
                                <w:r w:rsidR="009708E7" w:rsidRPr="009708E7">
                                  <w:rPr>
                                    <w:rStyle w:val="Hyperlink"/>
                                    <w:rFonts w:ascii="Arial" w:hAnsi="Arial" w:cs="Arial"/>
                                    <w:sz w:val="16"/>
                                    <w:szCs w:val="16"/>
                                  </w:rPr>
                                  <w:t>www.ewealthmanager.com</w:t>
                                </w:r>
                              </w:hyperlink>
                              <w:r w:rsidR="009708E7">
                                <w:rPr>
                                  <w:rFonts w:ascii="Arial" w:hAnsi="Arial" w:cs="Arial"/>
                                  <w:sz w:val="20"/>
                                  <w:szCs w:val="20"/>
                                </w:rPr>
                                <w:t xml:space="preserve"> </w:t>
                              </w:r>
                              <w:r w:rsidRPr="00476763">
                                <w:rPr>
                                  <w:rFonts w:ascii="Arial" w:hAnsi="Arial" w:cs="Arial"/>
                                  <w:sz w:val="16"/>
                                  <w:szCs w:val="16"/>
                                </w:rPr>
                                <w:t>that govern the use of these materials and also be advised:</w:t>
                              </w:r>
                            </w:p>
                            <w:p w14:paraId="0DF9985F" w14:textId="77777777" w:rsidR="00476763" w:rsidRPr="00476763" w:rsidRDefault="00476763" w:rsidP="00476763">
                              <w:pPr>
                                <w:pStyle w:val="NormalWeb"/>
                                <w:contextualSpacing/>
                                <w:rPr>
                                  <w:rFonts w:ascii="Arial" w:hAnsi="Arial" w:cs="Arial"/>
                                  <w:sz w:val="16"/>
                                  <w:szCs w:val="16"/>
                                </w:rPr>
                              </w:pPr>
                            </w:p>
                            <w:p w14:paraId="3B5729B4"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19E7A7A3" w14:textId="77777777" w:rsidR="00476763" w:rsidRPr="00476763" w:rsidRDefault="00476763" w:rsidP="00476763">
                              <w:pPr>
                                <w:pStyle w:val="NormalWeb"/>
                                <w:contextualSpacing/>
                                <w:rPr>
                                  <w:rFonts w:ascii="Arial" w:hAnsi="Arial" w:cs="Arial"/>
                                  <w:sz w:val="16"/>
                                  <w:szCs w:val="16"/>
                                </w:rPr>
                              </w:pPr>
                            </w:p>
                            <w:p w14:paraId="6716CDB6"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5C117A96" w:rsidR="002F7F11" w:rsidRPr="00BF0CB7" w:rsidRDefault="00BD416D" w:rsidP="00476763">
                              <w:pPr>
                                <w:pStyle w:val="NormalWeb"/>
                                <w:spacing w:before="0" w:beforeAutospacing="0"/>
                                <w:contextualSpacing/>
                                <w:rPr>
                                  <w:rFonts w:ascii="Arial" w:hAnsi="Arial" w:cs="Arial"/>
                                  <w:sz w:val="16"/>
                                  <w:szCs w:val="16"/>
                                </w:rPr>
                              </w:pPr>
                              <w:r w:rsidRPr="00BD416D">
                                <w:rPr>
                                  <w:rFonts w:ascii="Arial" w:hAnsi="Arial" w:cs="Arial"/>
                                  <w:sz w:val="16"/>
                                  <w:szCs w:val="16"/>
                                </w:rPr>
                                <w:t>103611</w:t>
                              </w:r>
                              <w:r w:rsidR="002F7F11" w:rsidRPr="001437D6">
                                <w:rPr>
                                  <w:rFonts w:ascii="Arial" w:hAnsi="Arial" w:cs="Arial"/>
                                  <w:sz w:val="16"/>
                                  <w:szCs w:val="16"/>
                                </w:rPr>
                                <w:t xml:space="preserve"> | </w:t>
                              </w:r>
                              <w:r w:rsidR="00B210EA" w:rsidRPr="00B210EA">
                                <w:rPr>
                                  <w:rFonts w:ascii="Arial" w:hAnsi="Arial" w:cs="Arial"/>
                                  <w:sz w:val="16"/>
                                  <w:szCs w:val="16"/>
                                </w:rPr>
                                <w:t>C22-18472</w:t>
                              </w:r>
                              <w:r w:rsidR="00B210EA">
                                <w:rPr>
                                  <w:rFonts w:ascii="Arial" w:hAnsi="Arial" w:cs="Arial"/>
                                  <w:sz w:val="16"/>
                                  <w:szCs w:val="16"/>
                                </w:rPr>
                                <w:t xml:space="preserve"> </w:t>
                              </w:r>
                              <w:r w:rsidR="002F7F11" w:rsidRPr="001437D6">
                                <w:rPr>
                                  <w:rFonts w:ascii="Arial" w:hAnsi="Arial" w:cs="Arial"/>
                                  <w:sz w:val="16"/>
                                  <w:szCs w:val="16"/>
                                </w:rPr>
                                <w:t>| 0</w:t>
                              </w:r>
                              <w:r w:rsidR="002F79F4">
                                <w:rPr>
                                  <w:rFonts w:ascii="Arial" w:hAnsi="Arial" w:cs="Arial"/>
                                  <w:sz w:val="16"/>
                                  <w:szCs w:val="16"/>
                                </w:rPr>
                                <w:t>2</w:t>
                              </w:r>
                              <w:r w:rsidR="002F7F11" w:rsidRPr="001437D6">
                                <w:rPr>
                                  <w:rFonts w:ascii="Arial" w:hAnsi="Arial" w:cs="Arial"/>
                                  <w:sz w:val="16"/>
                                  <w:szCs w:val="16"/>
                                </w:rPr>
                                <w:t>/202</w:t>
                              </w:r>
                              <w:r w:rsidR="00F67AD8" w:rsidRPr="001437D6">
                                <w:rPr>
                                  <w:rFonts w:ascii="Arial" w:hAnsi="Arial" w:cs="Arial"/>
                                  <w:sz w:val="16"/>
                                  <w:szCs w:val="16"/>
                                </w:rPr>
                                <w:t>2</w:t>
                              </w:r>
                              <w:r w:rsidR="002F7F11" w:rsidRPr="001437D6">
                                <w:rPr>
                                  <w:rFonts w:ascii="Arial" w:hAnsi="Arial" w:cs="Arial"/>
                                  <w:sz w:val="16"/>
                                  <w:szCs w:val="16"/>
                                </w:rPr>
                                <w:t xml:space="preserve"> | EXP 0</w:t>
                              </w:r>
                              <w:r w:rsidR="002F79F4">
                                <w:rPr>
                                  <w:rFonts w:ascii="Arial" w:hAnsi="Arial" w:cs="Arial"/>
                                  <w:sz w:val="16"/>
                                  <w:szCs w:val="16"/>
                                </w:rPr>
                                <w:t>2</w:t>
                              </w:r>
                              <w:r w:rsidR="002F7F11" w:rsidRPr="001437D6">
                                <w:rPr>
                                  <w:rFonts w:ascii="Arial" w:hAnsi="Arial" w:cs="Arial"/>
                                  <w:sz w:val="16"/>
                                  <w:szCs w:val="16"/>
                                </w:rPr>
                                <w:t>/</w:t>
                              </w:r>
                              <w:r w:rsidR="002F79F4">
                                <w:rPr>
                                  <w:rFonts w:ascii="Arial" w:hAnsi="Arial" w:cs="Arial"/>
                                  <w:sz w:val="16"/>
                                  <w:szCs w:val="16"/>
                                </w:rPr>
                                <w:t>2</w:t>
                              </w:r>
                              <w:r w:rsidR="00D96E34">
                                <w:rPr>
                                  <w:rFonts w:ascii="Arial" w:hAnsi="Arial" w:cs="Arial"/>
                                  <w:sz w:val="16"/>
                                  <w:szCs w:val="16"/>
                                </w:rPr>
                                <w:t>9</w:t>
                              </w:r>
                              <w:r w:rsidR="002F7F11" w:rsidRPr="001437D6">
                                <w:rPr>
                                  <w:rFonts w:ascii="Arial" w:hAnsi="Arial" w:cs="Arial"/>
                                  <w:sz w:val="16"/>
                                  <w:szCs w:val="16"/>
                                </w:rPr>
                                <w:t>/202</w:t>
                              </w:r>
                              <w:r w:rsidR="00F67AD8" w:rsidRPr="001437D6">
                                <w:rPr>
                                  <w:rFonts w:ascii="Arial" w:hAnsi="Arial" w:cs="Arial"/>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1F3A9" id="Group 3" o:spid="_x0000_s1026" style="position:absolute;margin-left:-39pt;margin-top:193.05pt;width:545.5pt;height:439pt;z-index:251679744;mso-position-horizontal-relative:margin;mso-width-relative:margin;mso-height-relative:margin" coordsize="69278,2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">
                <v:group id="Group 21" o:spid="_x0000_s1027" style="position:absolute;width:69278;height:25275" coordorigin=",2998" coordsize="68580,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7" o:spid="_x0000_s1028" style="position:absolute;top:2998;width:68580;height:2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20" o:spid="_x0000_s1029" type="#_x0000_t202" style="position:absolute;left:486;top:3195;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v:textbox>
                  </v:shape>
                </v:group>
                <v:shape id="Text Box 19" o:spid="_x0000_s1030" type="#_x0000_t202" style="position:absolute;left:13112;top:444;width:54178;height:2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02BC4DFA" w14:textId="77777777" w:rsidR="00476763" w:rsidRPr="00476763" w:rsidRDefault="00476763" w:rsidP="00476763">
                        <w:pPr>
                          <w:pStyle w:val="NormalWeb"/>
                          <w:contextualSpacing/>
                          <w:rPr>
                            <w:rFonts w:ascii="Arial" w:hAnsi="Arial" w:cs="Arial"/>
                            <w:sz w:val="16"/>
                            <w:szCs w:val="16"/>
                          </w:rPr>
                        </w:pPr>
                      </w:p>
                      <w:p w14:paraId="0D082ED7" w14:textId="3F17C769"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Please read the Terms of Use posted at </w:t>
                        </w:r>
                        <w:hyperlink r:id="rId16" w:history="1">
                          <w:r w:rsidR="009708E7" w:rsidRPr="009708E7">
                            <w:rPr>
                              <w:rStyle w:val="Hyperlink"/>
                              <w:rFonts w:ascii="Arial" w:hAnsi="Arial" w:cs="Arial"/>
                              <w:sz w:val="16"/>
                              <w:szCs w:val="16"/>
                            </w:rPr>
                            <w:t>www.ewealthmanager.com</w:t>
                          </w:r>
                        </w:hyperlink>
                        <w:r w:rsidR="009708E7">
                          <w:rPr>
                            <w:rFonts w:ascii="Arial" w:hAnsi="Arial" w:cs="Arial"/>
                            <w:sz w:val="20"/>
                            <w:szCs w:val="20"/>
                          </w:rPr>
                          <w:t xml:space="preserve"> </w:t>
                        </w:r>
                        <w:r w:rsidRPr="00476763">
                          <w:rPr>
                            <w:rFonts w:ascii="Arial" w:hAnsi="Arial" w:cs="Arial"/>
                            <w:sz w:val="16"/>
                            <w:szCs w:val="16"/>
                          </w:rPr>
                          <w:t>that govern the use of these materials and also be advised:</w:t>
                        </w:r>
                      </w:p>
                      <w:p w14:paraId="0DF9985F" w14:textId="77777777" w:rsidR="00476763" w:rsidRPr="00476763" w:rsidRDefault="00476763" w:rsidP="00476763">
                        <w:pPr>
                          <w:pStyle w:val="NormalWeb"/>
                          <w:contextualSpacing/>
                          <w:rPr>
                            <w:rFonts w:ascii="Arial" w:hAnsi="Arial" w:cs="Arial"/>
                            <w:sz w:val="16"/>
                            <w:szCs w:val="16"/>
                          </w:rPr>
                        </w:pPr>
                      </w:p>
                      <w:p w14:paraId="3B5729B4"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19E7A7A3" w14:textId="77777777" w:rsidR="00476763" w:rsidRPr="00476763" w:rsidRDefault="00476763" w:rsidP="00476763">
                        <w:pPr>
                          <w:pStyle w:val="NormalWeb"/>
                          <w:contextualSpacing/>
                          <w:rPr>
                            <w:rFonts w:ascii="Arial" w:hAnsi="Arial" w:cs="Arial"/>
                            <w:sz w:val="16"/>
                            <w:szCs w:val="16"/>
                          </w:rPr>
                        </w:pPr>
                      </w:p>
                      <w:p w14:paraId="6716CDB6"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5C117A96" w:rsidR="002F7F11" w:rsidRPr="00BF0CB7" w:rsidRDefault="00BD416D" w:rsidP="00476763">
                        <w:pPr>
                          <w:pStyle w:val="NormalWeb"/>
                          <w:spacing w:before="0" w:beforeAutospacing="0"/>
                          <w:contextualSpacing/>
                          <w:rPr>
                            <w:rFonts w:ascii="Arial" w:hAnsi="Arial" w:cs="Arial"/>
                            <w:sz w:val="16"/>
                            <w:szCs w:val="16"/>
                          </w:rPr>
                        </w:pPr>
                        <w:r w:rsidRPr="00BD416D">
                          <w:rPr>
                            <w:rFonts w:ascii="Arial" w:hAnsi="Arial" w:cs="Arial"/>
                            <w:sz w:val="16"/>
                            <w:szCs w:val="16"/>
                          </w:rPr>
                          <w:t>103611</w:t>
                        </w:r>
                        <w:r w:rsidR="002F7F11" w:rsidRPr="001437D6">
                          <w:rPr>
                            <w:rFonts w:ascii="Arial" w:hAnsi="Arial" w:cs="Arial"/>
                            <w:sz w:val="16"/>
                            <w:szCs w:val="16"/>
                          </w:rPr>
                          <w:t xml:space="preserve"> | </w:t>
                        </w:r>
                        <w:r w:rsidR="00B210EA" w:rsidRPr="00B210EA">
                          <w:rPr>
                            <w:rFonts w:ascii="Arial" w:hAnsi="Arial" w:cs="Arial"/>
                            <w:sz w:val="16"/>
                            <w:szCs w:val="16"/>
                          </w:rPr>
                          <w:t>C22-18472</w:t>
                        </w:r>
                        <w:r w:rsidR="00B210EA">
                          <w:rPr>
                            <w:rFonts w:ascii="Arial" w:hAnsi="Arial" w:cs="Arial"/>
                            <w:sz w:val="16"/>
                            <w:szCs w:val="16"/>
                          </w:rPr>
                          <w:t xml:space="preserve"> </w:t>
                        </w:r>
                        <w:r w:rsidR="002F7F11" w:rsidRPr="001437D6">
                          <w:rPr>
                            <w:rFonts w:ascii="Arial" w:hAnsi="Arial" w:cs="Arial"/>
                            <w:sz w:val="16"/>
                            <w:szCs w:val="16"/>
                          </w:rPr>
                          <w:t>| 0</w:t>
                        </w:r>
                        <w:r w:rsidR="002F79F4">
                          <w:rPr>
                            <w:rFonts w:ascii="Arial" w:hAnsi="Arial" w:cs="Arial"/>
                            <w:sz w:val="16"/>
                            <w:szCs w:val="16"/>
                          </w:rPr>
                          <w:t>2</w:t>
                        </w:r>
                        <w:r w:rsidR="002F7F11" w:rsidRPr="001437D6">
                          <w:rPr>
                            <w:rFonts w:ascii="Arial" w:hAnsi="Arial" w:cs="Arial"/>
                            <w:sz w:val="16"/>
                            <w:szCs w:val="16"/>
                          </w:rPr>
                          <w:t>/202</w:t>
                        </w:r>
                        <w:r w:rsidR="00F67AD8" w:rsidRPr="001437D6">
                          <w:rPr>
                            <w:rFonts w:ascii="Arial" w:hAnsi="Arial" w:cs="Arial"/>
                            <w:sz w:val="16"/>
                            <w:szCs w:val="16"/>
                          </w:rPr>
                          <w:t>2</w:t>
                        </w:r>
                        <w:r w:rsidR="002F7F11" w:rsidRPr="001437D6">
                          <w:rPr>
                            <w:rFonts w:ascii="Arial" w:hAnsi="Arial" w:cs="Arial"/>
                            <w:sz w:val="16"/>
                            <w:szCs w:val="16"/>
                          </w:rPr>
                          <w:t xml:space="preserve"> | EXP 0</w:t>
                        </w:r>
                        <w:r w:rsidR="002F79F4">
                          <w:rPr>
                            <w:rFonts w:ascii="Arial" w:hAnsi="Arial" w:cs="Arial"/>
                            <w:sz w:val="16"/>
                            <w:szCs w:val="16"/>
                          </w:rPr>
                          <w:t>2</w:t>
                        </w:r>
                        <w:r w:rsidR="002F7F11" w:rsidRPr="001437D6">
                          <w:rPr>
                            <w:rFonts w:ascii="Arial" w:hAnsi="Arial" w:cs="Arial"/>
                            <w:sz w:val="16"/>
                            <w:szCs w:val="16"/>
                          </w:rPr>
                          <w:t>/</w:t>
                        </w:r>
                        <w:r w:rsidR="002F79F4">
                          <w:rPr>
                            <w:rFonts w:ascii="Arial" w:hAnsi="Arial" w:cs="Arial"/>
                            <w:sz w:val="16"/>
                            <w:szCs w:val="16"/>
                          </w:rPr>
                          <w:t>2</w:t>
                        </w:r>
                        <w:r w:rsidR="00D96E34">
                          <w:rPr>
                            <w:rFonts w:ascii="Arial" w:hAnsi="Arial" w:cs="Arial"/>
                            <w:sz w:val="16"/>
                            <w:szCs w:val="16"/>
                          </w:rPr>
                          <w:t>9</w:t>
                        </w:r>
                        <w:r w:rsidR="002F7F11" w:rsidRPr="001437D6">
                          <w:rPr>
                            <w:rFonts w:ascii="Arial" w:hAnsi="Arial" w:cs="Arial"/>
                            <w:sz w:val="16"/>
                            <w:szCs w:val="16"/>
                          </w:rPr>
                          <w:t>/202</w:t>
                        </w:r>
                        <w:r w:rsidR="00F67AD8" w:rsidRPr="001437D6">
                          <w:rPr>
                            <w:rFonts w:ascii="Arial" w:hAnsi="Arial" w:cs="Arial"/>
                            <w:sz w:val="16"/>
                            <w:szCs w:val="16"/>
                          </w:rPr>
                          <w:t>4</w:t>
                        </w:r>
                      </w:p>
                    </w:txbxContent>
                  </v:textbox>
                </v:shape>
                <w10:wrap type="topAndBottom" anchorx="margin"/>
              </v:group>
            </w:pict>
          </mc:Fallback>
        </mc:AlternateContent>
      </w:r>
    </w:p>
    <w:sectPr w:rsidR="003A27B5" w:rsidRPr="0040163B" w:rsidSect="006A6909">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659"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123F6" w14:textId="77777777" w:rsidR="00414035" w:rsidRDefault="00414035" w:rsidP="005C1D70">
      <w:pPr>
        <w:spacing w:after="0" w:line="240" w:lineRule="auto"/>
      </w:pPr>
      <w:r>
        <w:separator/>
      </w:r>
    </w:p>
  </w:endnote>
  <w:endnote w:type="continuationSeparator" w:id="0">
    <w:p w14:paraId="76199390" w14:textId="77777777" w:rsidR="00414035" w:rsidRDefault="00414035" w:rsidP="005C1D70">
      <w:pPr>
        <w:spacing w:after="0" w:line="240" w:lineRule="auto"/>
      </w:pPr>
      <w:r>
        <w:continuationSeparator/>
      </w:r>
    </w:p>
  </w:endnote>
  <w:endnote w:id="1">
    <w:p w14:paraId="4E90F659" w14:textId="77777777" w:rsidR="00E776BB" w:rsidRPr="005776AC" w:rsidRDefault="00E776BB" w:rsidP="00E776BB">
      <w:pPr>
        <w:pStyle w:val="EndnoteText"/>
        <w:rPr>
          <w:rFonts w:ascii="Arial" w:hAnsi="Arial" w:cs="Arial"/>
          <w:sz w:val="16"/>
          <w:szCs w:val="16"/>
        </w:rPr>
      </w:pPr>
      <w:r w:rsidRPr="005776AC">
        <w:rPr>
          <w:rStyle w:val="EndnoteReference"/>
          <w:rFonts w:ascii="Arial" w:hAnsi="Arial" w:cs="Arial"/>
          <w:sz w:val="16"/>
          <w:szCs w:val="16"/>
        </w:rPr>
        <w:endnoteRef/>
      </w:r>
      <w:r w:rsidRPr="005776AC">
        <w:rPr>
          <w:rFonts w:ascii="Arial" w:hAnsi="Arial" w:cs="Arial"/>
          <w:sz w:val="16"/>
          <w:szCs w:val="16"/>
        </w:rPr>
        <w:t xml:space="preserve"> </w:t>
      </w:r>
      <w:hyperlink r:id="rId1" w:history="1">
        <w:r w:rsidRPr="005776AC">
          <w:rPr>
            <w:rStyle w:val="Hyperlink"/>
            <w:rFonts w:ascii="Arial" w:hAnsi="Arial" w:cs="Arial"/>
            <w:sz w:val="16"/>
            <w:szCs w:val="16"/>
          </w:rPr>
          <w:t>Nasdaq narrowly misses worst January ever as Wall Street gains | Reuters</w:t>
        </w:r>
      </w:hyperlink>
    </w:p>
  </w:endnote>
  <w:endnote w:id="2">
    <w:p w14:paraId="58C0B222" w14:textId="15C01450" w:rsidR="00D96E34" w:rsidRPr="005776AC" w:rsidRDefault="00E776BB" w:rsidP="00E776BB">
      <w:pPr>
        <w:pStyle w:val="EndnoteText"/>
        <w:rPr>
          <w:rFonts w:ascii="Arial" w:hAnsi="Arial" w:cs="Arial"/>
          <w:sz w:val="16"/>
          <w:szCs w:val="16"/>
        </w:rPr>
      </w:pPr>
      <w:r w:rsidRPr="005776AC">
        <w:rPr>
          <w:rStyle w:val="EndnoteReference"/>
          <w:rFonts w:ascii="Arial" w:hAnsi="Arial" w:cs="Arial"/>
          <w:sz w:val="16"/>
          <w:szCs w:val="16"/>
        </w:rPr>
        <w:endnoteRef/>
      </w:r>
      <w:r w:rsidRPr="005776AC">
        <w:rPr>
          <w:rFonts w:ascii="Arial" w:hAnsi="Arial" w:cs="Arial"/>
          <w:sz w:val="16"/>
          <w:szCs w:val="16"/>
        </w:rPr>
        <w:t xml:space="preserve"> </w:t>
      </w:r>
      <w:hyperlink r:id="rId2" w:history="1">
        <w:r w:rsidR="00D96E34" w:rsidRPr="007D5E3F">
          <w:rPr>
            <w:rStyle w:val="Hyperlink"/>
            <w:rFonts w:ascii="Arial" w:hAnsi="Arial" w:cs="Arial"/>
            <w:sz w:val="16"/>
            <w:szCs w:val="16"/>
          </w:rPr>
          <w:t>https://am.jpmorgan.com/content/dam/jpm-am-aem/global/en/insights/market-insights/mi-monthly-market-review.pdf</w:t>
        </w:r>
      </w:hyperlink>
    </w:p>
  </w:endnote>
  <w:endnote w:id="3">
    <w:p w14:paraId="16317F24" w14:textId="77777777" w:rsidR="00E776BB" w:rsidRPr="005776AC" w:rsidRDefault="00E776BB" w:rsidP="00E776BB">
      <w:pPr>
        <w:pStyle w:val="EndnoteText"/>
        <w:rPr>
          <w:rFonts w:ascii="Arial" w:hAnsi="Arial" w:cs="Arial"/>
          <w:sz w:val="16"/>
          <w:szCs w:val="16"/>
        </w:rPr>
      </w:pPr>
      <w:r w:rsidRPr="005776AC">
        <w:rPr>
          <w:rStyle w:val="EndnoteReference"/>
          <w:rFonts w:ascii="Arial" w:hAnsi="Arial" w:cs="Arial"/>
          <w:sz w:val="16"/>
          <w:szCs w:val="16"/>
        </w:rPr>
        <w:endnoteRef/>
      </w:r>
      <w:r w:rsidRPr="005776AC">
        <w:rPr>
          <w:rFonts w:ascii="Arial" w:hAnsi="Arial" w:cs="Arial"/>
          <w:sz w:val="16"/>
          <w:szCs w:val="16"/>
        </w:rPr>
        <w:t xml:space="preserve"> </w:t>
      </w:r>
      <w:hyperlink r:id="rId3" w:history="1">
        <w:r w:rsidRPr="005776AC">
          <w:rPr>
            <w:rStyle w:val="Hyperlink"/>
            <w:rFonts w:ascii="Arial" w:hAnsi="Arial" w:cs="Arial"/>
            <w:sz w:val="16"/>
            <w:szCs w:val="16"/>
          </w:rPr>
          <w:t>Stock volatility continues as Wall Street wraps up brutal January - The Washington Post</w:t>
        </w:r>
      </w:hyperlink>
    </w:p>
  </w:endnote>
  <w:endnote w:id="4">
    <w:p w14:paraId="03E750FD" w14:textId="77777777" w:rsidR="00E776BB" w:rsidRDefault="00E776BB" w:rsidP="00E776BB">
      <w:pPr>
        <w:pStyle w:val="EndnoteText"/>
        <w:rPr>
          <w:rStyle w:val="Hyperlink"/>
          <w:rFonts w:ascii="Arial" w:hAnsi="Arial" w:cs="Arial"/>
          <w:sz w:val="16"/>
          <w:szCs w:val="16"/>
        </w:rPr>
      </w:pPr>
      <w:r w:rsidRPr="005776AC">
        <w:rPr>
          <w:rStyle w:val="EndnoteReference"/>
          <w:rFonts w:ascii="Arial" w:hAnsi="Arial" w:cs="Arial"/>
          <w:sz w:val="16"/>
          <w:szCs w:val="16"/>
        </w:rPr>
        <w:endnoteRef/>
      </w:r>
      <w:r w:rsidRPr="005776AC">
        <w:rPr>
          <w:rFonts w:ascii="Arial" w:hAnsi="Arial" w:cs="Arial"/>
          <w:sz w:val="16"/>
          <w:szCs w:val="16"/>
        </w:rPr>
        <w:t xml:space="preserve"> </w:t>
      </w:r>
      <w:hyperlink r:id="rId4" w:history="1">
        <w:r w:rsidRPr="005776AC">
          <w:rPr>
            <w:rStyle w:val="Hyperlink"/>
            <w:rFonts w:ascii="Arial" w:hAnsi="Arial" w:cs="Arial"/>
            <w:sz w:val="16"/>
            <w:szCs w:val="16"/>
          </w:rPr>
          <w:t>Oil posts biggest monthly gain in a year on tight supply, political tensions | Reuters</w:t>
        </w:r>
      </w:hyperlink>
    </w:p>
    <w:p w14:paraId="5C1AA345" w14:textId="1676442E" w:rsidR="00E776BB" w:rsidRDefault="00E776BB" w:rsidP="00E776BB">
      <w:pPr>
        <w:pStyle w:val="EndnoteText"/>
      </w:pPr>
    </w:p>
    <w:p w14:paraId="52225CF8" w14:textId="77777777" w:rsidR="00D96E34" w:rsidRDefault="00D96E34" w:rsidP="00E776B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8A7B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Pr="007C4C9B">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r w:rsidR="004E0827">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r w:rsidR="004E0827">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92426"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6F2265DA" w14:textId="306EA383" w:rsidR="00996FBD" w:rsidRDefault="00FE3FBC"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454B6BE1">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5p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eBuxJkW&#10;DThaq86zr9QxmIBPa9wUYSuDQN/Bjtiz3cEYxu5K24QvBmLwA+njBd2QTcKYjdJJeoMqEr5skl2P&#10;IvzJ221jnf+mqGFByLkFexFUcXh0Hp0g9BwSimlaVnUdGaw1a3N+NZoM44WLBzdqjYthhr7XIPlu&#10;08WZx+c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KG5eaTECAABWBAAADgAAAAAAAAAAAAAA&#10;AAAuAgAAZHJzL2Uyb0RvYy54bWxQSwECLQAUAAYACAAAACEAWXoqZ+IAAAAJAQAADwAAAAAAAAAA&#10;AAAAAACLBAAAZHJzL2Rvd25yZXYueG1sUEsFBgAAAAAEAAQA8wAAAJoFAAAAAA==&#10;" filled="f" stroked="f" strokeweight=".5pt">
              <v:textbox inset="0">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14DB7"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D54AD" w14:textId="77777777" w:rsidR="00414035" w:rsidRDefault="00414035" w:rsidP="005C1D70">
      <w:pPr>
        <w:spacing w:after="0" w:line="240" w:lineRule="auto"/>
      </w:pPr>
      <w:r>
        <w:separator/>
      </w:r>
    </w:p>
  </w:footnote>
  <w:footnote w:type="continuationSeparator" w:id="0">
    <w:p w14:paraId="40BEF562" w14:textId="77777777" w:rsidR="00414035" w:rsidRDefault="00414035"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484E" w14:textId="77777777" w:rsidR="00F27D3C" w:rsidRDefault="00F27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1E113"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0E64" w14:textId="77777777" w:rsidR="0037202D" w:rsidRDefault="0037202D" w:rsidP="0037202D">
    <w:pPr>
      <w:pStyle w:val="Header"/>
    </w:pPr>
    <w:r w:rsidRPr="00996FBD">
      <w:rPr>
        <w:noProof/>
      </w:rPr>
      <mc:AlternateContent>
        <mc:Choice Requires="wps">
          <w:drawing>
            <wp:anchor distT="0" distB="0" distL="114300" distR="114300" simplePos="0" relativeHeight="251683840" behindDoc="0" locked="0" layoutInCell="1" allowOverlap="1" wp14:anchorId="69C3EC04" wp14:editId="1C423F8E">
              <wp:simplePos x="0" y="0"/>
              <wp:positionH relativeFrom="column">
                <wp:posOffset>-453225</wp:posOffset>
              </wp:positionH>
              <wp:positionV relativeFrom="paragraph">
                <wp:posOffset>155050</wp:posOffset>
              </wp:positionV>
              <wp:extent cx="1144987" cy="2703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4987" cy="270345"/>
                      </a:xfrm>
                      <a:prstGeom prst="rect">
                        <a:avLst/>
                      </a:prstGeom>
                      <a:noFill/>
                      <a:ln w="6350">
                        <a:noFill/>
                      </a:ln>
                    </wps:spPr>
                    <wps:txbx>
                      <w:txbxContent>
                        <w:p w14:paraId="69C0C563" w14:textId="0F9B0C2F" w:rsidR="0037202D" w:rsidRPr="0037202D" w:rsidRDefault="00F27D3C" w:rsidP="0037202D">
                          <w:pPr>
                            <w:rPr>
                              <w:rFonts w:ascii="Arial" w:hAnsi="Arial" w:cs="Arial"/>
                              <w:sz w:val="18"/>
                            </w:rPr>
                          </w:pPr>
                          <w:r>
                            <w:rPr>
                              <w:rFonts w:ascii="Arial" w:hAnsi="Arial" w:cs="Arial"/>
                            </w:rPr>
                            <w:t>January</w:t>
                          </w:r>
                          <w:r w:rsidR="0037202D">
                            <w:rPr>
                              <w:rFonts w:ascii="Arial" w:hAnsi="Arial" w:cs="Arial"/>
                            </w:rPr>
                            <w:t xml:space="preserve"> 2</w:t>
                          </w:r>
                          <w:r w:rsidR="00D31089">
                            <w:rPr>
                              <w:rFonts w:ascii="Arial" w:hAnsi="Arial" w:cs="Arial"/>
                            </w:rPr>
                            <w:t>02</w:t>
                          </w:r>
                          <w:r>
                            <w:rPr>
                              <w:rFonts w:ascii="Arial" w:hAnsi="Arial" w:cs="Arial"/>
                            </w:rPr>
                            <w:t>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EC04" id="_x0000_t202" coordsize="21600,21600" o:spt="202" path="m,l,21600r21600,l21600,xe">
              <v:stroke joinstyle="miter"/>
              <v:path gradientshapeok="t" o:connecttype="rect"/>
            </v:shapetype>
            <v:shape id="Text Box 10" o:spid="_x0000_s1033" type="#_x0000_t202" style="position:absolute;margin-left:-35.7pt;margin-top:12.2pt;width:90.1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" filled="f" stroked="f" strokeweight=".5pt">
              <v:textbox inset="0">
                <w:txbxContent>
                  <w:p w14:paraId="69C0C563" w14:textId="0F9B0C2F" w:rsidR="0037202D" w:rsidRPr="0037202D" w:rsidRDefault="00F27D3C" w:rsidP="0037202D">
                    <w:pPr>
                      <w:rPr>
                        <w:rFonts w:ascii="Arial" w:hAnsi="Arial" w:cs="Arial"/>
                        <w:sz w:val="18"/>
                      </w:rPr>
                    </w:pPr>
                    <w:r>
                      <w:rPr>
                        <w:rFonts w:ascii="Arial" w:hAnsi="Arial" w:cs="Arial"/>
                      </w:rPr>
                      <w:t>January</w:t>
                    </w:r>
                    <w:r w:rsidR="0037202D">
                      <w:rPr>
                        <w:rFonts w:ascii="Arial" w:hAnsi="Arial" w:cs="Arial"/>
                      </w:rPr>
                      <w:t xml:space="preserve"> 2</w:t>
                    </w:r>
                    <w:r w:rsidR="00D31089">
                      <w:rPr>
                        <w:rFonts w:ascii="Arial" w:hAnsi="Arial" w:cs="Arial"/>
                      </w:rPr>
                      <w:t>02</w:t>
                    </w:r>
                    <w:r>
                      <w:rPr>
                        <w:rFonts w:ascii="Arial" w:hAnsi="Arial" w:cs="Arial"/>
                      </w:rPr>
                      <w:t>2</w:t>
                    </w:r>
                  </w:p>
                </w:txbxContent>
              </v:textbox>
            </v:shape>
          </w:pict>
        </mc:Fallback>
      </mc:AlternateContent>
    </w:r>
    <w:r w:rsidRPr="00996FBD">
      <w:rPr>
        <w:noProof/>
      </w:rPr>
      <mc:AlternateContent>
        <mc:Choice Requires="wps">
          <w:drawing>
            <wp:anchor distT="0" distB="0" distL="114300" distR="114300" simplePos="0" relativeHeight="251682816" behindDoc="0" locked="0" layoutInCell="1" allowOverlap="1" wp14:anchorId="348CE5DB" wp14:editId="1C5AD009">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E5DB" id="Text Box 9" o:spid="_x0000_s1034" type="#_x0000_t202" style="position:absolute;margin-left:-35.55pt;margin-top:36pt;width:378.3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v:textbox>
            </v:shape>
          </w:pict>
        </mc:Fallback>
      </mc:AlternateContent>
    </w:r>
    <w:r w:rsidRPr="00996FBD">
      <w:rPr>
        <w:noProof/>
      </w:rPr>
      <mc:AlternateContent>
        <mc:Choice Requires="wps">
          <w:drawing>
            <wp:anchor distT="0" distB="0" distL="114300" distR="114300" simplePos="0" relativeHeight="251681792" behindDoc="0" locked="0" layoutInCell="1" allowOverlap="1" wp14:anchorId="62EBBC10" wp14:editId="089AA701">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BEA51" id="Rectangle 8" o:spid="_x0000_s1026" style="position:absolute;margin-left:-71.2pt;margin-top:98.45pt;width:612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p w14:paraId="512E40EC" w14:textId="77777777" w:rsidR="0037202D" w:rsidRPr="0037202D" w:rsidRDefault="0037202D" w:rsidP="0037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4"/>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NeedToUniquify" w:val="false"/>
    <w:docVar w:name="APWAFVersion" w:val="5.0"/>
  </w:docVars>
  <w:rsids>
    <w:rsidRoot w:val="005C1D70"/>
    <w:rsid w:val="000019A6"/>
    <w:rsid w:val="0000260F"/>
    <w:rsid w:val="00005BBE"/>
    <w:rsid w:val="0000769F"/>
    <w:rsid w:val="00007A7E"/>
    <w:rsid w:val="00010B74"/>
    <w:rsid w:val="000112B7"/>
    <w:rsid w:val="00011A53"/>
    <w:rsid w:val="00011C41"/>
    <w:rsid w:val="000131D4"/>
    <w:rsid w:val="00015BBE"/>
    <w:rsid w:val="00016A13"/>
    <w:rsid w:val="00016B9E"/>
    <w:rsid w:val="000206C0"/>
    <w:rsid w:val="00023599"/>
    <w:rsid w:val="000240EF"/>
    <w:rsid w:val="000242F4"/>
    <w:rsid w:val="00024439"/>
    <w:rsid w:val="00025503"/>
    <w:rsid w:val="00025D22"/>
    <w:rsid w:val="0003017C"/>
    <w:rsid w:val="00030ECA"/>
    <w:rsid w:val="0003376F"/>
    <w:rsid w:val="0003567F"/>
    <w:rsid w:val="000371DC"/>
    <w:rsid w:val="00041620"/>
    <w:rsid w:val="00042E23"/>
    <w:rsid w:val="000430A6"/>
    <w:rsid w:val="00045057"/>
    <w:rsid w:val="00051F5A"/>
    <w:rsid w:val="000525E5"/>
    <w:rsid w:val="00053EFC"/>
    <w:rsid w:val="00054C1C"/>
    <w:rsid w:val="00066B89"/>
    <w:rsid w:val="0007798A"/>
    <w:rsid w:val="00081251"/>
    <w:rsid w:val="00081973"/>
    <w:rsid w:val="00090399"/>
    <w:rsid w:val="0009147A"/>
    <w:rsid w:val="0009187A"/>
    <w:rsid w:val="00091B63"/>
    <w:rsid w:val="000929C4"/>
    <w:rsid w:val="00092E4D"/>
    <w:rsid w:val="00094A2D"/>
    <w:rsid w:val="000966B3"/>
    <w:rsid w:val="00096F2C"/>
    <w:rsid w:val="000A165A"/>
    <w:rsid w:val="000A2ED9"/>
    <w:rsid w:val="000A5A3C"/>
    <w:rsid w:val="000A7488"/>
    <w:rsid w:val="000A7E8D"/>
    <w:rsid w:val="000B0791"/>
    <w:rsid w:val="000B19DD"/>
    <w:rsid w:val="000B1D36"/>
    <w:rsid w:val="000B2834"/>
    <w:rsid w:val="000B3F75"/>
    <w:rsid w:val="000B4C97"/>
    <w:rsid w:val="000B540D"/>
    <w:rsid w:val="000C049C"/>
    <w:rsid w:val="000C06AC"/>
    <w:rsid w:val="000C1F1A"/>
    <w:rsid w:val="000C24C5"/>
    <w:rsid w:val="000C4AB5"/>
    <w:rsid w:val="000C4D71"/>
    <w:rsid w:val="000C698E"/>
    <w:rsid w:val="000C739F"/>
    <w:rsid w:val="000D0736"/>
    <w:rsid w:val="000D23E8"/>
    <w:rsid w:val="000D25A4"/>
    <w:rsid w:val="000D2EE5"/>
    <w:rsid w:val="000D4110"/>
    <w:rsid w:val="000D4E54"/>
    <w:rsid w:val="000D5016"/>
    <w:rsid w:val="000D5AF4"/>
    <w:rsid w:val="000D72DA"/>
    <w:rsid w:val="000D76AB"/>
    <w:rsid w:val="000E02C0"/>
    <w:rsid w:val="000E10AE"/>
    <w:rsid w:val="000E31F0"/>
    <w:rsid w:val="000E345D"/>
    <w:rsid w:val="000E36C6"/>
    <w:rsid w:val="000E4CDF"/>
    <w:rsid w:val="000E5F02"/>
    <w:rsid w:val="000E6691"/>
    <w:rsid w:val="000E72AF"/>
    <w:rsid w:val="000F051F"/>
    <w:rsid w:val="000F158F"/>
    <w:rsid w:val="000F4301"/>
    <w:rsid w:val="000F5D04"/>
    <w:rsid w:val="000F6A69"/>
    <w:rsid w:val="000F79F4"/>
    <w:rsid w:val="000F7DAD"/>
    <w:rsid w:val="00100FC7"/>
    <w:rsid w:val="0010194E"/>
    <w:rsid w:val="00101B62"/>
    <w:rsid w:val="00101E87"/>
    <w:rsid w:val="0010785C"/>
    <w:rsid w:val="00112281"/>
    <w:rsid w:val="001142B7"/>
    <w:rsid w:val="00114CA7"/>
    <w:rsid w:val="00117FBC"/>
    <w:rsid w:val="00120228"/>
    <w:rsid w:val="0012078C"/>
    <w:rsid w:val="00120D18"/>
    <w:rsid w:val="001220AD"/>
    <w:rsid w:val="00126D79"/>
    <w:rsid w:val="001318F1"/>
    <w:rsid w:val="00133681"/>
    <w:rsid w:val="00135076"/>
    <w:rsid w:val="00135AE9"/>
    <w:rsid w:val="0013691A"/>
    <w:rsid w:val="00137F05"/>
    <w:rsid w:val="00140B3E"/>
    <w:rsid w:val="001437D6"/>
    <w:rsid w:val="0014506F"/>
    <w:rsid w:val="0015043F"/>
    <w:rsid w:val="00150B19"/>
    <w:rsid w:val="00151D69"/>
    <w:rsid w:val="001649B9"/>
    <w:rsid w:val="00174514"/>
    <w:rsid w:val="00174990"/>
    <w:rsid w:val="00175576"/>
    <w:rsid w:val="00175F3F"/>
    <w:rsid w:val="00176A6B"/>
    <w:rsid w:val="001779A9"/>
    <w:rsid w:val="00184874"/>
    <w:rsid w:val="001859E9"/>
    <w:rsid w:val="001867A3"/>
    <w:rsid w:val="00192D1F"/>
    <w:rsid w:val="00194BC0"/>
    <w:rsid w:val="0019560C"/>
    <w:rsid w:val="00196F86"/>
    <w:rsid w:val="001A07B6"/>
    <w:rsid w:val="001A1863"/>
    <w:rsid w:val="001A42D1"/>
    <w:rsid w:val="001A57E4"/>
    <w:rsid w:val="001A6654"/>
    <w:rsid w:val="001B0603"/>
    <w:rsid w:val="001B1060"/>
    <w:rsid w:val="001B109A"/>
    <w:rsid w:val="001B2683"/>
    <w:rsid w:val="001B37C3"/>
    <w:rsid w:val="001B3C5E"/>
    <w:rsid w:val="001B49C8"/>
    <w:rsid w:val="001B5EFB"/>
    <w:rsid w:val="001B62EA"/>
    <w:rsid w:val="001B6B17"/>
    <w:rsid w:val="001B6F67"/>
    <w:rsid w:val="001C0C09"/>
    <w:rsid w:val="001C2718"/>
    <w:rsid w:val="001C403B"/>
    <w:rsid w:val="001D0F27"/>
    <w:rsid w:val="001D1C5C"/>
    <w:rsid w:val="001D28D0"/>
    <w:rsid w:val="001D2EDE"/>
    <w:rsid w:val="001D41CD"/>
    <w:rsid w:val="001D5914"/>
    <w:rsid w:val="001D5AEF"/>
    <w:rsid w:val="001D5D2F"/>
    <w:rsid w:val="001D6BC2"/>
    <w:rsid w:val="001D7A8E"/>
    <w:rsid w:val="001D7C01"/>
    <w:rsid w:val="001E1073"/>
    <w:rsid w:val="001E21E7"/>
    <w:rsid w:val="001E3BDA"/>
    <w:rsid w:val="001E3C1A"/>
    <w:rsid w:val="001E4456"/>
    <w:rsid w:val="001E4E23"/>
    <w:rsid w:val="001E581D"/>
    <w:rsid w:val="001E5CB7"/>
    <w:rsid w:val="001E71B3"/>
    <w:rsid w:val="001F06B2"/>
    <w:rsid w:val="001F0ADB"/>
    <w:rsid w:val="001F2BF8"/>
    <w:rsid w:val="001F5138"/>
    <w:rsid w:val="001F51C9"/>
    <w:rsid w:val="002005D2"/>
    <w:rsid w:val="002037A8"/>
    <w:rsid w:val="002048C9"/>
    <w:rsid w:val="00205777"/>
    <w:rsid w:val="002077B7"/>
    <w:rsid w:val="00207A30"/>
    <w:rsid w:val="00210021"/>
    <w:rsid w:val="00213810"/>
    <w:rsid w:val="00213950"/>
    <w:rsid w:val="00215800"/>
    <w:rsid w:val="00216342"/>
    <w:rsid w:val="00217E04"/>
    <w:rsid w:val="00220328"/>
    <w:rsid w:val="00220666"/>
    <w:rsid w:val="00220E56"/>
    <w:rsid w:val="002220C2"/>
    <w:rsid w:val="00225D97"/>
    <w:rsid w:val="002276A3"/>
    <w:rsid w:val="00227DDC"/>
    <w:rsid w:val="00230680"/>
    <w:rsid w:val="00232B8E"/>
    <w:rsid w:val="00235DA5"/>
    <w:rsid w:val="00236820"/>
    <w:rsid w:val="002401F6"/>
    <w:rsid w:val="00240C3F"/>
    <w:rsid w:val="002417A8"/>
    <w:rsid w:val="00241BAE"/>
    <w:rsid w:val="00243C06"/>
    <w:rsid w:val="002453BF"/>
    <w:rsid w:val="00245B44"/>
    <w:rsid w:val="002464B2"/>
    <w:rsid w:val="0024750F"/>
    <w:rsid w:val="00247852"/>
    <w:rsid w:val="002518A8"/>
    <w:rsid w:val="00255E94"/>
    <w:rsid w:val="00255EB5"/>
    <w:rsid w:val="00256320"/>
    <w:rsid w:val="00256F12"/>
    <w:rsid w:val="002578AC"/>
    <w:rsid w:val="00261B59"/>
    <w:rsid w:val="00262F13"/>
    <w:rsid w:val="0026361E"/>
    <w:rsid w:val="00272AF5"/>
    <w:rsid w:val="0027410D"/>
    <w:rsid w:val="0027433B"/>
    <w:rsid w:val="00274534"/>
    <w:rsid w:val="00275EBE"/>
    <w:rsid w:val="00280A79"/>
    <w:rsid w:val="00281338"/>
    <w:rsid w:val="002815AB"/>
    <w:rsid w:val="00282274"/>
    <w:rsid w:val="00282A2B"/>
    <w:rsid w:val="00283686"/>
    <w:rsid w:val="00284562"/>
    <w:rsid w:val="00284AA4"/>
    <w:rsid w:val="002859EB"/>
    <w:rsid w:val="00290B7F"/>
    <w:rsid w:val="00291044"/>
    <w:rsid w:val="0029313A"/>
    <w:rsid w:val="00293B4E"/>
    <w:rsid w:val="00296183"/>
    <w:rsid w:val="002973E5"/>
    <w:rsid w:val="00297E82"/>
    <w:rsid w:val="002A1561"/>
    <w:rsid w:val="002A461C"/>
    <w:rsid w:val="002B05C8"/>
    <w:rsid w:val="002C02AF"/>
    <w:rsid w:val="002D05E4"/>
    <w:rsid w:val="002D22E8"/>
    <w:rsid w:val="002D37C9"/>
    <w:rsid w:val="002D4F15"/>
    <w:rsid w:val="002D792A"/>
    <w:rsid w:val="002D7DC5"/>
    <w:rsid w:val="002E0A7B"/>
    <w:rsid w:val="002E433C"/>
    <w:rsid w:val="002E4898"/>
    <w:rsid w:val="002E508A"/>
    <w:rsid w:val="002E50EA"/>
    <w:rsid w:val="002E6AFD"/>
    <w:rsid w:val="002E6E8A"/>
    <w:rsid w:val="002E7719"/>
    <w:rsid w:val="002F07C5"/>
    <w:rsid w:val="002F16B9"/>
    <w:rsid w:val="002F1EC0"/>
    <w:rsid w:val="002F2B29"/>
    <w:rsid w:val="002F5CB2"/>
    <w:rsid w:val="002F79F4"/>
    <w:rsid w:val="002F7F11"/>
    <w:rsid w:val="00300023"/>
    <w:rsid w:val="00300BBA"/>
    <w:rsid w:val="003014F1"/>
    <w:rsid w:val="00303294"/>
    <w:rsid w:val="0030348F"/>
    <w:rsid w:val="00304FF2"/>
    <w:rsid w:val="00305296"/>
    <w:rsid w:val="00311CC1"/>
    <w:rsid w:val="003127F9"/>
    <w:rsid w:val="0031343F"/>
    <w:rsid w:val="00314D80"/>
    <w:rsid w:val="00317921"/>
    <w:rsid w:val="00322025"/>
    <w:rsid w:val="003220F7"/>
    <w:rsid w:val="003231DB"/>
    <w:rsid w:val="0032479E"/>
    <w:rsid w:val="00325856"/>
    <w:rsid w:val="003268E6"/>
    <w:rsid w:val="00331075"/>
    <w:rsid w:val="0033118A"/>
    <w:rsid w:val="00331690"/>
    <w:rsid w:val="00340787"/>
    <w:rsid w:val="003435A3"/>
    <w:rsid w:val="00343802"/>
    <w:rsid w:val="00343C2A"/>
    <w:rsid w:val="00345399"/>
    <w:rsid w:val="00346527"/>
    <w:rsid w:val="00352A50"/>
    <w:rsid w:val="0035334B"/>
    <w:rsid w:val="00353E32"/>
    <w:rsid w:val="00355722"/>
    <w:rsid w:val="00355CA4"/>
    <w:rsid w:val="00362D4D"/>
    <w:rsid w:val="0037202D"/>
    <w:rsid w:val="00372C2F"/>
    <w:rsid w:val="003730E1"/>
    <w:rsid w:val="003762FC"/>
    <w:rsid w:val="0037726A"/>
    <w:rsid w:val="00381EB7"/>
    <w:rsid w:val="0038317A"/>
    <w:rsid w:val="003835CC"/>
    <w:rsid w:val="00383F8F"/>
    <w:rsid w:val="00385C7C"/>
    <w:rsid w:val="0039028E"/>
    <w:rsid w:val="0039373B"/>
    <w:rsid w:val="003948A6"/>
    <w:rsid w:val="00396976"/>
    <w:rsid w:val="003A027C"/>
    <w:rsid w:val="003A0A0D"/>
    <w:rsid w:val="003A17E9"/>
    <w:rsid w:val="003A1C0B"/>
    <w:rsid w:val="003A27B5"/>
    <w:rsid w:val="003A312A"/>
    <w:rsid w:val="003A67D5"/>
    <w:rsid w:val="003A729F"/>
    <w:rsid w:val="003A796C"/>
    <w:rsid w:val="003A79ED"/>
    <w:rsid w:val="003A7A06"/>
    <w:rsid w:val="003B0F64"/>
    <w:rsid w:val="003B3EEE"/>
    <w:rsid w:val="003B7A38"/>
    <w:rsid w:val="003C1EE4"/>
    <w:rsid w:val="003C297B"/>
    <w:rsid w:val="003C2C63"/>
    <w:rsid w:val="003C438F"/>
    <w:rsid w:val="003C4C11"/>
    <w:rsid w:val="003C547B"/>
    <w:rsid w:val="003C5B6F"/>
    <w:rsid w:val="003D09BD"/>
    <w:rsid w:val="003D0E2B"/>
    <w:rsid w:val="003D27ED"/>
    <w:rsid w:val="003D535D"/>
    <w:rsid w:val="003D596A"/>
    <w:rsid w:val="003D6A52"/>
    <w:rsid w:val="003D7552"/>
    <w:rsid w:val="003E2BF1"/>
    <w:rsid w:val="003E3FAC"/>
    <w:rsid w:val="003E4429"/>
    <w:rsid w:val="003E5A99"/>
    <w:rsid w:val="003E6762"/>
    <w:rsid w:val="003F0BE4"/>
    <w:rsid w:val="003F1491"/>
    <w:rsid w:val="003F1C77"/>
    <w:rsid w:val="003F4056"/>
    <w:rsid w:val="003F4A96"/>
    <w:rsid w:val="003F588B"/>
    <w:rsid w:val="003F5A3A"/>
    <w:rsid w:val="003F6944"/>
    <w:rsid w:val="003F79DC"/>
    <w:rsid w:val="0040163B"/>
    <w:rsid w:val="00401A1E"/>
    <w:rsid w:val="00401BDF"/>
    <w:rsid w:val="0040298E"/>
    <w:rsid w:val="00402D25"/>
    <w:rsid w:val="00403DE6"/>
    <w:rsid w:val="00407F04"/>
    <w:rsid w:val="00411835"/>
    <w:rsid w:val="00411EF3"/>
    <w:rsid w:val="004136D4"/>
    <w:rsid w:val="00414035"/>
    <w:rsid w:val="0041727F"/>
    <w:rsid w:val="00420FAA"/>
    <w:rsid w:val="0042112C"/>
    <w:rsid w:val="00421EC2"/>
    <w:rsid w:val="00423E43"/>
    <w:rsid w:val="004249BD"/>
    <w:rsid w:val="00425080"/>
    <w:rsid w:val="004258D8"/>
    <w:rsid w:val="00426CDA"/>
    <w:rsid w:val="004336C8"/>
    <w:rsid w:val="00433734"/>
    <w:rsid w:val="00434F44"/>
    <w:rsid w:val="00435663"/>
    <w:rsid w:val="00436641"/>
    <w:rsid w:val="00437DD6"/>
    <w:rsid w:val="004405AE"/>
    <w:rsid w:val="00444C8B"/>
    <w:rsid w:val="00445982"/>
    <w:rsid w:val="004462DD"/>
    <w:rsid w:val="00451340"/>
    <w:rsid w:val="00452980"/>
    <w:rsid w:val="00453D4F"/>
    <w:rsid w:val="004561AF"/>
    <w:rsid w:val="00457A7D"/>
    <w:rsid w:val="0046043A"/>
    <w:rsid w:val="00461662"/>
    <w:rsid w:val="004640AC"/>
    <w:rsid w:val="0046418E"/>
    <w:rsid w:val="00464C6A"/>
    <w:rsid w:val="004668E2"/>
    <w:rsid w:val="00467285"/>
    <w:rsid w:val="0047167F"/>
    <w:rsid w:val="00471693"/>
    <w:rsid w:val="00471EAF"/>
    <w:rsid w:val="00474668"/>
    <w:rsid w:val="00476763"/>
    <w:rsid w:val="00476B90"/>
    <w:rsid w:val="00481713"/>
    <w:rsid w:val="00481C51"/>
    <w:rsid w:val="00483CFF"/>
    <w:rsid w:val="00485A5F"/>
    <w:rsid w:val="00486B2A"/>
    <w:rsid w:val="00487F21"/>
    <w:rsid w:val="004916A4"/>
    <w:rsid w:val="004977A7"/>
    <w:rsid w:val="004A030F"/>
    <w:rsid w:val="004A43C7"/>
    <w:rsid w:val="004A6C80"/>
    <w:rsid w:val="004A7165"/>
    <w:rsid w:val="004A735B"/>
    <w:rsid w:val="004A74EF"/>
    <w:rsid w:val="004B03CA"/>
    <w:rsid w:val="004B0A8D"/>
    <w:rsid w:val="004B0ADF"/>
    <w:rsid w:val="004B1C5E"/>
    <w:rsid w:val="004B22C1"/>
    <w:rsid w:val="004B2CC1"/>
    <w:rsid w:val="004B5584"/>
    <w:rsid w:val="004B5EEA"/>
    <w:rsid w:val="004C0E8E"/>
    <w:rsid w:val="004C3DB9"/>
    <w:rsid w:val="004C6215"/>
    <w:rsid w:val="004C6631"/>
    <w:rsid w:val="004C7188"/>
    <w:rsid w:val="004C74F0"/>
    <w:rsid w:val="004D3F7D"/>
    <w:rsid w:val="004D6A89"/>
    <w:rsid w:val="004E0827"/>
    <w:rsid w:val="004E12DB"/>
    <w:rsid w:val="004E2AC7"/>
    <w:rsid w:val="004E4EF8"/>
    <w:rsid w:val="004E5C3D"/>
    <w:rsid w:val="004E5C84"/>
    <w:rsid w:val="004E5FDF"/>
    <w:rsid w:val="004F5735"/>
    <w:rsid w:val="004F6998"/>
    <w:rsid w:val="004F6CA8"/>
    <w:rsid w:val="0050017C"/>
    <w:rsid w:val="00501EFD"/>
    <w:rsid w:val="0050273F"/>
    <w:rsid w:val="00503C3F"/>
    <w:rsid w:val="00504937"/>
    <w:rsid w:val="00504FC5"/>
    <w:rsid w:val="00510054"/>
    <w:rsid w:val="0051008E"/>
    <w:rsid w:val="005104C8"/>
    <w:rsid w:val="00510A35"/>
    <w:rsid w:val="0051127D"/>
    <w:rsid w:val="00514F61"/>
    <w:rsid w:val="00515103"/>
    <w:rsid w:val="005160A3"/>
    <w:rsid w:val="005176DB"/>
    <w:rsid w:val="00521245"/>
    <w:rsid w:val="00523048"/>
    <w:rsid w:val="00523F4E"/>
    <w:rsid w:val="00525FA1"/>
    <w:rsid w:val="00527E67"/>
    <w:rsid w:val="00532333"/>
    <w:rsid w:val="00533654"/>
    <w:rsid w:val="00535CAA"/>
    <w:rsid w:val="00536193"/>
    <w:rsid w:val="00536EEF"/>
    <w:rsid w:val="00537536"/>
    <w:rsid w:val="00541736"/>
    <w:rsid w:val="00541786"/>
    <w:rsid w:val="00541DDB"/>
    <w:rsid w:val="005454B3"/>
    <w:rsid w:val="00546DD9"/>
    <w:rsid w:val="00550B80"/>
    <w:rsid w:val="0055294F"/>
    <w:rsid w:val="00552ACA"/>
    <w:rsid w:val="00554BC7"/>
    <w:rsid w:val="00554E92"/>
    <w:rsid w:val="005552BF"/>
    <w:rsid w:val="00555656"/>
    <w:rsid w:val="00557EBE"/>
    <w:rsid w:val="0056005B"/>
    <w:rsid w:val="00561007"/>
    <w:rsid w:val="00561137"/>
    <w:rsid w:val="00561B0D"/>
    <w:rsid w:val="00561E14"/>
    <w:rsid w:val="005621F0"/>
    <w:rsid w:val="005640E2"/>
    <w:rsid w:val="005663CA"/>
    <w:rsid w:val="00566FC0"/>
    <w:rsid w:val="00567CF8"/>
    <w:rsid w:val="0057379A"/>
    <w:rsid w:val="00574C57"/>
    <w:rsid w:val="00576DFC"/>
    <w:rsid w:val="00576E85"/>
    <w:rsid w:val="00580A18"/>
    <w:rsid w:val="00582453"/>
    <w:rsid w:val="00584795"/>
    <w:rsid w:val="00585E1F"/>
    <w:rsid w:val="00586647"/>
    <w:rsid w:val="00586DD3"/>
    <w:rsid w:val="0058747A"/>
    <w:rsid w:val="0059046B"/>
    <w:rsid w:val="005924F3"/>
    <w:rsid w:val="00593371"/>
    <w:rsid w:val="005937AF"/>
    <w:rsid w:val="00594C3B"/>
    <w:rsid w:val="0059542D"/>
    <w:rsid w:val="00595576"/>
    <w:rsid w:val="00595F4D"/>
    <w:rsid w:val="00597D1D"/>
    <w:rsid w:val="005A0696"/>
    <w:rsid w:val="005A1AAB"/>
    <w:rsid w:val="005A2B96"/>
    <w:rsid w:val="005A2D4F"/>
    <w:rsid w:val="005A4567"/>
    <w:rsid w:val="005A46BF"/>
    <w:rsid w:val="005B1057"/>
    <w:rsid w:val="005B29B8"/>
    <w:rsid w:val="005B325C"/>
    <w:rsid w:val="005B3ACE"/>
    <w:rsid w:val="005B4A52"/>
    <w:rsid w:val="005B7F7F"/>
    <w:rsid w:val="005C1D70"/>
    <w:rsid w:val="005C20D4"/>
    <w:rsid w:val="005C270D"/>
    <w:rsid w:val="005C2C8A"/>
    <w:rsid w:val="005C2EE4"/>
    <w:rsid w:val="005C5BDE"/>
    <w:rsid w:val="005C62A8"/>
    <w:rsid w:val="005C6E3A"/>
    <w:rsid w:val="005C75FC"/>
    <w:rsid w:val="005D1638"/>
    <w:rsid w:val="005D1A45"/>
    <w:rsid w:val="005D2815"/>
    <w:rsid w:val="005D4CBE"/>
    <w:rsid w:val="005D65A6"/>
    <w:rsid w:val="005E124F"/>
    <w:rsid w:val="005E4FA5"/>
    <w:rsid w:val="005E555C"/>
    <w:rsid w:val="005E70C5"/>
    <w:rsid w:val="005F1BF0"/>
    <w:rsid w:val="005F2A8F"/>
    <w:rsid w:val="005F3604"/>
    <w:rsid w:val="005F5466"/>
    <w:rsid w:val="005F6076"/>
    <w:rsid w:val="005F6431"/>
    <w:rsid w:val="005F7CCF"/>
    <w:rsid w:val="00602E16"/>
    <w:rsid w:val="00606134"/>
    <w:rsid w:val="006074D8"/>
    <w:rsid w:val="006128A4"/>
    <w:rsid w:val="006144FA"/>
    <w:rsid w:val="0061454E"/>
    <w:rsid w:val="00616FAF"/>
    <w:rsid w:val="00620AF4"/>
    <w:rsid w:val="00622141"/>
    <w:rsid w:val="00622359"/>
    <w:rsid w:val="00623071"/>
    <w:rsid w:val="00630922"/>
    <w:rsid w:val="006338E9"/>
    <w:rsid w:val="006366A0"/>
    <w:rsid w:val="00636D2B"/>
    <w:rsid w:val="00637581"/>
    <w:rsid w:val="006401E3"/>
    <w:rsid w:val="00640B9F"/>
    <w:rsid w:val="00641B11"/>
    <w:rsid w:val="00641B69"/>
    <w:rsid w:val="006423FF"/>
    <w:rsid w:val="0064424E"/>
    <w:rsid w:val="00646489"/>
    <w:rsid w:val="0064650A"/>
    <w:rsid w:val="006470C7"/>
    <w:rsid w:val="00651939"/>
    <w:rsid w:val="00651B0E"/>
    <w:rsid w:val="0065238F"/>
    <w:rsid w:val="006535C8"/>
    <w:rsid w:val="006538F7"/>
    <w:rsid w:val="0065425E"/>
    <w:rsid w:val="00656CB6"/>
    <w:rsid w:val="00660074"/>
    <w:rsid w:val="006616B0"/>
    <w:rsid w:val="006635E3"/>
    <w:rsid w:val="006643EF"/>
    <w:rsid w:val="00664988"/>
    <w:rsid w:val="00665ABB"/>
    <w:rsid w:val="00665D68"/>
    <w:rsid w:val="00666FF2"/>
    <w:rsid w:val="00670D46"/>
    <w:rsid w:val="006737B4"/>
    <w:rsid w:val="006749B4"/>
    <w:rsid w:val="00674AF5"/>
    <w:rsid w:val="006752AA"/>
    <w:rsid w:val="00676E6E"/>
    <w:rsid w:val="006804F0"/>
    <w:rsid w:val="00681DA6"/>
    <w:rsid w:val="006820A3"/>
    <w:rsid w:val="00683301"/>
    <w:rsid w:val="0068595A"/>
    <w:rsid w:val="00690464"/>
    <w:rsid w:val="006915B4"/>
    <w:rsid w:val="00691AB3"/>
    <w:rsid w:val="00692783"/>
    <w:rsid w:val="006944EE"/>
    <w:rsid w:val="0069530B"/>
    <w:rsid w:val="0069631F"/>
    <w:rsid w:val="00697668"/>
    <w:rsid w:val="00697AC1"/>
    <w:rsid w:val="00697E2A"/>
    <w:rsid w:val="006A00C8"/>
    <w:rsid w:val="006A425E"/>
    <w:rsid w:val="006A43D1"/>
    <w:rsid w:val="006A6909"/>
    <w:rsid w:val="006B0231"/>
    <w:rsid w:val="006B1745"/>
    <w:rsid w:val="006B3DC2"/>
    <w:rsid w:val="006B78E2"/>
    <w:rsid w:val="006C1445"/>
    <w:rsid w:val="006C208B"/>
    <w:rsid w:val="006C463E"/>
    <w:rsid w:val="006C4C98"/>
    <w:rsid w:val="006C539B"/>
    <w:rsid w:val="006C55D5"/>
    <w:rsid w:val="006C579B"/>
    <w:rsid w:val="006C7478"/>
    <w:rsid w:val="006D13B7"/>
    <w:rsid w:val="006E2D22"/>
    <w:rsid w:val="006E36B5"/>
    <w:rsid w:val="006E6949"/>
    <w:rsid w:val="006E764B"/>
    <w:rsid w:val="006F1067"/>
    <w:rsid w:val="006F2A5E"/>
    <w:rsid w:val="006F3415"/>
    <w:rsid w:val="006F357D"/>
    <w:rsid w:val="006F403D"/>
    <w:rsid w:val="006F40B1"/>
    <w:rsid w:val="006F48FD"/>
    <w:rsid w:val="00700517"/>
    <w:rsid w:val="00700C30"/>
    <w:rsid w:val="00700D75"/>
    <w:rsid w:val="00703EC9"/>
    <w:rsid w:val="00704B97"/>
    <w:rsid w:val="007063C7"/>
    <w:rsid w:val="007073E7"/>
    <w:rsid w:val="00710C98"/>
    <w:rsid w:val="00711668"/>
    <w:rsid w:val="00715270"/>
    <w:rsid w:val="00720171"/>
    <w:rsid w:val="0072079E"/>
    <w:rsid w:val="00722C6E"/>
    <w:rsid w:val="00722C75"/>
    <w:rsid w:val="00724DC6"/>
    <w:rsid w:val="00727CEF"/>
    <w:rsid w:val="00733C0C"/>
    <w:rsid w:val="00733C2D"/>
    <w:rsid w:val="00737093"/>
    <w:rsid w:val="00740729"/>
    <w:rsid w:val="00741A0D"/>
    <w:rsid w:val="007442BC"/>
    <w:rsid w:val="00744D61"/>
    <w:rsid w:val="00745370"/>
    <w:rsid w:val="00746D7E"/>
    <w:rsid w:val="00750D5E"/>
    <w:rsid w:val="00751264"/>
    <w:rsid w:val="007516B5"/>
    <w:rsid w:val="007524D0"/>
    <w:rsid w:val="00752B4A"/>
    <w:rsid w:val="0075322D"/>
    <w:rsid w:val="007560A3"/>
    <w:rsid w:val="007610E9"/>
    <w:rsid w:val="00761634"/>
    <w:rsid w:val="00761B2E"/>
    <w:rsid w:val="0076247F"/>
    <w:rsid w:val="00762C7F"/>
    <w:rsid w:val="00763276"/>
    <w:rsid w:val="007640FB"/>
    <w:rsid w:val="00764874"/>
    <w:rsid w:val="00765643"/>
    <w:rsid w:val="00767B5B"/>
    <w:rsid w:val="00771C67"/>
    <w:rsid w:val="0077322A"/>
    <w:rsid w:val="00777A0C"/>
    <w:rsid w:val="00777E17"/>
    <w:rsid w:val="00780DBF"/>
    <w:rsid w:val="007848F1"/>
    <w:rsid w:val="0078542B"/>
    <w:rsid w:val="00786B29"/>
    <w:rsid w:val="00790095"/>
    <w:rsid w:val="00792FEE"/>
    <w:rsid w:val="00793F36"/>
    <w:rsid w:val="007944DE"/>
    <w:rsid w:val="00795A19"/>
    <w:rsid w:val="0079616F"/>
    <w:rsid w:val="007A1033"/>
    <w:rsid w:val="007A1072"/>
    <w:rsid w:val="007A14BB"/>
    <w:rsid w:val="007A1E85"/>
    <w:rsid w:val="007B054B"/>
    <w:rsid w:val="007B2299"/>
    <w:rsid w:val="007B34D9"/>
    <w:rsid w:val="007B3FC8"/>
    <w:rsid w:val="007B5976"/>
    <w:rsid w:val="007C192B"/>
    <w:rsid w:val="007C1B56"/>
    <w:rsid w:val="007C3457"/>
    <w:rsid w:val="007C3C1D"/>
    <w:rsid w:val="007C4C9B"/>
    <w:rsid w:val="007C4D25"/>
    <w:rsid w:val="007C618C"/>
    <w:rsid w:val="007D1ACF"/>
    <w:rsid w:val="007D1EED"/>
    <w:rsid w:val="007D2107"/>
    <w:rsid w:val="007D272C"/>
    <w:rsid w:val="007D2FA0"/>
    <w:rsid w:val="007E2571"/>
    <w:rsid w:val="007E4510"/>
    <w:rsid w:val="007E4864"/>
    <w:rsid w:val="007E4A30"/>
    <w:rsid w:val="007F38F2"/>
    <w:rsid w:val="007F3D57"/>
    <w:rsid w:val="007F5627"/>
    <w:rsid w:val="0080074E"/>
    <w:rsid w:val="008026F9"/>
    <w:rsid w:val="00805AB8"/>
    <w:rsid w:val="00805CB4"/>
    <w:rsid w:val="008076EA"/>
    <w:rsid w:val="0081079C"/>
    <w:rsid w:val="008116EB"/>
    <w:rsid w:val="00811FA0"/>
    <w:rsid w:val="00813345"/>
    <w:rsid w:val="00813A08"/>
    <w:rsid w:val="00813A36"/>
    <w:rsid w:val="008166CE"/>
    <w:rsid w:val="00816F06"/>
    <w:rsid w:val="008175CE"/>
    <w:rsid w:val="0082064B"/>
    <w:rsid w:val="00821980"/>
    <w:rsid w:val="0082351A"/>
    <w:rsid w:val="008256D1"/>
    <w:rsid w:val="00826B63"/>
    <w:rsid w:val="00827195"/>
    <w:rsid w:val="00827BE6"/>
    <w:rsid w:val="008322D2"/>
    <w:rsid w:val="008340D4"/>
    <w:rsid w:val="008377F6"/>
    <w:rsid w:val="008379ED"/>
    <w:rsid w:val="0084548F"/>
    <w:rsid w:val="00846C36"/>
    <w:rsid w:val="008479AB"/>
    <w:rsid w:val="00847DBE"/>
    <w:rsid w:val="00852B9E"/>
    <w:rsid w:val="0085393F"/>
    <w:rsid w:val="00855D23"/>
    <w:rsid w:val="008562FA"/>
    <w:rsid w:val="00860550"/>
    <w:rsid w:val="00860C58"/>
    <w:rsid w:val="0086190C"/>
    <w:rsid w:val="0086211A"/>
    <w:rsid w:val="00863934"/>
    <w:rsid w:val="00863F00"/>
    <w:rsid w:val="00864A80"/>
    <w:rsid w:val="00866BD1"/>
    <w:rsid w:val="00871658"/>
    <w:rsid w:val="00872DE1"/>
    <w:rsid w:val="0087464F"/>
    <w:rsid w:val="00880FEA"/>
    <w:rsid w:val="00883AE2"/>
    <w:rsid w:val="0088428B"/>
    <w:rsid w:val="0089208C"/>
    <w:rsid w:val="00893ADD"/>
    <w:rsid w:val="008971E2"/>
    <w:rsid w:val="008A07F2"/>
    <w:rsid w:val="008A1C1F"/>
    <w:rsid w:val="008A1F12"/>
    <w:rsid w:val="008A393E"/>
    <w:rsid w:val="008A3DF0"/>
    <w:rsid w:val="008A411B"/>
    <w:rsid w:val="008A68EC"/>
    <w:rsid w:val="008A735B"/>
    <w:rsid w:val="008A7BD3"/>
    <w:rsid w:val="008B04EB"/>
    <w:rsid w:val="008B080F"/>
    <w:rsid w:val="008B7BFF"/>
    <w:rsid w:val="008C0CC1"/>
    <w:rsid w:val="008C2876"/>
    <w:rsid w:val="008C34B1"/>
    <w:rsid w:val="008C3583"/>
    <w:rsid w:val="008C554E"/>
    <w:rsid w:val="008D07E1"/>
    <w:rsid w:val="008D2097"/>
    <w:rsid w:val="008E287E"/>
    <w:rsid w:val="008E47F2"/>
    <w:rsid w:val="008E4A58"/>
    <w:rsid w:val="008E54FB"/>
    <w:rsid w:val="008E6051"/>
    <w:rsid w:val="008E760E"/>
    <w:rsid w:val="008F0DD1"/>
    <w:rsid w:val="008F296E"/>
    <w:rsid w:val="008F4169"/>
    <w:rsid w:val="008F62C2"/>
    <w:rsid w:val="008F6CC3"/>
    <w:rsid w:val="008F7825"/>
    <w:rsid w:val="00901193"/>
    <w:rsid w:val="0090223B"/>
    <w:rsid w:val="00903A85"/>
    <w:rsid w:val="00906EE2"/>
    <w:rsid w:val="00907541"/>
    <w:rsid w:val="00910D15"/>
    <w:rsid w:val="00911A75"/>
    <w:rsid w:val="00912DFA"/>
    <w:rsid w:val="00913388"/>
    <w:rsid w:val="009154D2"/>
    <w:rsid w:val="009168B1"/>
    <w:rsid w:val="00920818"/>
    <w:rsid w:val="0092187B"/>
    <w:rsid w:val="00923460"/>
    <w:rsid w:val="00926778"/>
    <w:rsid w:val="009317EE"/>
    <w:rsid w:val="00934B0C"/>
    <w:rsid w:val="00935850"/>
    <w:rsid w:val="00943357"/>
    <w:rsid w:val="00946F6C"/>
    <w:rsid w:val="00947DED"/>
    <w:rsid w:val="00953C2E"/>
    <w:rsid w:val="0095430A"/>
    <w:rsid w:val="00955508"/>
    <w:rsid w:val="00955B83"/>
    <w:rsid w:val="009625CF"/>
    <w:rsid w:val="009643F3"/>
    <w:rsid w:val="00964764"/>
    <w:rsid w:val="00965591"/>
    <w:rsid w:val="0096636E"/>
    <w:rsid w:val="009671F3"/>
    <w:rsid w:val="00970279"/>
    <w:rsid w:val="009708E7"/>
    <w:rsid w:val="00970E66"/>
    <w:rsid w:val="00971920"/>
    <w:rsid w:val="00972451"/>
    <w:rsid w:val="00973CF0"/>
    <w:rsid w:val="0097511A"/>
    <w:rsid w:val="00976E74"/>
    <w:rsid w:val="0097711C"/>
    <w:rsid w:val="0097733B"/>
    <w:rsid w:val="0097792A"/>
    <w:rsid w:val="00984E45"/>
    <w:rsid w:val="00986CBE"/>
    <w:rsid w:val="00987034"/>
    <w:rsid w:val="009912CD"/>
    <w:rsid w:val="00992643"/>
    <w:rsid w:val="00993224"/>
    <w:rsid w:val="00993CB7"/>
    <w:rsid w:val="0099420D"/>
    <w:rsid w:val="009946ED"/>
    <w:rsid w:val="009965F3"/>
    <w:rsid w:val="00996753"/>
    <w:rsid w:val="00996FBD"/>
    <w:rsid w:val="009A07C4"/>
    <w:rsid w:val="009A1A67"/>
    <w:rsid w:val="009A2568"/>
    <w:rsid w:val="009A59C0"/>
    <w:rsid w:val="009A6D30"/>
    <w:rsid w:val="009A79D6"/>
    <w:rsid w:val="009B324B"/>
    <w:rsid w:val="009B4084"/>
    <w:rsid w:val="009B5F3E"/>
    <w:rsid w:val="009B6C0E"/>
    <w:rsid w:val="009B73D0"/>
    <w:rsid w:val="009C0C11"/>
    <w:rsid w:val="009C462D"/>
    <w:rsid w:val="009C4C1A"/>
    <w:rsid w:val="009D2044"/>
    <w:rsid w:val="009D2E76"/>
    <w:rsid w:val="009D38FF"/>
    <w:rsid w:val="009D61D9"/>
    <w:rsid w:val="009D67BC"/>
    <w:rsid w:val="009E097A"/>
    <w:rsid w:val="009E0C54"/>
    <w:rsid w:val="009E2463"/>
    <w:rsid w:val="009E2E5E"/>
    <w:rsid w:val="009E4EE0"/>
    <w:rsid w:val="009E61BE"/>
    <w:rsid w:val="009E7C40"/>
    <w:rsid w:val="009F0864"/>
    <w:rsid w:val="009F1A0E"/>
    <w:rsid w:val="009F343D"/>
    <w:rsid w:val="009F44E7"/>
    <w:rsid w:val="009F4D29"/>
    <w:rsid w:val="009F5C93"/>
    <w:rsid w:val="00A00F0D"/>
    <w:rsid w:val="00A045AC"/>
    <w:rsid w:val="00A058DB"/>
    <w:rsid w:val="00A05B45"/>
    <w:rsid w:val="00A064D0"/>
    <w:rsid w:val="00A12833"/>
    <w:rsid w:val="00A21621"/>
    <w:rsid w:val="00A24052"/>
    <w:rsid w:val="00A2477C"/>
    <w:rsid w:val="00A24BB9"/>
    <w:rsid w:val="00A26FC7"/>
    <w:rsid w:val="00A27AE9"/>
    <w:rsid w:val="00A3141F"/>
    <w:rsid w:val="00A32053"/>
    <w:rsid w:val="00A331BB"/>
    <w:rsid w:val="00A34720"/>
    <w:rsid w:val="00A35FFE"/>
    <w:rsid w:val="00A377B7"/>
    <w:rsid w:val="00A378C7"/>
    <w:rsid w:val="00A431F3"/>
    <w:rsid w:val="00A47CCC"/>
    <w:rsid w:val="00A50F29"/>
    <w:rsid w:val="00A51E69"/>
    <w:rsid w:val="00A53D2B"/>
    <w:rsid w:val="00A55FB0"/>
    <w:rsid w:val="00A60B70"/>
    <w:rsid w:val="00A621CF"/>
    <w:rsid w:val="00A62E58"/>
    <w:rsid w:val="00A652A6"/>
    <w:rsid w:val="00A65309"/>
    <w:rsid w:val="00A67E9D"/>
    <w:rsid w:val="00A70457"/>
    <w:rsid w:val="00A706A7"/>
    <w:rsid w:val="00A73A74"/>
    <w:rsid w:val="00A74278"/>
    <w:rsid w:val="00A74524"/>
    <w:rsid w:val="00A83853"/>
    <w:rsid w:val="00A9134B"/>
    <w:rsid w:val="00A96B07"/>
    <w:rsid w:val="00A97B53"/>
    <w:rsid w:val="00AA160A"/>
    <w:rsid w:val="00AA7966"/>
    <w:rsid w:val="00AA7EEF"/>
    <w:rsid w:val="00AB115E"/>
    <w:rsid w:val="00AB5EBA"/>
    <w:rsid w:val="00AB6284"/>
    <w:rsid w:val="00AB6BC5"/>
    <w:rsid w:val="00AC047B"/>
    <w:rsid w:val="00AC167C"/>
    <w:rsid w:val="00AC3520"/>
    <w:rsid w:val="00AC6525"/>
    <w:rsid w:val="00AC6A6D"/>
    <w:rsid w:val="00AD0AFA"/>
    <w:rsid w:val="00AD0D4D"/>
    <w:rsid w:val="00AD11F4"/>
    <w:rsid w:val="00AD283B"/>
    <w:rsid w:val="00AD2DFD"/>
    <w:rsid w:val="00AD3302"/>
    <w:rsid w:val="00AD38D4"/>
    <w:rsid w:val="00AD46E3"/>
    <w:rsid w:val="00AE2A45"/>
    <w:rsid w:val="00AE2BF9"/>
    <w:rsid w:val="00AE42E2"/>
    <w:rsid w:val="00AE4DFA"/>
    <w:rsid w:val="00AE565D"/>
    <w:rsid w:val="00AE7526"/>
    <w:rsid w:val="00AE758A"/>
    <w:rsid w:val="00AF005D"/>
    <w:rsid w:val="00AF1EA7"/>
    <w:rsid w:val="00AF2471"/>
    <w:rsid w:val="00AF4683"/>
    <w:rsid w:val="00B00175"/>
    <w:rsid w:val="00B00375"/>
    <w:rsid w:val="00B0334A"/>
    <w:rsid w:val="00B03F7E"/>
    <w:rsid w:val="00B0474F"/>
    <w:rsid w:val="00B04C15"/>
    <w:rsid w:val="00B07982"/>
    <w:rsid w:val="00B14624"/>
    <w:rsid w:val="00B150CC"/>
    <w:rsid w:val="00B15959"/>
    <w:rsid w:val="00B179AD"/>
    <w:rsid w:val="00B17F50"/>
    <w:rsid w:val="00B210EA"/>
    <w:rsid w:val="00B2176B"/>
    <w:rsid w:val="00B2343D"/>
    <w:rsid w:val="00B27019"/>
    <w:rsid w:val="00B27873"/>
    <w:rsid w:val="00B30004"/>
    <w:rsid w:val="00B33317"/>
    <w:rsid w:val="00B3460C"/>
    <w:rsid w:val="00B357B6"/>
    <w:rsid w:val="00B36319"/>
    <w:rsid w:val="00B369CD"/>
    <w:rsid w:val="00B44813"/>
    <w:rsid w:val="00B4544C"/>
    <w:rsid w:val="00B474AC"/>
    <w:rsid w:val="00B5314E"/>
    <w:rsid w:val="00B5372B"/>
    <w:rsid w:val="00B5385F"/>
    <w:rsid w:val="00B54567"/>
    <w:rsid w:val="00B54FAE"/>
    <w:rsid w:val="00B578FD"/>
    <w:rsid w:val="00B6130D"/>
    <w:rsid w:val="00B63131"/>
    <w:rsid w:val="00B63EE5"/>
    <w:rsid w:val="00B644C7"/>
    <w:rsid w:val="00B649F4"/>
    <w:rsid w:val="00B6531B"/>
    <w:rsid w:val="00B6558C"/>
    <w:rsid w:val="00B6706A"/>
    <w:rsid w:val="00B67D7C"/>
    <w:rsid w:val="00B67DCF"/>
    <w:rsid w:val="00B72FCC"/>
    <w:rsid w:val="00B74D68"/>
    <w:rsid w:val="00B769AE"/>
    <w:rsid w:val="00B773B5"/>
    <w:rsid w:val="00B776AD"/>
    <w:rsid w:val="00B80029"/>
    <w:rsid w:val="00B80FDE"/>
    <w:rsid w:val="00B82A17"/>
    <w:rsid w:val="00B838F6"/>
    <w:rsid w:val="00B83A91"/>
    <w:rsid w:val="00B84B89"/>
    <w:rsid w:val="00B903C2"/>
    <w:rsid w:val="00B94F5D"/>
    <w:rsid w:val="00B95E75"/>
    <w:rsid w:val="00B96D80"/>
    <w:rsid w:val="00B97574"/>
    <w:rsid w:val="00BA5286"/>
    <w:rsid w:val="00BA7DAE"/>
    <w:rsid w:val="00BB036B"/>
    <w:rsid w:val="00BB4173"/>
    <w:rsid w:val="00BB50C7"/>
    <w:rsid w:val="00BB6462"/>
    <w:rsid w:val="00BB6C3C"/>
    <w:rsid w:val="00BB6E9A"/>
    <w:rsid w:val="00BB7679"/>
    <w:rsid w:val="00BB7988"/>
    <w:rsid w:val="00BC2A71"/>
    <w:rsid w:val="00BC48E9"/>
    <w:rsid w:val="00BD1F72"/>
    <w:rsid w:val="00BD416D"/>
    <w:rsid w:val="00BD42AF"/>
    <w:rsid w:val="00BD51DA"/>
    <w:rsid w:val="00BE2CD7"/>
    <w:rsid w:val="00BE3503"/>
    <w:rsid w:val="00BE381A"/>
    <w:rsid w:val="00BE532F"/>
    <w:rsid w:val="00BE5986"/>
    <w:rsid w:val="00BE62F6"/>
    <w:rsid w:val="00BE7446"/>
    <w:rsid w:val="00BE7AE8"/>
    <w:rsid w:val="00BF157A"/>
    <w:rsid w:val="00BF2749"/>
    <w:rsid w:val="00BF27D4"/>
    <w:rsid w:val="00BF2E80"/>
    <w:rsid w:val="00BF2E97"/>
    <w:rsid w:val="00BF519E"/>
    <w:rsid w:val="00BF5317"/>
    <w:rsid w:val="00BF7FA1"/>
    <w:rsid w:val="00C02031"/>
    <w:rsid w:val="00C02E85"/>
    <w:rsid w:val="00C03C75"/>
    <w:rsid w:val="00C0486A"/>
    <w:rsid w:val="00C05842"/>
    <w:rsid w:val="00C10D78"/>
    <w:rsid w:val="00C122D9"/>
    <w:rsid w:val="00C12D1D"/>
    <w:rsid w:val="00C1305C"/>
    <w:rsid w:val="00C1522B"/>
    <w:rsid w:val="00C154B1"/>
    <w:rsid w:val="00C15C59"/>
    <w:rsid w:val="00C20704"/>
    <w:rsid w:val="00C21ED4"/>
    <w:rsid w:val="00C225CC"/>
    <w:rsid w:val="00C22EEC"/>
    <w:rsid w:val="00C27AC7"/>
    <w:rsid w:val="00C30119"/>
    <w:rsid w:val="00C30752"/>
    <w:rsid w:val="00C30D5C"/>
    <w:rsid w:val="00C324AD"/>
    <w:rsid w:val="00C3489D"/>
    <w:rsid w:val="00C359A4"/>
    <w:rsid w:val="00C35BE3"/>
    <w:rsid w:val="00C36F28"/>
    <w:rsid w:val="00C376E4"/>
    <w:rsid w:val="00C424A1"/>
    <w:rsid w:val="00C436F7"/>
    <w:rsid w:val="00C4372C"/>
    <w:rsid w:val="00C45D21"/>
    <w:rsid w:val="00C46115"/>
    <w:rsid w:val="00C4651E"/>
    <w:rsid w:val="00C47141"/>
    <w:rsid w:val="00C509A4"/>
    <w:rsid w:val="00C50FA0"/>
    <w:rsid w:val="00C56554"/>
    <w:rsid w:val="00C60C46"/>
    <w:rsid w:val="00C6183A"/>
    <w:rsid w:val="00C6246C"/>
    <w:rsid w:val="00C6427B"/>
    <w:rsid w:val="00C649C2"/>
    <w:rsid w:val="00C65547"/>
    <w:rsid w:val="00C70434"/>
    <w:rsid w:val="00C72698"/>
    <w:rsid w:val="00C74069"/>
    <w:rsid w:val="00C7487B"/>
    <w:rsid w:val="00C767CF"/>
    <w:rsid w:val="00C76DDE"/>
    <w:rsid w:val="00C8103E"/>
    <w:rsid w:val="00C8191A"/>
    <w:rsid w:val="00C82227"/>
    <w:rsid w:val="00C8276E"/>
    <w:rsid w:val="00C85BF7"/>
    <w:rsid w:val="00C90203"/>
    <w:rsid w:val="00C91064"/>
    <w:rsid w:val="00C91248"/>
    <w:rsid w:val="00C919D2"/>
    <w:rsid w:val="00C94AA5"/>
    <w:rsid w:val="00CA0BC4"/>
    <w:rsid w:val="00CA339B"/>
    <w:rsid w:val="00CA39AE"/>
    <w:rsid w:val="00CA3D49"/>
    <w:rsid w:val="00CA40B5"/>
    <w:rsid w:val="00CA45CE"/>
    <w:rsid w:val="00CA5403"/>
    <w:rsid w:val="00CA5868"/>
    <w:rsid w:val="00CA5AA1"/>
    <w:rsid w:val="00CB3B9C"/>
    <w:rsid w:val="00CB3BE4"/>
    <w:rsid w:val="00CB5273"/>
    <w:rsid w:val="00CB53FD"/>
    <w:rsid w:val="00CB771C"/>
    <w:rsid w:val="00CC0B0F"/>
    <w:rsid w:val="00CC6616"/>
    <w:rsid w:val="00CC6B0E"/>
    <w:rsid w:val="00CC7074"/>
    <w:rsid w:val="00CC7148"/>
    <w:rsid w:val="00CD1DA2"/>
    <w:rsid w:val="00CD5095"/>
    <w:rsid w:val="00CD7C87"/>
    <w:rsid w:val="00CE0896"/>
    <w:rsid w:val="00CE0DBE"/>
    <w:rsid w:val="00CE0E6B"/>
    <w:rsid w:val="00CE1B12"/>
    <w:rsid w:val="00CE7481"/>
    <w:rsid w:val="00CE7977"/>
    <w:rsid w:val="00CF00BC"/>
    <w:rsid w:val="00CF148B"/>
    <w:rsid w:val="00CF2C8B"/>
    <w:rsid w:val="00CF4445"/>
    <w:rsid w:val="00CF4FAE"/>
    <w:rsid w:val="00CF6612"/>
    <w:rsid w:val="00CF70C7"/>
    <w:rsid w:val="00D00DCB"/>
    <w:rsid w:val="00D03E6A"/>
    <w:rsid w:val="00D05634"/>
    <w:rsid w:val="00D065E1"/>
    <w:rsid w:val="00D076A2"/>
    <w:rsid w:val="00D104B7"/>
    <w:rsid w:val="00D1115A"/>
    <w:rsid w:val="00D13D31"/>
    <w:rsid w:val="00D1401E"/>
    <w:rsid w:val="00D144C0"/>
    <w:rsid w:val="00D16587"/>
    <w:rsid w:val="00D21337"/>
    <w:rsid w:val="00D223D1"/>
    <w:rsid w:val="00D22A11"/>
    <w:rsid w:val="00D22D35"/>
    <w:rsid w:val="00D23B63"/>
    <w:rsid w:val="00D25644"/>
    <w:rsid w:val="00D25B15"/>
    <w:rsid w:val="00D26DB9"/>
    <w:rsid w:val="00D31089"/>
    <w:rsid w:val="00D3259B"/>
    <w:rsid w:val="00D342F3"/>
    <w:rsid w:val="00D40E3B"/>
    <w:rsid w:val="00D4201B"/>
    <w:rsid w:val="00D425BA"/>
    <w:rsid w:val="00D42EC7"/>
    <w:rsid w:val="00D43380"/>
    <w:rsid w:val="00D45420"/>
    <w:rsid w:val="00D4561D"/>
    <w:rsid w:val="00D46273"/>
    <w:rsid w:val="00D51A0B"/>
    <w:rsid w:val="00D528C4"/>
    <w:rsid w:val="00D5454C"/>
    <w:rsid w:val="00D57285"/>
    <w:rsid w:val="00D5745D"/>
    <w:rsid w:val="00D57568"/>
    <w:rsid w:val="00D63140"/>
    <w:rsid w:val="00D6585E"/>
    <w:rsid w:val="00D73A1E"/>
    <w:rsid w:val="00D82643"/>
    <w:rsid w:val="00D826B0"/>
    <w:rsid w:val="00D8342F"/>
    <w:rsid w:val="00D84F5A"/>
    <w:rsid w:val="00D907B8"/>
    <w:rsid w:val="00D91DCE"/>
    <w:rsid w:val="00D9586A"/>
    <w:rsid w:val="00D959FE"/>
    <w:rsid w:val="00D96E34"/>
    <w:rsid w:val="00DA2789"/>
    <w:rsid w:val="00DA3892"/>
    <w:rsid w:val="00DA473D"/>
    <w:rsid w:val="00DB291A"/>
    <w:rsid w:val="00DC1DF1"/>
    <w:rsid w:val="00DC1EA1"/>
    <w:rsid w:val="00DC38A3"/>
    <w:rsid w:val="00DD0F2B"/>
    <w:rsid w:val="00DD20F1"/>
    <w:rsid w:val="00DD2F4D"/>
    <w:rsid w:val="00DD3259"/>
    <w:rsid w:val="00DD60D2"/>
    <w:rsid w:val="00DE0E46"/>
    <w:rsid w:val="00DE1604"/>
    <w:rsid w:val="00DE2BA7"/>
    <w:rsid w:val="00DE3B37"/>
    <w:rsid w:val="00DE46AE"/>
    <w:rsid w:val="00DF0431"/>
    <w:rsid w:val="00DF4854"/>
    <w:rsid w:val="00DF5E15"/>
    <w:rsid w:val="00DF706F"/>
    <w:rsid w:val="00DF747E"/>
    <w:rsid w:val="00E021B8"/>
    <w:rsid w:val="00E028F2"/>
    <w:rsid w:val="00E03629"/>
    <w:rsid w:val="00E05405"/>
    <w:rsid w:val="00E1146A"/>
    <w:rsid w:val="00E13A75"/>
    <w:rsid w:val="00E16B8F"/>
    <w:rsid w:val="00E2168A"/>
    <w:rsid w:val="00E23D0B"/>
    <w:rsid w:val="00E24014"/>
    <w:rsid w:val="00E274F6"/>
    <w:rsid w:val="00E27DC3"/>
    <w:rsid w:val="00E27F1B"/>
    <w:rsid w:val="00E301B8"/>
    <w:rsid w:val="00E31673"/>
    <w:rsid w:val="00E32147"/>
    <w:rsid w:val="00E325ED"/>
    <w:rsid w:val="00E344AB"/>
    <w:rsid w:val="00E34B6A"/>
    <w:rsid w:val="00E37122"/>
    <w:rsid w:val="00E417F0"/>
    <w:rsid w:val="00E44503"/>
    <w:rsid w:val="00E44900"/>
    <w:rsid w:val="00E45715"/>
    <w:rsid w:val="00E47089"/>
    <w:rsid w:val="00E558CE"/>
    <w:rsid w:val="00E55E64"/>
    <w:rsid w:val="00E55ECE"/>
    <w:rsid w:val="00E63437"/>
    <w:rsid w:val="00E638F6"/>
    <w:rsid w:val="00E63B64"/>
    <w:rsid w:val="00E647A4"/>
    <w:rsid w:val="00E66080"/>
    <w:rsid w:val="00E71B82"/>
    <w:rsid w:val="00E71EFF"/>
    <w:rsid w:val="00E750B5"/>
    <w:rsid w:val="00E760E2"/>
    <w:rsid w:val="00E776BB"/>
    <w:rsid w:val="00E827FD"/>
    <w:rsid w:val="00E82BC7"/>
    <w:rsid w:val="00E83801"/>
    <w:rsid w:val="00E878D6"/>
    <w:rsid w:val="00E93783"/>
    <w:rsid w:val="00E94954"/>
    <w:rsid w:val="00EA046B"/>
    <w:rsid w:val="00EA1249"/>
    <w:rsid w:val="00EA18D1"/>
    <w:rsid w:val="00EA3F2F"/>
    <w:rsid w:val="00EA4649"/>
    <w:rsid w:val="00EA62D2"/>
    <w:rsid w:val="00EA659F"/>
    <w:rsid w:val="00EA6620"/>
    <w:rsid w:val="00EA6B57"/>
    <w:rsid w:val="00EA781E"/>
    <w:rsid w:val="00EB2F6B"/>
    <w:rsid w:val="00EB3B37"/>
    <w:rsid w:val="00EB5DBC"/>
    <w:rsid w:val="00EB6774"/>
    <w:rsid w:val="00EB777C"/>
    <w:rsid w:val="00EC2B99"/>
    <w:rsid w:val="00EC3812"/>
    <w:rsid w:val="00EC4CE5"/>
    <w:rsid w:val="00EC5044"/>
    <w:rsid w:val="00EC6213"/>
    <w:rsid w:val="00EC69AA"/>
    <w:rsid w:val="00ED1E59"/>
    <w:rsid w:val="00ED3C30"/>
    <w:rsid w:val="00ED5044"/>
    <w:rsid w:val="00ED54A0"/>
    <w:rsid w:val="00ED6954"/>
    <w:rsid w:val="00ED7805"/>
    <w:rsid w:val="00EE0EAC"/>
    <w:rsid w:val="00EE1056"/>
    <w:rsid w:val="00EE1A7B"/>
    <w:rsid w:val="00EE1B76"/>
    <w:rsid w:val="00EE2ACD"/>
    <w:rsid w:val="00EE303D"/>
    <w:rsid w:val="00EE3084"/>
    <w:rsid w:val="00EE3BE2"/>
    <w:rsid w:val="00EE41FB"/>
    <w:rsid w:val="00EE6747"/>
    <w:rsid w:val="00EE6C77"/>
    <w:rsid w:val="00EE7650"/>
    <w:rsid w:val="00EE7A59"/>
    <w:rsid w:val="00EF085F"/>
    <w:rsid w:val="00EF181D"/>
    <w:rsid w:val="00EF25B2"/>
    <w:rsid w:val="00EF3013"/>
    <w:rsid w:val="00EF35AA"/>
    <w:rsid w:val="00EF3841"/>
    <w:rsid w:val="00F05DD5"/>
    <w:rsid w:val="00F063C9"/>
    <w:rsid w:val="00F11508"/>
    <w:rsid w:val="00F138A6"/>
    <w:rsid w:val="00F176A3"/>
    <w:rsid w:val="00F24999"/>
    <w:rsid w:val="00F254F0"/>
    <w:rsid w:val="00F2716B"/>
    <w:rsid w:val="00F274D6"/>
    <w:rsid w:val="00F27D3C"/>
    <w:rsid w:val="00F30A61"/>
    <w:rsid w:val="00F3264F"/>
    <w:rsid w:val="00F328D7"/>
    <w:rsid w:val="00F3407E"/>
    <w:rsid w:val="00F35770"/>
    <w:rsid w:val="00F37C71"/>
    <w:rsid w:val="00F400EB"/>
    <w:rsid w:val="00F42628"/>
    <w:rsid w:val="00F431FB"/>
    <w:rsid w:val="00F4450B"/>
    <w:rsid w:val="00F445A9"/>
    <w:rsid w:val="00F46C1A"/>
    <w:rsid w:val="00F51667"/>
    <w:rsid w:val="00F5500E"/>
    <w:rsid w:val="00F558E5"/>
    <w:rsid w:val="00F579DA"/>
    <w:rsid w:val="00F579E0"/>
    <w:rsid w:val="00F62470"/>
    <w:rsid w:val="00F634B8"/>
    <w:rsid w:val="00F63FDB"/>
    <w:rsid w:val="00F641F8"/>
    <w:rsid w:val="00F65D9E"/>
    <w:rsid w:val="00F67AD8"/>
    <w:rsid w:val="00F70A08"/>
    <w:rsid w:val="00F70A3A"/>
    <w:rsid w:val="00F71A29"/>
    <w:rsid w:val="00F7218D"/>
    <w:rsid w:val="00F7227E"/>
    <w:rsid w:val="00F77310"/>
    <w:rsid w:val="00F7794F"/>
    <w:rsid w:val="00F80C68"/>
    <w:rsid w:val="00F81141"/>
    <w:rsid w:val="00F81A7C"/>
    <w:rsid w:val="00F84263"/>
    <w:rsid w:val="00F87DBE"/>
    <w:rsid w:val="00F9174A"/>
    <w:rsid w:val="00F91A74"/>
    <w:rsid w:val="00F945CB"/>
    <w:rsid w:val="00F94849"/>
    <w:rsid w:val="00F95EB1"/>
    <w:rsid w:val="00F96411"/>
    <w:rsid w:val="00FA1A29"/>
    <w:rsid w:val="00FA3A13"/>
    <w:rsid w:val="00FA40D0"/>
    <w:rsid w:val="00FA6D7B"/>
    <w:rsid w:val="00FA7582"/>
    <w:rsid w:val="00FB1799"/>
    <w:rsid w:val="00FB2425"/>
    <w:rsid w:val="00FB2D16"/>
    <w:rsid w:val="00FB6A1C"/>
    <w:rsid w:val="00FC1CD5"/>
    <w:rsid w:val="00FC208C"/>
    <w:rsid w:val="00FC2D7E"/>
    <w:rsid w:val="00FC4B43"/>
    <w:rsid w:val="00FD070D"/>
    <w:rsid w:val="00FD0EF3"/>
    <w:rsid w:val="00FD0FBC"/>
    <w:rsid w:val="00FD1B7D"/>
    <w:rsid w:val="00FD29AD"/>
    <w:rsid w:val="00FD2D61"/>
    <w:rsid w:val="00FD3A94"/>
    <w:rsid w:val="00FD4403"/>
    <w:rsid w:val="00FD5A08"/>
    <w:rsid w:val="00FD7B03"/>
    <w:rsid w:val="00FD7EE3"/>
    <w:rsid w:val="00FE06B0"/>
    <w:rsid w:val="00FE1257"/>
    <w:rsid w:val="00FE3157"/>
    <w:rsid w:val="00FE3174"/>
    <w:rsid w:val="00FE3FBC"/>
    <w:rsid w:val="00FE5CB8"/>
    <w:rsid w:val="00FE7F0D"/>
    <w:rsid w:val="00FF0B29"/>
    <w:rsid w:val="00FF2094"/>
    <w:rsid w:val="00FF2694"/>
    <w:rsid w:val="00FF2E4D"/>
    <w:rsid w:val="00FF4BFF"/>
    <w:rsid w:val="00FF4EAB"/>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A6F6"/>
  <w15:chartTrackingRefBased/>
  <w15:docId w15:val="{931138B8-9CAA-41B6-AE68-EF8F451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Revision">
    <w:name w:val="Revision"/>
    <w:hidden/>
    <w:uiPriority w:val="99"/>
    <w:semiHidden/>
    <w:rsid w:val="00DF0431"/>
    <w:rPr>
      <w:rFonts w:ascii="Calibri" w:eastAsia="Times New Roman" w:hAnsi="Calibri" w:cs="Times New Roman"/>
      <w:sz w:val="22"/>
      <w:szCs w:val="22"/>
    </w:rPr>
  </w:style>
  <w:style w:type="character" w:styleId="Hyperlink">
    <w:name w:val="Hyperlink"/>
    <w:basedOn w:val="DefaultParagraphFont"/>
    <w:uiPriority w:val="99"/>
    <w:unhideWhenUsed/>
    <w:rsid w:val="002417A8"/>
    <w:rPr>
      <w:color w:val="0563C1" w:themeColor="hyperlink"/>
      <w:u w:val="single"/>
    </w:rPr>
  </w:style>
  <w:style w:type="character" w:styleId="UnresolvedMention">
    <w:name w:val="Unresolved Mention"/>
    <w:basedOn w:val="DefaultParagraphFont"/>
    <w:uiPriority w:val="99"/>
    <w:rsid w:val="002417A8"/>
    <w:rPr>
      <w:color w:val="605E5C"/>
      <w:shd w:val="clear" w:color="auto" w:fill="E1DFDD"/>
    </w:rPr>
  </w:style>
  <w:style w:type="paragraph" w:styleId="EndnoteText">
    <w:name w:val="endnote text"/>
    <w:basedOn w:val="Normal"/>
    <w:link w:val="EndnoteTextChar"/>
    <w:uiPriority w:val="99"/>
    <w:semiHidden/>
    <w:unhideWhenUsed/>
    <w:rsid w:val="0024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7A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417A8"/>
    <w:rPr>
      <w:vertAlign w:val="superscript"/>
    </w:rPr>
  </w:style>
  <w:style w:type="paragraph" w:styleId="FootnoteText">
    <w:name w:val="footnote text"/>
    <w:basedOn w:val="Normal"/>
    <w:link w:val="FootnoteTextChar"/>
    <w:uiPriority w:val="99"/>
    <w:semiHidden/>
    <w:unhideWhenUsed/>
    <w:rsid w:val="00D9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B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907B8"/>
    <w:rPr>
      <w:vertAlign w:val="superscript"/>
    </w:rPr>
  </w:style>
  <w:style w:type="paragraph" w:styleId="NormalWeb">
    <w:name w:val="Normal (Web)"/>
    <w:basedOn w:val="Normal"/>
    <w:uiPriority w:val="99"/>
    <w:unhideWhenUsed/>
    <w:rsid w:val="005454B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53C2E"/>
    <w:rPr>
      <w:color w:val="954F72" w:themeColor="followedHyperlink"/>
      <w:u w:val="single"/>
    </w:rPr>
  </w:style>
  <w:style w:type="paragraph" w:styleId="ListParagraph">
    <w:name w:val="List Paragraph"/>
    <w:basedOn w:val="Normal"/>
    <w:uiPriority w:val="34"/>
    <w:qFormat/>
    <w:rsid w:val="00096F2C"/>
    <w:pPr>
      <w:spacing w:after="160" w:line="25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096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7352">
      <w:bodyDiv w:val="1"/>
      <w:marLeft w:val="0"/>
      <w:marRight w:val="0"/>
      <w:marTop w:val="0"/>
      <w:marBottom w:val="0"/>
      <w:divBdr>
        <w:top w:val="none" w:sz="0" w:space="0" w:color="auto"/>
        <w:left w:val="none" w:sz="0" w:space="0" w:color="auto"/>
        <w:bottom w:val="none" w:sz="0" w:space="0" w:color="auto"/>
        <w:right w:val="none" w:sz="0" w:space="0" w:color="auto"/>
      </w:divBdr>
    </w:div>
    <w:div w:id="115216346">
      <w:bodyDiv w:val="1"/>
      <w:marLeft w:val="0"/>
      <w:marRight w:val="0"/>
      <w:marTop w:val="0"/>
      <w:marBottom w:val="0"/>
      <w:divBdr>
        <w:top w:val="none" w:sz="0" w:space="0" w:color="auto"/>
        <w:left w:val="none" w:sz="0" w:space="0" w:color="auto"/>
        <w:bottom w:val="none" w:sz="0" w:space="0" w:color="auto"/>
        <w:right w:val="none" w:sz="0" w:space="0" w:color="auto"/>
      </w:divBdr>
    </w:div>
    <w:div w:id="363949337">
      <w:bodyDiv w:val="1"/>
      <w:marLeft w:val="0"/>
      <w:marRight w:val="0"/>
      <w:marTop w:val="0"/>
      <w:marBottom w:val="0"/>
      <w:divBdr>
        <w:top w:val="none" w:sz="0" w:space="0" w:color="auto"/>
        <w:left w:val="none" w:sz="0" w:space="0" w:color="auto"/>
        <w:bottom w:val="none" w:sz="0" w:space="0" w:color="auto"/>
        <w:right w:val="none" w:sz="0" w:space="0" w:color="auto"/>
      </w:divBdr>
    </w:div>
    <w:div w:id="459348085">
      <w:bodyDiv w:val="1"/>
      <w:marLeft w:val="0"/>
      <w:marRight w:val="0"/>
      <w:marTop w:val="0"/>
      <w:marBottom w:val="0"/>
      <w:divBdr>
        <w:top w:val="none" w:sz="0" w:space="0" w:color="auto"/>
        <w:left w:val="none" w:sz="0" w:space="0" w:color="auto"/>
        <w:bottom w:val="none" w:sz="0" w:space="0" w:color="auto"/>
        <w:right w:val="none" w:sz="0" w:space="0" w:color="auto"/>
      </w:divBdr>
    </w:div>
    <w:div w:id="464810233">
      <w:bodyDiv w:val="1"/>
      <w:marLeft w:val="0"/>
      <w:marRight w:val="0"/>
      <w:marTop w:val="0"/>
      <w:marBottom w:val="0"/>
      <w:divBdr>
        <w:top w:val="none" w:sz="0" w:space="0" w:color="auto"/>
        <w:left w:val="none" w:sz="0" w:space="0" w:color="auto"/>
        <w:bottom w:val="none" w:sz="0" w:space="0" w:color="auto"/>
        <w:right w:val="none" w:sz="0" w:space="0" w:color="auto"/>
      </w:divBdr>
    </w:div>
    <w:div w:id="518081289">
      <w:bodyDiv w:val="1"/>
      <w:marLeft w:val="0"/>
      <w:marRight w:val="0"/>
      <w:marTop w:val="0"/>
      <w:marBottom w:val="0"/>
      <w:divBdr>
        <w:top w:val="none" w:sz="0" w:space="0" w:color="auto"/>
        <w:left w:val="none" w:sz="0" w:space="0" w:color="auto"/>
        <w:bottom w:val="none" w:sz="0" w:space="0" w:color="auto"/>
        <w:right w:val="none" w:sz="0" w:space="0" w:color="auto"/>
      </w:divBdr>
    </w:div>
    <w:div w:id="527523264">
      <w:bodyDiv w:val="1"/>
      <w:marLeft w:val="0"/>
      <w:marRight w:val="0"/>
      <w:marTop w:val="0"/>
      <w:marBottom w:val="0"/>
      <w:divBdr>
        <w:top w:val="none" w:sz="0" w:space="0" w:color="auto"/>
        <w:left w:val="none" w:sz="0" w:space="0" w:color="auto"/>
        <w:bottom w:val="none" w:sz="0" w:space="0" w:color="auto"/>
        <w:right w:val="none" w:sz="0" w:space="0" w:color="auto"/>
      </w:divBdr>
    </w:div>
    <w:div w:id="536770743">
      <w:bodyDiv w:val="1"/>
      <w:marLeft w:val="0"/>
      <w:marRight w:val="0"/>
      <w:marTop w:val="0"/>
      <w:marBottom w:val="0"/>
      <w:divBdr>
        <w:top w:val="none" w:sz="0" w:space="0" w:color="auto"/>
        <w:left w:val="none" w:sz="0" w:space="0" w:color="auto"/>
        <w:bottom w:val="none" w:sz="0" w:space="0" w:color="auto"/>
        <w:right w:val="none" w:sz="0" w:space="0" w:color="auto"/>
      </w:divBdr>
    </w:div>
    <w:div w:id="562375251">
      <w:bodyDiv w:val="1"/>
      <w:marLeft w:val="0"/>
      <w:marRight w:val="0"/>
      <w:marTop w:val="0"/>
      <w:marBottom w:val="0"/>
      <w:divBdr>
        <w:top w:val="none" w:sz="0" w:space="0" w:color="auto"/>
        <w:left w:val="none" w:sz="0" w:space="0" w:color="auto"/>
        <w:bottom w:val="none" w:sz="0" w:space="0" w:color="auto"/>
        <w:right w:val="none" w:sz="0" w:space="0" w:color="auto"/>
      </w:divBdr>
    </w:div>
    <w:div w:id="620453337">
      <w:bodyDiv w:val="1"/>
      <w:marLeft w:val="0"/>
      <w:marRight w:val="0"/>
      <w:marTop w:val="0"/>
      <w:marBottom w:val="0"/>
      <w:divBdr>
        <w:top w:val="none" w:sz="0" w:space="0" w:color="auto"/>
        <w:left w:val="none" w:sz="0" w:space="0" w:color="auto"/>
        <w:bottom w:val="none" w:sz="0" w:space="0" w:color="auto"/>
        <w:right w:val="none" w:sz="0" w:space="0" w:color="auto"/>
      </w:divBdr>
    </w:div>
    <w:div w:id="621880424">
      <w:bodyDiv w:val="1"/>
      <w:marLeft w:val="0"/>
      <w:marRight w:val="0"/>
      <w:marTop w:val="0"/>
      <w:marBottom w:val="0"/>
      <w:divBdr>
        <w:top w:val="none" w:sz="0" w:space="0" w:color="auto"/>
        <w:left w:val="none" w:sz="0" w:space="0" w:color="auto"/>
        <w:bottom w:val="none" w:sz="0" w:space="0" w:color="auto"/>
        <w:right w:val="none" w:sz="0" w:space="0" w:color="auto"/>
      </w:divBdr>
    </w:div>
    <w:div w:id="637416780">
      <w:bodyDiv w:val="1"/>
      <w:marLeft w:val="0"/>
      <w:marRight w:val="0"/>
      <w:marTop w:val="0"/>
      <w:marBottom w:val="0"/>
      <w:divBdr>
        <w:top w:val="none" w:sz="0" w:space="0" w:color="auto"/>
        <w:left w:val="none" w:sz="0" w:space="0" w:color="auto"/>
        <w:bottom w:val="none" w:sz="0" w:space="0" w:color="auto"/>
        <w:right w:val="none" w:sz="0" w:space="0" w:color="auto"/>
      </w:divBdr>
    </w:div>
    <w:div w:id="649141312">
      <w:bodyDiv w:val="1"/>
      <w:marLeft w:val="0"/>
      <w:marRight w:val="0"/>
      <w:marTop w:val="0"/>
      <w:marBottom w:val="0"/>
      <w:divBdr>
        <w:top w:val="none" w:sz="0" w:space="0" w:color="auto"/>
        <w:left w:val="none" w:sz="0" w:space="0" w:color="auto"/>
        <w:bottom w:val="none" w:sz="0" w:space="0" w:color="auto"/>
        <w:right w:val="none" w:sz="0" w:space="0" w:color="auto"/>
      </w:divBdr>
    </w:div>
    <w:div w:id="700087734">
      <w:bodyDiv w:val="1"/>
      <w:marLeft w:val="0"/>
      <w:marRight w:val="0"/>
      <w:marTop w:val="0"/>
      <w:marBottom w:val="0"/>
      <w:divBdr>
        <w:top w:val="none" w:sz="0" w:space="0" w:color="auto"/>
        <w:left w:val="none" w:sz="0" w:space="0" w:color="auto"/>
        <w:bottom w:val="none" w:sz="0" w:space="0" w:color="auto"/>
        <w:right w:val="none" w:sz="0" w:space="0" w:color="auto"/>
      </w:divBdr>
    </w:div>
    <w:div w:id="762799379">
      <w:bodyDiv w:val="1"/>
      <w:marLeft w:val="0"/>
      <w:marRight w:val="0"/>
      <w:marTop w:val="0"/>
      <w:marBottom w:val="0"/>
      <w:divBdr>
        <w:top w:val="none" w:sz="0" w:space="0" w:color="auto"/>
        <w:left w:val="none" w:sz="0" w:space="0" w:color="auto"/>
        <w:bottom w:val="none" w:sz="0" w:space="0" w:color="auto"/>
        <w:right w:val="none" w:sz="0" w:space="0" w:color="auto"/>
      </w:divBdr>
    </w:div>
    <w:div w:id="763494429">
      <w:bodyDiv w:val="1"/>
      <w:marLeft w:val="0"/>
      <w:marRight w:val="0"/>
      <w:marTop w:val="0"/>
      <w:marBottom w:val="0"/>
      <w:divBdr>
        <w:top w:val="none" w:sz="0" w:space="0" w:color="auto"/>
        <w:left w:val="none" w:sz="0" w:space="0" w:color="auto"/>
        <w:bottom w:val="none" w:sz="0" w:space="0" w:color="auto"/>
        <w:right w:val="none" w:sz="0" w:space="0" w:color="auto"/>
      </w:divBdr>
    </w:div>
    <w:div w:id="767196075">
      <w:bodyDiv w:val="1"/>
      <w:marLeft w:val="0"/>
      <w:marRight w:val="0"/>
      <w:marTop w:val="0"/>
      <w:marBottom w:val="0"/>
      <w:divBdr>
        <w:top w:val="none" w:sz="0" w:space="0" w:color="auto"/>
        <w:left w:val="none" w:sz="0" w:space="0" w:color="auto"/>
        <w:bottom w:val="none" w:sz="0" w:space="0" w:color="auto"/>
        <w:right w:val="none" w:sz="0" w:space="0" w:color="auto"/>
      </w:divBdr>
    </w:div>
    <w:div w:id="789591939">
      <w:bodyDiv w:val="1"/>
      <w:marLeft w:val="0"/>
      <w:marRight w:val="0"/>
      <w:marTop w:val="0"/>
      <w:marBottom w:val="0"/>
      <w:divBdr>
        <w:top w:val="none" w:sz="0" w:space="0" w:color="auto"/>
        <w:left w:val="none" w:sz="0" w:space="0" w:color="auto"/>
        <w:bottom w:val="none" w:sz="0" w:space="0" w:color="auto"/>
        <w:right w:val="none" w:sz="0" w:space="0" w:color="auto"/>
      </w:divBdr>
    </w:div>
    <w:div w:id="795180530">
      <w:bodyDiv w:val="1"/>
      <w:marLeft w:val="0"/>
      <w:marRight w:val="0"/>
      <w:marTop w:val="0"/>
      <w:marBottom w:val="0"/>
      <w:divBdr>
        <w:top w:val="none" w:sz="0" w:space="0" w:color="auto"/>
        <w:left w:val="none" w:sz="0" w:space="0" w:color="auto"/>
        <w:bottom w:val="none" w:sz="0" w:space="0" w:color="auto"/>
        <w:right w:val="none" w:sz="0" w:space="0" w:color="auto"/>
      </w:divBdr>
    </w:div>
    <w:div w:id="838886200">
      <w:bodyDiv w:val="1"/>
      <w:marLeft w:val="0"/>
      <w:marRight w:val="0"/>
      <w:marTop w:val="0"/>
      <w:marBottom w:val="0"/>
      <w:divBdr>
        <w:top w:val="none" w:sz="0" w:space="0" w:color="auto"/>
        <w:left w:val="none" w:sz="0" w:space="0" w:color="auto"/>
        <w:bottom w:val="none" w:sz="0" w:space="0" w:color="auto"/>
        <w:right w:val="none" w:sz="0" w:space="0" w:color="auto"/>
      </w:divBdr>
    </w:div>
    <w:div w:id="899025943">
      <w:bodyDiv w:val="1"/>
      <w:marLeft w:val="0"/>
      <w:marRight w:val="0"/>
      <w:marTop w:val="0"/>
      <w:marBottom w:val="0"/>
      <w:divBdr>
        <w:top w:val="none" w:sz="0" w:space="0" w:color="auto"/>
        <w:left w:val="none" w:sz="0" w:space="0" w:color="auto"/>
        <w:bottom w:val="none" w:sz="0" w:space="0" w:color="auto"/>
        <w:right w:val="none" w:sz="0" w:space="0" w:color="auto"/>
      </w:divBdr>
    </w:div>
    <w:div w:id="920870403">
      <w:bodyDiv w:val="1"/>
      <w:marLeft w:val="0"/>
      <w:marRight w:val="0"/>
      <w:marTop w:val="0"/>
      <w:marBottom w:val="0"/>
      <w:divBdr>
        <w:top w:val="none" w:sz="0" w:space="0" w:color="auto"/>
        <w:left w:val="none" w:sz="0" w:space="0" w:color="auto"/>
        <w:bottom w:val="none" w:sz="0" w:space="0" w:color="auto"/>
        <w:right w:val="none" w:sz="0" w:space="0" w:color="auto"/>
      </w:divBdr>
    </w:div>
    <w:div w:id="930167259">
      <w:bodyDiv w:val="1"/>
      <w:marLeft w:val="0"/>
      <w:marRight w:val="0"/>
      <w:marTop w:val="0"/>
      <w:marBottom w:val="0"/>
      <w:divBdr>
        <w:top w:val="none" w:sz="0" w:space="0" w:color="auto"/>
        <w:left w:val="none" w:sz="0" w:space="0" w:color="auto"/>
        <w:bottom w:val="none" w:sz="0" w:space="0" w:color="auto"/>
        <w:right w:val="none" w:sz="0" w:space="0" w:color="auto"/>
      </w:divBdr>
    </w:div>
    <w:div w:id="956329902">
      <w:bodyDiv w:val="1"/>
      <w:marLeft w:val="0"/>
      <w:marRight w:val="0"/>
      <w:marTop w:val="0"/>
      <w:marBottom w:val="0"/>
      <w:divBdr>
        <w:top w:val="none" w:sz="0" w:space="0" w:color="auto"/>
        <w:left w:val="none" w:sz="0" w:space="0" w:color="auto"/>
        <w:bottom w:val="none" w:sz="0" w:space="0" w:color="auto"/>
        <w:right w:val="none" w:sz="0" w:space="0" w:color="auto"/>
      </w:divBdr>
    </w:div>
    <w:div w:id="974876373">
      <w:bodyDiv w:val="1"/>
      <w:marLeft w:val="0"/>
      <w:marRight w:val="0"/>
      <w:marTop w:val="0"/>
      <w:marBottom w:val="0"/>
      <w:divBdr>
        <w:top w:val="none" w:sz="0" w:space="0" w:color="auto"/>
        <w:left w:val="none" w:sz="0" w:space="0" w:color="auto"/>
        <w:bottom w:val="none" w:sz="0" w:space="0" w:color="auto"/>
        <w:right w:val="none" w:sz="0" w:space="0" w:color="auto"/>
      </w:divBdr>
    </w:div>
    <w:div w:id="993603293">
      <w:bodyDiv w:val="1"/>
      <w:marLeft w:val="0"/>
      <w:marRight w:val="0"/>
      <w:marTop w:val="0"/>
      <w:marBottom w:val="0"/>
      <w:divBdr>
        <w:top w:val="none" w:sz="0" w:space="0" w:color="auto"/>
        <w:left w:val="none" w:sz="0" w:space="0" w:color="auto"/>
        <w:bottom w:val="none" w:sz="0" w:space="0" w:color="auto"/>
        <w:right w:val="none" w:sz="0" w:space="0" w:color="auto"/>
      </w:divBdr>
    </w:div>
    <w:div w:id="1027558332">
      <w:bodyDiv w:val="1"/>
      <w:marLeft w:val="0"/>
      <w:marRight w:val="0"/>
      <w:marTop w:val="0"/>
      <w:marBottom w:val="0"/>
      <w:divBdr>
        <w:top w:val="none" w:sz="0" w:space="0" w:color="auto"/>
        <w:left w:val="none" w:sz="0" w:space="0" w:color="auto"/>
        <w:bottom w:val="none" w:sz="0" w:space="0" w:color="auto"/>
        <w:right w:val="none" w:sz="0" w:space="0" w:color="auto"/>
      </w:divBdr>
    </w:div>
    <w:div w:id="1084571253">
      <w:bodyDiv w:val="1"/>
      <w:marLeft w:val="0"/>
      <w:marRight w:val="0"/>
      <w:marTop w:val="0"/>
      <w:marBottom w:val="0"/>
      <w:divBdr>
        <w:top w:val="none" w:sz="0" w:space="0" w:color="auto"/>
        <w:left w:val="none" w:sz="0" w:space="0" w:color="auto"/>
        <w:bottom w:val="none" w:sz="0" w:space="0" w:color="auto"/>
        <w:right w:val="none" w:sz="0" w:space="0" w:color="auto"/>
      </w:divBdr>
    </w:div>
    <w:div w:id="1128205483">
      <w:bodyDiv w:val="1"/>
      <w:marLeft w:val="0"/>
      <w:marRight w:val="0"/>
      <w:marTop w:val="0"/>
      <w:marBottom w:val="0"/>
      <w:divBdr>
        <w:top w:val="none" w:sz="0" w:space="0" w:color="auto"/>
        <w:left w:val="none" w:sz="0" w:space="0" w:color="auto"/>
        <w:bottom w:val="none" w:sz="0" w:space="0" w:color="auto"/>
        <w:right w:val="none" w:sz="0" w:space="0" w:color="auto"/>
      </w:divBdr>
    </w:div>
    <w:div w:id="1150094074">
      <w:bodyDiv w:val="1"/>
      <w:marLeft w:val="0"/>
      <w:marRight w:val="0"/>
      <w:marTop w:val="0"/>
      <w:marBottom w:val="0"/>
      <w:divBdr>
        <w:top w:val="none" w:sz="0" w:space="0" w:color="auto"/>
        <w:left w:val="none" w:sz="0" w:space="0" w:color="auto"/>
        <w:bottom w:val="none" w:sz="0" w:space="0" w:color="auto"/>
        <w:right w:val="none" w:sz="0" w:space="0" w:color="auto"/>
      </w:divBdr>
    </w:div>
    <w:div w:id="1168669925">
      <w:bodyDiv w:val="1"/>
      <w:marLeft w:val="0"/>
      <w:marRight w:val="0"/>
      <w:marTop w:val="0"/>
      <w:marBottom w:val="0"/>
      <w:divBdr>
        <w:top w:val="none" w:sz="0" w:space="0" w:color="auto"/>
        <w:left w:val="none" w:sz="0" w:space="0" w:color="auto"/>
        <w:bottom w:val="none" w:sz="0" w:space="0" w:color="auto"/>
        <w:right w:val="none" w:sz="0" w:space="0" w:color="auto"/>
      </w:divBdr>
    </w:div>
    <w:div w:id="1210336035">
      <w:bodyDiv w:val="1"/>
      <w:marLeft w:val="0"/>
      <w:marRight w:val="0"/>
      <w:marTop w:val="0"/>
      <w:marBottom w:val="0"/>
      <w:divBdr>
        <w:top w:val="none" w:sz="0" w:space="0" w:color="auto"/>
        <w:left w:val="none" w:sz="0" w:space="0" w:color="auto"/>
        <w:bottom w:val="none" w:sz="0" w:space="0" w:color="auto"/>
        <w:right w:val="none" w:sz="0" w:space="0" w:color="auto"/>
      </w:divBdr>
    </w:div>
    <w:div w:id="1245266929">
      <w:bodyDiv w:val="1"/>
      <w:marLeft w:val="0"/>
      <w:marRight w:val="0"/>
      <w:marTop w:val="0"/>
      <w:marBottom w:val="0"/>
      <w:divBdr>
        <w:top w:val="none" w:sz="0" w:space="0" w:color="auto"/>
        <w:left w:val="none" w:sz="0" w:space="0" w:color="auto"/>
        <w:bottom w:val="none" w:sz="0" w:space="0" w:color="auto"/>
        <w:right w:val="none" w:sz="0" w:space="0" w:color="auto"/>
      </w:divBdr>
    </w:div>
    <w:div w:id="1343241326">
      <w:bodyDiv w:val="1"/>
      <w:marLeft w:val="0"/>
      <w:marRight w:val="0"/>
      <w:marTop w:val="0"/>
      <w:marBottom w:val="0"/>
      <w:divBdr>
        <w:top w:val="none" w:sz="0" w:space="0" w:color="auto"/>
        <w:left w:val="none" w:sz="0" w:space="0" w:color="auto"/>
        <w:bottom w:val="none" w:sz="0" w:space="0" w:color="auto"/>
        <w:right w:val="none" w:sz="0" w:space="0" w:color="auto"/>
      </w:divBdr>
    </w:div>
    <w:div w:id="1346979265">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410692251">
      <w:bodyDiv w:val="1"/>
      <w:marLeft w:val="0"/>
      <w:marRight w:val="0"/>
      <w:marTop w:val="0"/>
      <w:marBottom w:val="0"/>
      <w:divBdr>
        <w:top w:val="none" w:sz="0" w:space="0" w:color="auto"/>
        <w:left w:val="none" w:sz="0" w:space="0" w:color="auto"/>
        <w:bottom w:val="none" w:sz="0" w:space="0" w:color="auto"/>
        <w:right w:val="none" w:sz="0" w:space="0" w:color="auto"/>
      </w:divBdr>
    </w:div>
    <w:div w:id="1425494814">
      <w:bodyDiv w:val="1"/>
      <w:marLeft w:val="0"/>
      <w:marRight w:val="0"/>
      <w:marTop w:val="0"/>
      <w:marBottom w:val="0"/>
      <w:divBdr>
        <w:top w:val="none" w:sz="0" w:space="0" w:color="auto"/>
        <w:left w:val="none" w:sz="0" w:space="0" w:color="auto"/>
        <w:bottom w:val="none" w:sz="0" w:space="0" w:color="auto"/>
        <w:right w:val="none" w:sz="0" w:space="0" w:color="auto"/>
      </w:divBdr>
    </w:div>
    <w:div w:id="1527059964">
      <w:bodyDiv w:val="1"/>
      <w:marLeft w:val="0"/>
      <w:marRight w:val="0"/>
      <w:marTop w:val="0"/>
      <w:marBottom w:val="0"/>
      <w:divBdr>
        <w:top w:val="none" w:sz="0" w:space="0" w:color="auto"/>
        <w:left w:val="none" w:sz="0" w:space="0" w:color="auto"/>
        <w:bottom w:val="none" w:sz="0" w:space="0" w:color="auto"/>
        <w:right w:val="none" w:sz="0" w:space="0" w:color="auto"/>
      </w:divBdr>
    </w:div>
    <w:div w:id="1543059292">
      <w:bodyDiv w:val="1"/>
      <w:marLeft w:val="0"/>
      <w:marRight w:val="0"/>
      <w:marTop w:val="0"/>
      <w:marBottom w:val="0"/>
      <w:divBdr>
        <w:top w:val="none" w:sz="0" w:space="0" w:color="auto"/>
        <w:left w:val="none" w:sz="0" w:space="0" w:color="auto"/>
        <w:bottom w:val="none" w:sz="0" w:space="0" w:color="auto"/>
        <w:right w:val="none" w:sz="0" w:space="0" w:color="auto"/>
      </w:divBdr>
    </w:div>
    <w:div w:id="1618442922">
      <w:bodyDiv w:val="1"/>
      <w:marLeft w:val="0"/>
      <w:marRight w:val="0"/>
      <w:marTop w:val="0"/>
      <w:marBottom w:val="0"/>
      <w:divBdr>
        <w:top w:val="none" w:sz="0" w:space="0" w:color="auto"/>
        <w:left w:val="none" w:sz="0" w:space="0" w:color="auto"/>
        <w:bottom w:val="none" w:sz="0" w:space="0" w:color="auto"/>
        <w:right w:val="none" w:sz="0" w:space="0" w:color="auto"/>
      </w:divBdr>
    </w:div>
    <w:div w:id="1621572132">
      <w:bodyDiv w:val="1"/>
      <w:marLeft w:val="0"/>
      <w:marRight w:val="0"/>
      <w:marTop w:val="0"/>
      <w:marBottom w:val="0"/>
      <w:divBdr>
        <w:top w:val="none" w:sz="0" w:space="0" w:color="auto"/>
        <w:left w:val="none" w:sz="0" w:space="0" w:color="auto"/>
        <w:bottom w:val="none" w:sz="0" w:space="0" w:color="auto"/>
        <w:right w:val="none" w:sz="0" w:space="0" w:color="auto"/>
      </w:divBdr>
    </w:div>
    <w:div w:id="1634484324">
      <w:bodyDiv w:val="1"/>
      <w:marLeft w:val="0"/>
      <w:marRight w:val="0"/>
      <w:marTop w:val="0"/>
      <w:marBottom w:val="0"/>
      <w:divBdr>
        <w:top w:val="none" w:sz="0" w:space="0" w:color="auto"/>
        <w:left w:val="none" w:sz="0" w:space="0" w:color="auto"/>
        <w:bottom w:val="none" w:sz="0" w:space="0" w:color="auto"/>
        <w:right w:val="none" w:sz="0" w:space="0" w:color="auto"/>
      </w:divBdr>
    </w:div>
    <w:div w:id="1689941991">
      <w:bodyDiv w:val="1"/>
      <w:marLeft w:val="0"/>
      <w:marRight w:val="0"/>
      <w:marTop w:val="0"/>
      <w:marBottom w:val="0"/>
      <w:divBdr>
        <w:top w:val="none" w:sz="0" w:space="0" w:color="auto"/>
        <w:left w:val="none" w:sz="0" w:space="0" w:color="auto"/>
        <w:bottom w:val="none" w:sz="0" w:space="0" w:color="auto"/>
        <w:right w:val="none" w:sz="0" w:space="0" w:color="auto"/>
      </w:divBdr>
    </w:div>
    <w:div w:id="1718433249">
      <w:bodyDiv w:val="1"/>
      <w:marLeft w:val="0"/>
      <w:marRight w:val="0"/>
      <w:marTop w:val="0"/>
      <w:marBottom w:val="0"/>
      <w:divBdr>
        <w:top w:val="none" w:sz="0" w:space="0" w:color="auto"/>
        <w:left w:val="none" w:sz="0" w:space="0" w:color="auto"/>
        <w:bottom w:val="none" w:sz="0" w:space="0" w:color="auto"/>
        <w:right w:val="none" w:sz="0" w:space="0" w:color="auto"/>
      </w:divBdr>
    </w:div>
    <w:div w:id="1723478338">
      <w:bodyDiv w:val="1"/>
      <w:marLeft w:val="0"/>
      <w:marRight w:val="0"/>
      <w:marTop w:val="0"/>
      <w:marBottom w:val="0"/>
      <w:divBdr>
        <w:top w:val="none" w:sz="0" w:space="0" w:color="auto"/>
        <w:left w:val="none" w:sz="0" w:space="0" w:color="auto"/>
        <w:bottom w:val="none" w:sz="0" w:space="0" w:color="auto"/>
        <w:right w:val="none" w:sz="0" w:space="0" w:color="auto"/>
      </w:divBdr>
    </w:div>
    <w:div w:id="1753896027">
      <w:bodyDiv w:val="1"/>
      <w:marLeft w:val="0"/>
      <w:marRight w:val="0"/>
      <w:marTop w:val="0"/>
      <w:marBottom w:val="0"/>
      <w:divBdr>
        <w:top w:val="none" w:sz="0" w:space="0" w:color="auto"/>
        <w:left w:val="none" w:sz="0" w:space="0" w:color="auto"/>
        <w:bottom w:val="none" w:sz="0" w:space="0" w:color="auto"/>
        <w:right w:val="none" w:sz="0" w:space="0" w:color="auto"/>
      </w:divBdr>
    </w:div>
    <w:div w:id="1788616590">
      <w:bodyDiv w:val="1"/>
      <w:marLeft w:val="0"/>
      <w:marRight w:val="0"/>
      <w:marTop w:val="0"/>
      <w:marBottom w:val="0"/>
      <w:divBdr>
        <w:top w:val="none" w:sz="0" w:space="0" w:color="auto"/>
        <w:left w:val="none" w:sz="0" w:space="0" w:color="auto"/>
        <w:bottom w:val="none" w:sz="0" w:space="0" w:color="auto"/>
        <w:right w:val="none" w:sz="0" w:space="0" w:color="auto"/>
      </w:divBdr>
    </w:div>
    <w:div w:id="1788625434">
      <w:bodyDiv w:val="1"/>
      <w:marLeft w:val="0"/>
      <w:marRight w:val="0"/>
      <w:marTop w:val="0"/>
      <w:marBottom w:val="0"/>
      <w:divBdr>
        <w:top w:val="none" w:sz="0" w:space="0" w:color="auto"/>
        <w:left w:val="none" w:sz="0" w:space="0" w:color="auto"/>
        <w:bottom w:val="none" w:sz="0" w:space="0" w:color="auto"/>
        <w:right w:val="none" w:sz="0" w:space="0" w:color="auto"/>
      </w:divBdr>
    </w:div>
    <w:div w:id="1860895565">
      <w:bodyDiv w:val="1"/>
      <w:marLeft w:val="0"/>
      <w:marRight w:val="0"/>
      <w:marTop w:val="0"/>
      <w:marBottom w:val="0"/>
      <w:divBdr>
        <w:top w:val="none" w:sz="0" w:space="0" w:color="auto"/>
        <w:left w:val="none" w:sz="0" w:space="0" w:color="auto"/>
        <w:bottom w:val="none" w:sz="0" w:space="0" w:color="auto"/>
        <w:right w:val="none" w:sz="0" w:space="0" w:color="auto"/>
      </w:divBdr>
    </w:div>
    <w:div w:id="1939169844">
      <w:bodyDiv w:val="1"/>
      <w:marLeft w:val="0"/>
      <w:marRight w:val="0"/>
      <w:marTop w:val="0"/>
      <w:marBottom w:val="0"/>
      <w:divBdr>
        <w:top w:val="none" w:sz="0" w:space="0" w:color="auto"/>
        <w:left w:val="none" w:sz="0" w:space="0" w:color="auto"/>
        <w:bottom w:val="none" w:sz="0" w:space="0" w:color="auto"/>
        <w:right w:val="none" w:sz="0" w:space="0" w:color="auto"/>
      </w:divBdr>
    </w:div>
    <w:div w:id="1959413909">
      <w:bodyDiv w:val="1"/>
      <w:marLeft w:val="0"/>
      <w:marRight w:val="0"/>
      <w:marTop w:val="0"/>
      <w:marBottom w:val="0"/>
      <w:divBdr>
        <w:top w:val="none" w:sz="0" w:space="0" w:color="auto"/>
        <w:left w:val="none" w:sz="0" w:space="0" w:color="auto"/>
        <w:bottom w:val="none" w:sz="0" w:space="0" w:color="auto"/>
        <w:right w:val="none" w:sz="0" w:space="0" w:color="auto"/>
      </w:divBdr>
    </w:div>
    <w:div w:id="1971550998">
      <w:bodyDiv w:val="1"/>
      <w:marLeft w:val="0"/>
      <w:marRight w:val="0"/>
      <w:marTop w:val="0"/>
      <w:marBottom w:val="0"/>
      <w:divBdr>
        <w:top w:val="none" w:sz="0" w:space="0" w:color="auto"/>
        <w:left w:val="none" w:sz="0" w:space="0" w:color="auto"/>
        <w:bottom w:val="none" w:sz="0" w:space="0" w:color="auto"/>
        <w:right w:val="none" w:sz="0" w:space="0" w:color="auto"/>
      </w:divBdr>
    </w:div>
    <w:div w:id="2065371445">
      <w:bodyDiv w:val="1"/>
      <w:marLeft w:val="0"/>
      <w:marRight w:val="0"/>
      <w:marTop w:val="0"/>
      <w:marBottom w:val="0"/>
      <w:divBdr>
        <w:top w:val="none" w:sz="0" w:space="0" w:color="auto"/>
        <w:left w:val="none" w:sz="0" w:space="0" w:color="auto"/>
        <w:bottom w:val="none" w:sz="0" w:space="0" w:color="auto"/>
        <w:right w:val="none" w:sz="0" w:space="0" w:color="auto"/>
      </w:divBdr>
    </w:div>
    <w:div w:id="2070834524">
      <w:bodyDiv w:val="1"/>
      <w:marLeft w:val="0"/>
      <w:marRight w:val="0"/>
      <w:marTop w:val="0"/>
      <w:marBottom w:val="0"/>
      <w:divBdr>
        <w:top w:val="none" w:sz="0" w:space="0" w:color="auto"/>
        <w:left w:val="none" w:sz="0" w:space="0" w:color="auto"/>
        <w:bottom w:val="none" w:sz="0" w:space="0" w:color="auto"/>
        <w:right w:val="none" w:sz="0" w:space="0" w:color="auto"/>
      </w:divBdr>
    </w:div>
    <w:div w:id="2114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wealthmanag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wealthmanager.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washingtonpost.com/business/2022/01/31/stock-markets-january-volatility-wall-street/" TargetMode="External"/><Relationship Id="rId2" Type="http://schemas.openxmlformats.org/officeDocument/2006/relationships/hyperlink" Target="https://am.jpmorgan.com/content/dam/jpm-am-aem/global/en/insights/market-insights/mi-monthly-market-review.pdf" TargetMode="External"/><Relationship Id="rId1" Type="http://schemas.openxmlformats.org/officeDocument/2006/relationships/hyperlink" Target="https://www.reuters.com/business/nasdaq-futures-edge-higher-end-turbulent-month-2022-01-31/" TargetMode="External"/><Relationship Id="rId4" Type="http://schemas.openxmlformats.org/officeDocument/2006/relationships/hyperlink" Target="https://www.reuters.com/business/energy/oil-rises-hovers-near-7-year-highs-supply-fears-political-risks-2022-01-3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January 31</a:t>
            </a:r>
            <a:r>
              <a:rPr lang="en-US" sz="1000" b="1" baseline="0"/>
              <a:t>,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47C9DCE5-EF64-46A2-AC5F-FD81120E806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FE7-45DF-B8B1-5F469A1DEC22}"/>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Jan-22</c:v>
                </c:pt>
                <c:pt idx="1">
                  <c:v>Year to Date</c:v>
                </c:pt>
              </c:strCache>
            </c:strRef>
          </c:cat>
          <c:val>
            <c:numRef>
              <c:f>Sheet1!$B$2:$B$3</c:f>
              <c:numCache>
                <c:formatCode>0.0</c:formatCode>
                <c:ptCount val="2"/>
                <c:pt idx="0">
                  <c:v>-5.2</c:v>
                </c:pt>
                <c:pt idx="1">
                  <c:v>-5.2</c:v>
                </c:pt>
              </c:numCache>
            </c:numRef>
          </c:val>
          <c:extLst>
            <c:ext xmlns:c16="http://schemas.microsoft.com/office/drawing/2014/chart" uri="{C3380CC4-5D6E-409C-BE32-E72D297353CC}">
              <c16:uniqueId val="{00000001-9FE7-45DF-B8B1-5F469A1DEC22}"/>
            </c:ext>
          </c:extLst>
        </c:ser>
        <c:ser>
          <c:idx val="1"/>
          <c:order val="1"/>
          <c:tx>
            <c:strRef>
              <c:f>Sheet1!$C$1</c:f>
              <c:strCache>
                <c:ptCount val="1"/>
                <c:pt idx="0">
                  <c:v>Int'l Equities</c:v>
                </c:pt>
              </c:strCache>
            </c:strRef>
          </c:tx>
          <c:spPr>
            <a:solidFill>
              <a:schemeClr val="accent6">
                <a:lumMod val="75000"/>
              </a:schemeClr>
            </a:solidFill>
            <a:ln>
              <a:noFill/>
            </a:ln>
            <a:effectLst/>
          </c:spPr>
          <c:invertIfNegative val="0"/>
          <c:dLbls>
            <c:dLbl>
              <c:idx val="0"/>
              <c:tx>
                <c:rich>
                  <a:bodyPr/>
                  <a:lstStyle/>
                  <a:p>
                    <a:fld id="{BA9CE4DB-F4AD-4CAC-B2BA-7762C8DB370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FE7-45DF-B8B1-5F469A1DEC22}"/>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Jan-22</c:v>
                </c:pt>
                <c:pt idx="1">
                  <c:v>Year to Date</c:v>
                </c:pt>
              </c:strCache>
            </c:strRef>
          </c:cat>
          <c:val>
            <c:numRef>
              <c:f>Sheet1!$C$2:$C$3</c:f>
              <c:numCache>
                <c:formatCode>0.0</c:formatCode>
                <c:ptCount val="2"/>
                <c:pt idx="0" formatCode="General">
                  <c:v>-4.8</c:v>
                </c:pt>
                <c:pt idx="1">
                  <c:v>-4.8</c:v>
                </c:pt>
              </c:numCache>
            </c:numRef>
          </c:val>
          <c:extLst>
            <c:ext xmlns:c16="http://schemas.microsoft.com/office/drawing/2014/chart" uri="{C3380CC4-5D6E-409C-BE32-E72D297353CC}">
              <c16:uniqueId val="{00000003-9FE7-45DF-B8B1-5F469A1DEC22}"/>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C1F65682-B966-4E20-94E3-79F35164DFA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FE7-45DF-B8B1-5F469A1DEC22}"/>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Jan-22</c:v>
                </c:pt>
                <c:pt idx="1">
                  <c:v>Year to Date</c:v>
                </c:pt>
              </c:strCache>
            </c:strRef>
          </c:cat>
          <c:val>
            <c:numRef>
              <c:f>Sheet1!$D$2:$D$3</c:f>
              <c:numCache>
                <c:formatCode>0.0</c:formatCode>
                <c:ptCount val="2"/>
                <c:pt idx="0" formatCode="#,##0.0">
                  <c:v>-1.9</c:v>
                </c:pt>
                <c:pt idx="1">
                  <c:v>-1.9</c:v>
                </c:pt>
              </c:numCache>
            </c:numRef>
          </c:val>
          <c:extLst>
            <c:ext xmlns:c16="http://schemas.microsoft.com/office/drawing/2014/chart" uri="{C3380CC4-5D6E-409C-BE32-E72D297353CC}">
              <c16:uniqueId val="{00000005-9FE7-45DF-B8B1-5F469A1DEC22}"/>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7A7D36B3-548F-45DD-8203-9A86B2B44A4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FE7-45DF-B8B1-5F469A1DEC22}"/>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Jan-22</c:v>
                </c:pt>
                <c:pt idx="1">
                  <c:v>Year to Date</c:v>
                </c:pt>
              </c:strCache>
            </c:strRef>
          </c:cat>
          <c:val>
            <c:numRef>
              <c:f>Sheet1!$E$2:$E$3</c:f>
              <c:numCache>
                <c:formatCode>0.0</c:formatCode>
                <c:ptCount val="2"/>
                <c:pt idx="0">
                  <c:v>-2.2000000000000002</c:v>
                </c:pt>
                <c:pt idx="1">
                  <c:v>-2.2000000000000002</c:v>
                </c:pt>
              </c:numCache>
            </c:numRef>
          </c:val>
          <c:extLst>
            <c:ext xmlns:c16="http://schemas.microsoft.com/office/drawing/2014/chart" uri="{C3380CC4-5D6E-409C-BE32-E72D297353CC}">
              <c16:uniqueId val="{00000007-9FE7-45DF-B8B1-5F469A1DEC22}"/>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E29C3652-96B1-4BEF-BA92-3A08AC21AE4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FE7-45DF-B8B1-5F469A1DEC22}"/>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Jan-22</c:v>
                </c:pt>
                <c:pt idx="1">
                  <c:v>Year to Date</c:v>
                </c:pt>
              </c:strCache>
            </c:strRef>
          </c:cat>
          <c:val>
            <c:numRef>
              <c:f>Sheet1!$F$2:$F$3</c:f>
              <c:numCache>
                <c:formatCode>0.0</c:formatCode>
                <c:ptCount val="2"/>
                <c:pt idx="0">
                  <c:v>-2</c:v>
                </c:pt>
                <c:pt idx="1">
                  <c:v>-2</c:v>
                </c:pt>
              </c:numCache>
            </c:numRef>
          </c:val>
          <c:extLst>
            <c:ext xmlns:c16="http://schemas.microsoft.com/office/drawing/2014/chart" uri="{C3380CC4-5D6E-409C-BE32-E72D297353CC}">
              <c16:uniqueId val="{00000009-9FE7-45DF-B8B1-5F469A1DEC22}"/>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A9061968-8DF7-48F4-A3AF-30C682C715B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9FE7-45DF-B8B1-5F469A1DEC22}"/>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Jan-22</c:v>
                </c:pt>
                <c:pt idx="1">
                  <c:v>Year to Date</c:v>
                </c:pt>
              </c:strCache>
            </c:strRef>
          </c:cat>
          <c:val>
            <c:numRef>
              <c:f>Sheet1!$G$2:$G$3</c:f>
              <c:numCache>
                <c:formatCode>0.0</c:formatCode>
                <c:ptCount val="2"/>
                <c:pt idx="0">
                  <c:v>-2.6</c:v>
                </c:pt>
                <c:pt idx="1">
                  <c:v>-2.6</c:v>
                </c:pt>
              </c:numCache>
            </c:numRef>
          </c:val>
          <c:extLst>
            <c:ext xmlns:c16="http://schemas.microsoft.com/office/drawing/2014/chart" uri="{C3380CC4-5D6E-409C-BE32-E72D297353CC}">
              <c16:uniqueId val="{0000000B-9FE7-45DF-B8B1-5F469A1DEC22}"/>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January 31, 2022</a:t>
            </a:r>
          </a:p>
        </c:rich>
      </c:tx>
      <c:layout>
        <c:manualLayout>
          <c:xMode val="edge"/>
          <c:yMode val="edge"/>
          <c:x val="0.3183147216210116"/>
          <c:y val="1.8322336573599941E-3"/>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0731424170629597E-2"/>
          <c:y val="0.21267714669994606"/>
          <c:w val="0.94335526777533907"/>
          <c:h val="0.51924181119151147"/>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dLbl>
              <c:idx val="0"/>
              <c:tx>
                <c:rich>
                  <a:bodyPr/>
                  <a:lstStyle/>
                  <a:p>
                    <a:fld id="{674D2AD4-285B-4086-B9D5-3EF398816FD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0F4-404A-A63B-12D725590A39}"/>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mmm\-yy</c:formatCode>
                <c:ptCount val="1"/>
                <c:pt idx="0">
                  <c:v>44592</c:v>
                </c:pt>
              </c:numCache>
            </c:numRef>
          </c:cat>
          <c:val>
            <c:numRef>
              <c:f>Sheet1!$B$2</c:f>
              <c:numCache>
                <c:formatCode>0.0</c:formatCode>
                <c:ptCount val="1"/>
                <c:pt idx="0">
                  <c:v>-3.74</c:v>
                </c:pt>
              </c:numCache>
            </c:numRef>
          </c:val>
          <c:extLst>
            <c:ext xmlns:c16="http://schemas.microsoft.com/office/drawing/2014/chart" uri="{C3380CC4-5D6E-409C-BE32-E72D297353CC}">
              <c16:uniqueId val="{00000001-60F4-404A-A63B-12D725590A39}"/>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dLbl>
              <c:idx val="0"/>
              <c:tx>
                <c:rich>
                  <a:bodyPr/>
                  <a:lstStyle/>
                  <a:p>
                    <a:fld id="{02F9467A-678E-4B6F-ADEB-DB49B9F9A65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0F4-404A-A63B-12D725590A39}"/>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mmm\-yy</c:formatCode>
                <c:ptCount val="1"/>
                <c:pt idx="0">
                  <c:v>44592</c:v>
                </c:pt>
              </c:numCache>
            </c:numRef>
          </c:cat>
          <c:val>
            <c:numRef>
              <c:f>Sheet1!$C$2</c:f>
              <c:numCache>
                <c:formatCode>0.0</c:formatCode>
                <c:ptCount val="1"/>
                <c:pt idx="0">
                  <c:v>-4.9000000000000004</c:v>
                </c:pt>
              </c:numCache>
            </c:numRef>
          </c:val>
          <c:extLst>
            <c:ext xmlns:c16="http://schemas.microsoft.com/office/drawing/2014/chart" uri="{C3380CC4-5D6E-409C-BE32-E72D297353CC}">
              <c16:uniqueId val="{00000003-60F4-404A-A63B-12D725590A39}"/>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dLbl>
              <c:idx val="0"/>
              <c:tx>
                <c:rich>
                  <a:bodyPr/>
                  <a:lstStyle/>
                  <a:p>
                    <a:fld id="{A769E518-6DF0-4B96-9C37-5191B333785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0F4-404A-A63B-12D725590A39}"/>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mmm\-yy</c:formatCode>
                <c:ptCount val="1"/>
                <c:pt idx="0">
                  <c:v>44592</c:v>
                </c:pt>
              </c:numCache>
            </c:numRef>
          </c:cat>
          <c:val>
            <c:numRef>
              <c:f>Sheet1!$D$2</c:f>
              <c:numCache>
                <c:formatCode>0.0</c:formatCode>
                <c:ptCount val="1"/>
                <c:pt idx="0">
                  <c:v>-2</c:v>
                </c:pt>
              </c:numCache>
            </c:numRef>
          </c:val>
          <c:extLst>
            <c:ext xmlns:c16="http://schemas.microsoft.com/office/drawing/2014/chart" uri="{C3380CC4-5D6E-409C-BE32-E72D297353CC}">
              <c16:uniqueId val="{00000005-60F4-404A-A63B-12D725590A39}"/>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dLbl>
              <c:idx val="0"/>
              <c:tx>
                <c:rich>
                  <a:bodyPr/>
                  <a:lstStyle/>
                  <a:p>
                    <a:fld id="{A4568EAC-8CF8-40A8-A336-487F8788064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0F4-404A-A63B-12D725590A39}"/>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mmm\-yy</c:formatCode>
                <c:ptCount val="1"/>
                <c:pt idx="0">
                  <c:v>44592</c:v>
                </c:pt>
              </c:numCache>
            </c:numRef>
          </c:cat>
          <c:val>
            <c:numRef>
              <c:f>Sheet1!$E$2</c:f>
              <c:numCache>
                <c:formatCode>0.0</c:formatCode>
                <c:ptCount val="1"/>
                <c:pt idx="0">
                  <c:v>-7.9</c:v>
                </c:pt>
              </c:numCache>
            </c:numRef>
          </c:val>
          <c:extLst>
            <c:ext xmlns:c16="http://schemas.microsoft.com/office/drawing/2014/chart" uri="{C3380CC4-5D6E-409C-BE32-E72D297353CC}">
              <c16:uniqueId val="{00000007-60F4-404A-A63B-12D725590A39}"/>
            </c:ext>
          </c:extLst>
        </c:ser>
        <c:ser>
          <c:idx val="4"/>
          <c:order val="4"/>
          <c:tx>
            <c:strRef>
              <c:f>Sheet1!$F$1</c:f>
              <c:strCache>
                <c:ptCount val="1"/>
                <c:pt idx="0">
                  <c:v>Commodities</c:v>
                </c:pt>
              </c:strCache>
            </c:strRef>
          </c:tx>
          <c:spPr>
            <a:solidFill>
              <a:schemeClr val="accent3"/>
            </a:solidFill>
            <a:ln>
              <a:noFill/>
            </a:ln>
            <a:effectLst/>
          </c:spPr>
          <c:invertIfNegative val="0"/>
          <c:dLbls>
            <c:dLbl>
              <c:idx val="0"/>
              <c:tx>
                <c:rich>
                  <a:bodyPr/>
                  <a:lstStyle/>
                  <a:p>
                    <a:fld id="{E007575E-876E-48B1-A123-870D12D19CA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60F4-404A-A63B-12D725590A39}"/>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mmm\-yy</c:formatCode>
                <c:ptCount val="1"/>
                <c:pt idx="0">
                  <c:v>44592</c:v>
                </c:pt>
              </c:numCache>
            </c:numRef>
          </c:cat>
          <c:val>
            <c:numRef>
              <c:f>Sheet1!$F$2</c:f>
              <c:numCache>
                <c:formatCode>0.0</c:formatCode>
                <c:ptCount val="1"/>
                <c:pt idx="0">
                  <c:v>8.8000000000000007</c:v>
                </c:pt>
              </c:numCache>
            </c:numRef>
          </c:val>
          <c:extLst>
            <c:ext xmlns:c16="http://schemas.microsoft.com/office/drawing/2014/chart" uri="{C3380CC4-5D6E-409C-BE32-E72D297353CC}">
              <c16:uniqueId val="{00000009-60F4-404A-A63B-12D725590A39}"/>
            </c:ext>
          </c:extLst>
        </c:ser>
        <c:ser>
          <c:idx val="5"/>
          <c:order val="5"/>
          <c:tx>
            <c:strRef>
              <c:f>Sheet1!$G$1</c:f>
              <c:strCache>
                <c:ptCount val="1"/>
                <c:pt idx="0">
                  <c:v>Gold</c:v>
                </c:pt>
              </c:strCache>
            </c:strRef>
          </c:tx>
          <c:spPr>
            <a:solidFill>
              <a:schemeClr val="accent4"/>
            </a:solidFill>
            <a:ln>
              <a:noFill/>
            </a:ln>
            <a:effectLst/>
          </c:spPr>
          <c:invertIfNegative val="0"/>
          <c:dLbls>
            <c:dLbl>
              <c:idx val="0"/>
              <c:tx>
                <c:rich>
                  <a:bodyPr/>
                  <a:lstStyle/>
                  <a:p>
                    <a:fld id="{60BE4A9B-6650-4415-964E-3B8AEBB389B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60F4-404A-A63B-12D725590A39}"/>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mmm\-yy</c:formatCode>
                <c:ptCount val="1"/>
                <c:pt idx="0">
                  <c:v>44592</c:v>
                </c:pt>
              </c:numCache>
            </c:numRef>
          </c:cat>
          <c:val>
            <c:numRef>
              <c:f>Sheet1!$G$2</c:f>
              <c:numCache>
                <c:formatCode>0.0</c:formatCode>
                <c:ptCount val="1"/>
                <c:pt idx="0">
                  <c:v>-1.9</c:v>
                </c:pt>
              </c:numCache>
            </c:numRef>
          </c:val>
          <c:extLst>
            <c:ext xmlns:c16="http://schemas.microsoft.com/office/drawing/2014/chart" uri="{C3380CC4-5D6E-409C-BE32-E72D297353CC}">
              <c16:uniqueId val="{0000000B-60F4-404A-A63B-12D725590A39}"/>
            </c:ext>
          </c:extLst>
        </c:ser>
        <c:dLbls>
          <c:showLegendKey val="0"/>
          <c:showVal val="0"/>
          <c:showCatName val="0"/>
          <c:showSerName val="0"/>
          <c:showPercent val="0"/>
          <c:showBubbleSize val="0"/>
        </c:dLbls>
        <c:gapWidth val="125"/>
        <c:overlap val="-27"/>
        <c:axId val="111373312"/>
        <c:axId val="265864992"/>
      </c:barChart>
      <c:dateAx>
        <c:axId val="111373312"/>
        <c:scaling>
          <c:orientation val="minMax"/>
        </c:scaling>
        <c:delete val="0"/>
        <c:axPos val="b"/>
        <c:numFmt formatCode="mmm\-yy"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b"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Offset val="100"/>
        <c:baseTimeUnit val="days"/>
        <c:majorUnit val="1"/>
      </c:date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183FA619D2B349B00D5F0F2CE6B706" ma:contentTypeVersion="11" ma:contentTypeDescription="Create a new document." ma:contentTypeScope="" ma:versionID="192d9a45ff029d484e5ed0a8a098b1e7">
  <xsd:schema xmlns:xsd="http://www.w3.org/2001/XMLSchema" xmlns:xs="http://www.w3.org/2001/XMLSchema" xmlns:p="http://schemas.microsoft.com/office/2006/metadata/properties" xmlns:ns3="0b9e382b-daa0-4834-87ed-27ee55f638e7" xmlns:ns4="4e52db4d-ebf4-459d-8c3d-a29637997161" targetNamespace="http://schemas.microsoft.com/office/2006/metadata/properties" ma:root="true" ma:fieldsID="e81792524a29150d1eacdc5c540b452c" ns3:_="" ns4:_="">
    <xsd:import namespace="0b9e382b-daa0-4834-87ed-27ee55f638e7"/>
    <xsd:import namespace="4e52db4d-ebf4-459d-8c3d-a296379971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382b-daa0-4834-87ed-27ee55f6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2db4d-ebf4-459d-8c3d-a296379971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3FE3-C3B3-4434-BE57-8CB4EF723A02}">
  <ds:schemaRefs>
    <ds:schemaRef ds:uri="http://schemas.microsoft.com/sharepoint/v3/contenttype/forms"/>
  </ds:schemaRefs>
</ds:datastoreItem>
</file>

<file path=customXml/itemProps2.xml><?xml version="1.0" encoding="utf-8"?>
<ds:datastoreItem xmlns:ds="http://schemas.openxmlformats.org/officeDocument/2006/customXml" ds:itemID="{74A8546D-53EE-4006-AA2D-987055372E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4BE9AC-0E0D-47B3-B9F9-DF73420F3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382b-daa0-4834-87ed-27ee55f638e7"/>
    <ds:schemaRef ds:uri="4e52db4d-ebf4-459d-8c3d-a29637997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0D479-7CB4-4D89-A2B2-E46F9EDC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3</cp:revision>
  <cp:lastPrinted>2019-11-05T19:19:00Z</cp:lastPrinted>
  <dcterms:created xsi:type="dcterms:W3CDTF">2022-02-07T22:42:00Z</dcterms:created>
  <dcterms:modified xsi:type="dcterms:W3CDTF">2022-02-07T22:43:00Z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0x01010037183FA619D2B349B00D5F0F2CE6B706</vt:lpwstr>
  </property>
</Properties>
</file>