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1E8FFF20" w:rsidR="004B1C5E" w:rsidRDefault="004B1C5E" w:rsidP="00996FBD">
      <w:pPr>
        <w:spacing w:after="0"/>
        <w:ind w:left="-720" w:right="-720"/>
        <w:rPr>
          <w:rFonts w:ascii="Arial" w:hAnsi="Arial" w:cs="Arial"/>
          <w:b/>
          <w:color w:val="0070C0"/>
          <w:sz w:val="20"/>
          <w:szCs w:val="20"/>
        </w:rPr>
      </w:pPr>
    </w:p>
    <w:p w14:paraId="30C9EEB8" w14:textId="13BFAC37" w:rsidR="00996FBD" w:rsidRPr="00FB2425" w:rsidRDefault="005176DB" w:rsidP="006A6909">
      <w:pPr>
        <w:spacing w:after="0"/>
        <w:ind w:left="1440" w:right="-360"/>
        <w:rPr>
          <w:rFonts w:ascii="Arial" w:hAnsi="Arial" w:cs="Arial"/>
          <w:b/>
          <w:color w:val="037EBB"/>
          <w:szCs w:val="20"/>
        </w:rPr>
      </w:pPr>
      <w:r>
        <w:rPr>
          <w:noProof/>
        </w:rPr>
        <w:drawing>
          <wp:anchor distT="0" distB="0" distL="114300" distR="114300" simplePos="0" relativeHeight="251668480" behindDoc="0" locked="0" layoutInCell="1" allowOverlap="1" wp14:anchorId="7A6B6605" wp14:editId="665B3397">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5408" behindDoc="0" locked="0" layoutInCell="1" allowOverlap="1" wp14:anchorId="7008C652" wp14:editId="408B39B3">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3A5D1D38" w14:textId="57834D23" w:rsidR="00096F2C" w:rsidRDefault="008971E2" w:rsidP="00096F2C">
      <w:pPr>
        <w:pStyle w:val="ListParagraph"/>
        <w:ind w:left="1440"/>
        <w:rPr>
          <w:rStyle w:val="Emphasis"/>
          <w:rFonts w:ascii="Arial" w:hAnsi="Arial" w:cs="Arial"/>
          <w:i w:val="0"/>
          <w:iCs w:val="0"/>
          <w:color w:val="000000"/>
          <w:sz w:val="16"/>
          <w:szCs w:val="16"/>
          <w:shd w:val="clear" w:color="auto" w:fill="FFFFFF"/>
        </w:rPr>
      </w:pPr>
      <w:r w:rsidRPr="003127F9">
        <w:rPr>
          <w:rFonts w:ascii="Arial" w:hAnsi="Arial" w:cs="Arial"/>
          <w:color w:val="767171" w:themeColor="background2" w:themeShade="80"/>
          <w:sz w:val="18"/>
          <w:szCs w:val="18"/>
        </w:rPr>
        <w:t xml:space="preserve">Source:  </w:t>
      </w:r>
      <w:r w:rsidR="00096F2C">
        <w:rPr>
          <w:rFonts w:ascii="Arial" w:hAnsi="Arial" w:cs="Arial"/>
          <w:sz w:val="16"/>
          <w:szCs w:val="16"/>
        </w:rPr>
        <w:t xml:space="preserve">FactSet </w:t>
      </w:r>
      <w:r w:rsidR="00096F2C">
        <w:rPr>
          <w:rStyle w:val="Emphasis"/>
          <w:rFonts w:ascii="Arial" w:hAnsi="Arial" w:cs="Arial"/>
          <w:color w:val="000000"/>
          <w:sz w:val="16"/>
          <w:szCs w:val="16"/>
          <w:shd w:val="clear" w:color="auto" w:fill="FFFFFF"/>
        </w:rPr>
        <w:t>financial data and analytics</w:t>
      </w:r>
    </w:p>
    <w:p w14:paraId="25C02548" w14:textId="21D26CA6" w:rsidR="007D272C" w:rsidRPr="002815AB" w:rsidRDefault="007D272C" w:rsidP="00B00375">
      <w:pPr>
        <w:spacing w:after="0"/>
        <w:ind w:left="1440" w:right="-360"/>
        <w:rPr>
          <w:rFonts w:ascii="Arial" w:hAnsi="Arial" w:cs="Arial"/>
          <w:b/>
          <w:color w:val="3B3838" w:themeColor="background2" w:themeShade="40"/>
          <w:sz w:val="20"/>
          <w:szCs w:val="20"/>
        </w:rPr>
      </w:pPr>
    </w:p>
    <w:p w14:paraId="0D887F10" w14:textId="1CFD1FC6" w:rsidR="007D272C" w:rsidRPr="00525FA1" w:rsidRDefault="007D272C" w:rsidP="006A6909">
      <w:pPr>
        <w:spacing w:after="0"/>
        <w:ind w:left="1440" w:right="-360"/>
        <w:rPr>
          <w:rFonts w:ascii="Arial" w:hAnsi="Arial" w:cs="Arial"/>
          <w:b/>
          <w:color w:val="3B3838" w:themeColor="background2" w:themeShade="40"/>
          <w:sz w:val="20"/>
          <w:szCs w:val="20"/>
        </w:rPr>
      </w:pPr>
    </w:p>
    <w:p w14:paraId="72BA13B4" w14:textId="77D9F2A5" w:rsidR="00C7487B" w:rsidRDefault="00C7487B" w:rsidP="00C7487B">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Equity markets bounced back in December </w:t>
      </w:r>
      <w:r w:rsidR="00972451">
        <w:rPr>
          <w:rFonts w:ascii="Arial" w:hAnsi="Arial" w:cs="Arial"/>
          <w:color w:val="3B3838" w:themeColor="background2" w:themeShade="40"/>
          <w:sz w:val="20"/>
          <w:szCs w:val="20"/>
        </w:rPr>
        <w:t>as investors</w:t>
      </w:r>
      <w:r w:rsidR="00765643">
        <w:rPr>
          <w:rFonts w:ascii="Arial" w:hAnsi="Arial" w:cs="Arial"/>
          <w:color w:val="3B3838" w:themeColor="background2" w:themeShade="40"/>
          <w:sz w:val="20"/>
          <w:szCs w:val="20"/>
        </w:rPr>
        <w:t xml:space="preserve"> </w:t>
      </w:r>
      <w:r w:rsidR="00972451">
        <w:rPr>
          <w:rFonts w:ascii="Arial" w:hAnsi="Arial" w:cs="Arial"/>
          <w:color w:val="3B3838" w:themeColor="background2" w:themeShade="40"/>
          <w:sz w:val="20"/>
          <w:szCs w:val="20"/>
        </w:rPr>
        <w:t>gained confidence</w:t>
      </w:r>
      <w:r w:rsidR="00765643">
        <w:rPr>
          <w:rFonts w:ascii="Arial" w:hAnsi="Arial" w:cs="Arial"/>
          <w:color w:val="3B3838" w:themeColor="background2" w:themeShade="40"/>
          <w:sz w:val="20"/>
          <w:szCs w:val="20"/>
        </w:rPr>
        <w:t xml:space="preserve"> that Omicron was unlikely to derail economic growth</w:t>
      </w:r>
      <w:r w:rsidR="00B00175">
        <w:rPr>
          <w:rStyle w:val="EndnoteReference"/>
          <w:rFonts w:ascii="Arial" w:hAnsi="Arial" w:cs="Arial"/>
          <w:color w:val="3B3838" w:themeColor="background2" w:themeShade="40"/>
          <w:sz w:val="20"/>
          <w:szCs w:val="20"/>
        </w:rPr>
        <w:endnoteReference w:id="1"/>
      </w:r>
      <w:r>
        <w:rPr>
          <w:rFonts w:ascii="Arial" w:hAnsi="Arial" w:cs="Arial"/>
          <w:color w:val="3B3838" w:themeColor="background2" w:themeShade="40"/>
          <w:sz w:val="20"/>
          <w:szCs w:val="20"/>
        </w:rPr>
        <w:t xml:space="preserve">. </w:t>
      </w:r>
      <w:r w:rsidR="00765643">
        <w:rPr>
          <w:rFonts w:ascii="Arial" w:hAnsi="Arial" w:cs="Arial"/>
          <w:color w:val="3B3838" w:themeColor="background2" w:themeShade="40"/>
          <w:sz w:val="20"/>
          <w:szCs w:val="20"/>
        </w:rPr>
        <w:t>International d</w:t>
      </w:r>
      <w:r>
        <w:rPr>
          <w:rFonts w:ascii="Arial" w:hAnsi="Arial" w:cs="Arial"/>
          <w:color w:val="3B3838" w:themeColor="background2" w:themeShade="40"/>
          <w:sz w:val="20"/>
          <w:szCs w:val="20"/>
        </w:rPr>
        <w:t>eveloped</w:t>
      </w:r>
      <w:r w:rsidR="00765643">
        <w:rPr>
          <w:rFonts w:ascii="Arial" w:hAnsi="Arial" w:cs="Arial"/>
          <w:color w:val="3B3838" w:themeColor="background2" w:themeShade="40"/>
          <w:sz w:val="20"/>
          <w:szCs w:val="20"/>
        </w:rPr>
        <w:t xml:space="preserve"> equities</w:t>
      </w:r>
      <w:r>
        <w:rPr>
          <w:rFonts w:ascii="Arial" w:hAnsi="Arial" w:cs="Arial"/>
          <w:color w:val="3B3838" w:themeColor="background2" w:themeShade="40"/>
          <w:sz w:val="20"/>
          <w:szCs w:val="20"/>
        </w:rPr>
        <w:t xml:space="preserve"> led the way returning 5.1% </w:t>
      </w:r>
      <w:r w:rsidR="00765643">
        <w:rPr>
          <w:rFonts w:ascii="Arial" w:hAnsi="Arial" w:cs="Arial"/>
          <w:color w:val="3B3838" w:themeColor="background2" w:themeShade="40"/>
          <w:sz w:val="20"/>
          <w:szCs w:val="20"/>
        </w:rPr>
        <w:t>helped by a weaker US dollar</w:t>
      </w:r>
      <w:r>
        <w:rPr>
          <w:rFonts w:ascii="Arial" w:hAnsi="Arial" w:cs="Arial"/>
          <w:color w:val="3B3838" w:themeColor="background2" w:themeShade="40"/>
          <w:sz w:val="20"/>
          <w:szCs w:val="20"/>
        </w:rPr>
        <w:t xml:space="preserve">, followed by US </w:t>
      </w:r>
      <w:proofErr w:type="gramStart"/>
      <w:r>
        <w:rPr>
          <w:rFonts w:ascii="Arial" w:hAnsi="Arial" w:cs="Arial"/>
          <w:color w:val="3B3838" w:themeColor="background2" w:themeShade="40"/>
          <w:sz w:val="20"/>
          <w:szCs w:val="20"/>
        </w:rPr>
        <w:t>equities</w:t>
      </w:r>
      <w:proofErr w:type="gramEnd"/>
      <w:r>
        <w:rPr>
          <w:rFonts w:ascii="Arial" w:hAnsi="Arial" w:cs="Arial"/>
          <w:color w:val="3B3838" w:themeColor="background2" w:themeShade="40"/>
          <w:sz w:val="20"/>
          <w:szCs w:val="20"/>
        </w:rPr>
        <w:t xml:space="preserve"> and e</w:t>
      </w:r>
      <w:r w:rsidRPr="00690464">
        <w:rPr>
          <w:rFonts w:ascii="Arial" w:hAnsi="Arial" w:cs="Arial"/>
          <w:color w:val="3B3838" w:themeColor="background2" w:themeShade="40"/>
          <w:sz w:val="20"/>
          <w:szCs w:val="20"/>
        </w:rPr>
        <w:t xml:space="preserve">merging </w:t>
      </w:r>
      <w:r>
        <w:rPr>
          <w:rFonts w:ascii="Arial" w:hAnsi="Arial" w:cs="Arial"/>
          <w:color w:val="3B3838" w:themeColor="background2" w:themeShade="40"/>
          <w:sz w:val="20"/>
          <w:szCs w:val="20"/>
        </w:rPr>
        <w:t>m</w:t>
      </w:r>
      <w:r w:rsidRPr="00690464">
        <w:rPr>
          <w:rFonts w:ascii="Arial" w:hAnsi="Arial" w:cs="Arial"/>
          <w:color w:val="3B3838" w:themeColor="background2" w:themeShade="40"/>
          <w:sz w:val="20"/>
          <w:szCs w:val="20"/>
        </w:rPr>
        <w:t>arkets</w:t>
      </w:r>
      <w:r>
        <w:rPr>
          <w:rFonts w:ascii="Arial" w:hAnsi="Arial" w:cs="Arial"/>
          <w:color w:val="3B3838" w:themeColor="background2" w:themeShade="40"/>
          <w:sz w:val="20"/>
          <w:szCs w:val="20"/>
        </w:rPr>
        <w:t>, returning 4.5% and 1.9%, respectively. US equites returned 28.7% in 2021 as t</w:t>
      </w:r>
      <w:r w:rsidRPr="00B33317">
        <w:rPr>
          <w:rFonts w:ascii="Arial" w:hAnsi="Arial" w:cs="Arial"/>
          <w:color w:val="3B3838" w:themeColor="background2" w:themeShade="40"/>
          <w:sz w:val="20"/>
          <w:szCs w:val="20"/>
        </w:rPr>
        <w:t xml:space="preserve">he S&amp;P 500 hit </w:t>
      </w:r>
      <w:r>
        <w:rPr>
          <w:rFonts w:ascii="Arial" w:hAnsi="Arial" w:cs="Arial"/>
          <w:color w:val="3B3838" w:themeColor="background2" w:themeShade="40"/>
          <w:sz w:val="20"/>
          <w:szCs w:val="20"/>
        </w:rPr>
        <w:t>70</w:t>
      </w:r>
      <w:r w:rsidRPr="00B33317">
        <w:rPr>
          <w:rFonts w:ascii="Arial" w:hAnsi="Arial" w:cs="Arial"/>
          <w:color w:val="3B3838" w:themeColor="background2" w:themeShade="40"/>
          <w:sz w:val="20"/>
          <w:szCs w:val="20"/>
        </w:rPr>
        <w:t xml:space="preserve"> new all-time highs </w:t>
      </w:r>
      <w:r>
        <w:rPr>
          <w:rFonts w:ascii="Arial" w:hAnsi="Arial" w:cs="Arial"/>
          <w:color w:val="3B3838" w:themeColor="background2" w:themeShade="40"/>
          <w:sz w:val="20"/>
          <w:szCs w:val="20"/>
        </w:rPr>
        <w:t>during the year</w:t>
      </w:r>
      <w:r w:rsidRPr="00B33317">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which is just second to </w:t>
      </w:r>
      <w:r w:rsidRPr="00045057">
        <w:rPr>
          <w:rFonts w:ascii="Arial" w:hAnsi="Arial" w:cs="Arial"/>
          <w:color w:val="3B3838" w:themeColor="background2" w:themeShade="40"/>
          <w:sz w:val="20"/>
          <w:szCs w:val="20"/>
        </w:rPr>
        <w:t xml:space="preserve">1995’s 77 </w:t>
      </w:r>
      <w:r>
        <w:rPr>
          <w:rFonts w:ascii="Arial" w:hAnsi="Arial" w:cs="Arial"/>
          <w:color w:val="3B3838" w:themeColor="background2" w:themeShade="40"/>
          <w:sz w:val="20"/>
          <w:szCs w:val="20"/>
        </w:rPr>
        <w:t>new all-time high record</w:t>
      </w:r>
      <w:r w:rsidR="0080074E">
        <w:rPr>
          <w:rStyle w:val="EndnoteReference"/>
          <w:rFonts w:ascii="Arial" w:hAnsi="Arial" w:cs="Arial"/>
          <w:color w:val="3B3838" w:themeColor="background2" w:themeShade="40"/>
          <w:sz w:val="20"/>
          <w:szCs w:val="20"/>
        </w:rPr>
        <w:endnoteReference w:id="2"/>
      </w:r>
      <w:r>
        <w:rPr>
          <w:rFonts w:ascii="Arial" w:hAnsi="Arial" w:cs="Arial"/>
          <w:color w:val="3B3838" w:themeColor="background2" w:themeShade="40"/>
          <w:sz w:val="20"/>
          <w:szCs w:val="20"/>
        </w:rPr>
        <w:t>.</w:t>
      </w:r>
      <w:r w:rsidR="00972451">
        <w:rPr>
          <w:rFonts w:ascii="Arial" w:hAnsi="Arial" w:cs="Arial"/>
          <w:color w:val="3B3838" w:themeColor="background2" w:themeShade="40"/>
          <w:sz w:val="20"/>
          <w:szCs w:val="20"/>
        </w:rPr>
        <w:t xml:space="preserve">  </w:t>
      </w:r>
      <w:r w:rsidR="00765643">
        <w:rPr>
          <w:rFonts w:ascii="Arial" w:hAnsi="Arial" w:cs="Arial"/>
          <w:color w:val="3B3838" w:themeColor="background2" w:themeShade="40"/>
          <w:sz w:val="20"/>
          <w:szCs w:val="20"/>
        </w:rPr>
        <w:t>US</w:t>
      </w:r>
      <w:r w:rsidR="00972451">
        <w:rPr>
          <w:rFonts w:ascii="Arial" w:hAnsi="Arial" w:cs="Arial"/>
          <w:color w:val="3B3838" w:themeColor="background2" w:themeShade="40"/>
          <w:sz w:val="20"/>
          <w:szCs w:val="20"/>
        </w:rPr>
        <w:t xml:space="preserve"> dividend equities</w:t>
      </w:r>
      <w:r>
        <w:rPr>
          <w:rFonts w:ascii="Arial" w:hAnsi="Arial" w:cs="Arial"/>
          <w:color w:val="3B3838" w:themeColor="background2" w:themeShade="40"/>
          <w:sz w:val="20"/>
          <w:szCs w:val="20"/>
        </w:rPr>
        <w:t xml:space="preserve">, </w:t>
      </w:r>
      <w:r w:rsidR="00765643">
        <w:rPr>
          <w:rFonts w:ascii="Arial" w:hAnsi="Arial" w:cs="Arial"/>
          <w:color w:val="3B3838" w:themeColor="background2" w:themeShade="40"/>
          <w:sz w:val="20"/>
          <w:szCs w:val="20"/>
        </w:rPr>
        <w:t xml:space="preserve">were notable as they </w:t>
      </w:r>
      <w:r>
        <w:rPr>
          <w:rFonts w:ascii="Arial" w:hAnsi="Arial" w:cs="Arial"/>
          <w:color w:val="3B3838" w:themeColor="background2" w:themeShade="40"/>
          <w:sz w:val="20"/>
          <w:szCs w:val="20"/>
        </w:rPr>
        <w:t>out</w:t>
      </w:r>
      <w:r w:rsidR="00972451">
        <w:rPr>
          <w:rFonts w:ascii="Arial" w:hAnsi="Arial" w:cs="Arial"/>
          <w:color w:val="3B3838" w:themeColor="background2" w:themeShade="40"/>
          <w:sz w:val="20"/>
          <w:szCs w:val="20"/>
        </w:rPr>
        <w:t>performed</w:t>
      </w:r>
      <w:r>
        <w:rPr>
          <w:rFonts w:ascii="Arial" w:hAnsi="Arial" w:cs="Arial"/>
          <w:color w:val="3B3838" w:themeColor="background2" w:themeShade="40"/>
          <w:sz w:val="20"/>
          <w:szCs w:val="20"/>
        </w:rPr>
        <w:t xml:space="preserve"> the S&amp;P in December </w:t>
      </w:r>
      <w:r w:rsidR="00972451">
        <w:rPr>
          <w:rFonts w:ascii="Arial" w:hAnsi="Arial" w:cs="Arial"/>
          <w:color w:val="3B3838" w:themeColor="background2" w:themeShade="40"/>
          <w:sz w:val="20"/>
          <w:szCs w:val="20"/>
        </w:rPr>
        <w:t>and the full year</w:t>
      </w:r>
      <w:r>
        <w:rPr>
          <w:rFonts w:ascii="Arial" w:hAnsi="Arial" w:cs="Arial"/>
          <w:color w:val="3B3838" w:themeColor="background2" w:themeShade="40"/>
          <w:sz w:val="20"/>
          <w:szCs w:val="20"/>
        </w:rPr>
        <w:t xml:space="preserve"> 2021, returning 7.3% and 32.2% for the </w:t>
      </w:r>
      <w:r w:rsidR="00972451">
        <w:rPr>
          <w:rFonts w:ascii="Arial" w:hAnsi="Arial" w:cs="Arial"/>
          <w:color w:val="3B3838" w:themeColor="background2" w:themeShade="40"/>
          <w:sz w:val="20"/>
          <w:szCs w:val="20"/>
        </w:rPr>
        <w:t xml:space="preserve">month and </w:t>
      </w:r>
      <w:r>
        <w:rPr>
          <w:rFonts w:ascii="Arial" w:hAnsi="Arial" w:cs="Arial"/>
          <w:color w:val="3B3838" w:themeColor="background2" w:themeShade="40"/>
          <w:sz w:val="20"/>
          <w:szCs w:val="20"/>
        </w:rPr>
        <w:t>year</w:t>
      </w:r>
      <w:r w:rsidR="00972451">
        <w:rPr>
          <w:rFonts w:ascii="Arial" w:hAnsi="Arial" w:cs="Arial"/>
          <w:color w:val="3B3838" w:themeColor="background2" w:themeShade="40"/>
          <w:sz w:val="20"/>
          <w:szCs w:val="20"/>
        </w:rPr>
        <w:t xml:space="preserve"> respectively</w:t>
      </w:r>
      <w:r>
        <w:rPr>
          <w:rFonts w:ascii="Arial" w:hAnsi="Arial" w:cs="Arial"/>
          <w:color w:val="3B3838" w:themeColor="background2" w:themeShade="40"/>
          <w:sz w:val="20"/>
          <w:szCs w:val="20"/>
        </w:rPr>
        <w:t xml:space="preserve">.   </w:t>
      </w:r>
    </w:p>
    <w:p w14:paraId="6792D3DA" w14:textId="77777777" w:rsidR="00C7487B" w:rsidRPr="00690464" w:rsidRDefault="00C7487B" w:rsidP="00C7487B">
      <w:pPr>
        <w:spacing w:after="0"/>
        <w:ind w:right="-360"/>
        <w:rPr>
          <w:rFonts w:ascii="Arial" w:hAnsi="Arial" w:cs="Arial"/>
          <w:color w:val="3B3838" w:themeColor="background2" w:themeShade="40"/>
          <w:sz w:val="20"/>
          <w:szCs w:val="20"/>
        </w:rPr>
      </w:pPr>
    </w:p>
    <w:p w14:paraId="06D64EF4" w14:textId="56D9725F" w:rsidR="00C7487B" w:rsidRDefault="00C7487B" w:rsidP="00C7487B">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All but one of the S&amp;P 500 sectors was positive for the month of December. Real Estate and Consumer Staples sectors had the largest gains in December and were up 10.2% and 10.3% respectively. The big winner of 2021 was Energy</w:t>
      </w:r>
      <w:r w:rsidR="00765643">
        <w:rPr>
          <w:rFonts w:ascii="Arial" w:hAnsi="Arial" w:cs="Arial"/>
          <w:color w:val="3B3838" w:themeColor="background2" w:themeShade="40"/>
          <w:sz w:val="20"/>
          <w:szCs w:val="20"/>
        </w:rPr>
        <w:t xml:space="preserve"> which was up </w:t>
      </w:r>
      <w:r>
        <w:rPr>
          <w:rFonts w:ascii="Arial" w:hAnsi="Arial" w:cs="Arial"/>
          <w:color w:val="3B3838" w:themeColor="background2" w:themeShade="40"/>
          <w:sz w:val="20"/>
          <w:szCs w:val="20"/>
        </w:rPr>
        <w:t>54.6%</w:t>
      </w:r>
      <w:r w:rsidR="00300023">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followed by Real Estate </w:t>
      </w:r>
      <w:r w:rsidR="00765643">
        <w:rPr>
          <w:rFonts w:ascii="Arial" w:hAnsi="Arial" w:cs="Arial"/>
          <w:color w:val="3B3838" w:themeColor="background2" w:themeShade="40"/>
          <w:sz w:val="20"/>
          <w:szCs w:val="20"/>
        </w:rPr>
        <w:t xml:space="preserve">which gained </w:t>
      </w:r>
      <w:r>
        <w:rPr>
          <w:rFonts w:ascii="Arial" w:hAnsi="Arial" w:cs="Arial"/>
          <w:color w:val="3B3838" w:themeColor="background2" w:themeShade="40"/>
          <w:sz w:val="20"/>
          <w:szCs w:val="20"/>
        </w:rPr>
        <w:t>46.2%; both sectors benefited from the reopening trade as C</w:t>
      </w:r>
      <w:r w:rsidR="00765643">
        <w:rPr>
          <w:rFonts w:ascii="Arial" w:hAnsi="Arial" w:cs="Arial"/>
          <w:color w:val="3B3838" w:themeColor="background2" w:themeShade="40"/>
          <w:sz w:val="20"/>
          <w:szCs w:val="20"/>
        </w:rPr>
        <w:t>OVID</w:t>
      </w:r>
      <w:r>
        <w:rPr>
          <w:rFonts w:ascii="Arial" w:hAnsi="Arial" w:cs="Arial"/>
          <w:color w:val="3B3838" w:themeColor="background2" w:themeShade="40"/>
          <w:sz w:val="20"/>
          <w:szCs w:val="20"/>
        </w:rPr>
        <w:t xml:space="preserve"> restrictions loosened throughout 2021.    </w:t>
      </w:r>
    </w:p>
    <w:p w14:paraId="669FAAAC" w14:textId="77777777" w:rsidR="00C7487B" w:rsidRDefault="00C7487B" w:rsidP="00C7487B">
      <w:pPr>
        <w:spacing w:after="0"/>
        <w:ind w:left="1440" w:right="-360"/>
        <w:rPr>
          <w:rFonts w:ascii="Arial" w:hAnsi="Arial" w:cs="Arial"/>
          <w:color w:val="3B3838" w:themeColor="background2" w:themeShade="40"/>
          <w:sz w:val="20"/>
          <w:szCs w:val="20"/>
        </w:rPr>
      </w:pPr>
    </w:p>
    <w:p w14:paraId="166385FE" w14:textId="03B5ED92" w:rsidR="00C7487B" w:rsidRDefault="00C7487B" w:rsidP="00C7487B">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The bond markets were relatively flat in December and down for the year. Multiple </w:t>
      </w:r>
      <w:r w:rsidR="00765643">
        <w:rPr>
          <w:rFonts w:ascii="Arial" w:hAnsi="Arial" w:cs="Arial"/>
          <w:color w:val="3B3838" w:themeColor="background2" w:themeShade="40"/>
          <w:sz w:val="20"/>
          <w:szCs w:val="20"/>
        </w:rPr>
        <w:t>COVID</w:t>
      </w:r>
      <w:r>
        <w:rPr>
          <w:rFonts w:ascii="Arial" w:hAnsi="Arial" w:cs="Arial"/>
          <w:color w:val="3B3838" w:themeColor="background2" w:themeShade="40"/>
          <w:sz w:val="20"/>
          <w:szCs w:val="20"/>
        </w:rPr>
        <w:t xml:space="preserve"> waves, rising i</w:t>
      </w:r>
      <w:r w:rsidRPr="000966B3">
        <w:rPr>
          <w:rFonts w:ascii="Arial" w:hAnsi="Arial" w:cs="Arial"/>
          <w:color w:val="3B3838" w:themeColor="background2" w:themeShade="40"/>
          <w:sz w:val="20"/>
          <w:szCs w:val="20"/>
        </w:rPr>
        <w:t xml:space="preserve">nflation and </w:t>
      </w:r>
      <w:r>
        <w:rPr>
          <w:rFonts w:ascii="Arial" w:hAnsi="Arial" w:cs="Arial"/>
          <w:color w:val="3B3838" w:themeColor="background2" w:themeShade="40"/>
          <w:sz w:val="20"/>
          <w:szCs w:val="20"/>
        </w:rPr>
        <w:t xml:space="preserve">the </w:t>
      </w:r>
      <w:r w:rsidRPr="00A51E69">
        <w:rPr>
          <w:rFonts w:ascii="Arial" w:hAnsi="Arial" w:cs="Arial"/>
          <w:color w:val="3B3838" w:themeColor="background2" w:themeShade="40"/>
          <w:sz w:val="20"/>
          <w:szCs w:val="20"/>
        </w:rPr>
        <w:t>Fed signal</w:t>
      </w:r>
      <w:r>
        <w:rPr>
          <w:rFonts w:ascii="Arial" w:hAnsi="Arial" w:cs="Arial"/>
          <w:color w:val="3B3838" w:themeColor="background2" w:themeShade="40"/>
          <w:sz w:val="20"/>
          <w:szCs w:val="20"/>
        </w:rPr>
        <w:t>ing</w:t>
      </w:r>
      <w:r w:rsidRPr="00A51E69">
        <w:rPr>
          <w:rFonts w:ascii="Arial" w:hAnsi="Arial" w:cs="Arial"/>
          <w:color w:val="3B3838" w:themeColor="background2" w:themeShade="40"/>
          <w:sz w:val="20"/>
          <w:szCs w:val="20"/>
        </w:rPr>
        <w:t xml:space="preserve"> it may consider three rate hikes</w:t>
      </w:r>
      <w:r w:rsidR="00B474AC">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in 2022</w:t>
      </w:r>
      <w:r w:rsidR="00B474AC">
        <w:rPr>
          <w:rStyle w:val="EndnoteReference"/>
          <w:rFonts w:ascii="Arial" w:hAnsi="Arial" w:cs="Arial"/>
          <w:color w:val="3B3838" w:themeColor="background2" w:themeShade="40"/>
          <w:sz w:val="20"/>
          <w:szCs w:val="20"/>
        </w:rPr>
        <w:endnoteReference w:id="3"/>
      </w:r>
      <w:r>
        <w:rPr>
          <w:rFonts w:ascii="Arial" w:hAnsi="Arial" w:cs="Arial"/>
          <w:color w:val="3B3838" w:themeColor="background2" w:themeShade="40"/>
          <w:sz w:val="20"/>
          <w:szCs w:val="20"/>
        </w:rPr>
        <w:t xml:space="preserve"> put added pressure on the fixed income markets and can be attributed to the year</w:t>
      </w:r>
      <w:r w:rsidR="00300023">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s lackluster performance. </w:t>
      </w:r>
      <w:r w:rsidR="00765643">
        <w:rPr>
          <w:rFonts w:ascii="Arial" w:hAnsi="Arial" w:cs="Arial"/>
          <w:color w:val="3B3838" w:themeColor="background2" w:themeShade="40"/>
          <w:sz w:val="20"/>
          <w:szCs w:val="20"/>
        </w:rPr>
        <w:t>Lower quality bonds such as corporate high yield continued its winning streak in</w:t>
      </w:r>
      <w:r>
        <w:rPr>
          <w:rFonts w:ascii="Arial" w:hAnsi="Arial" w:cs="Arial"/>
          <w:color w:val="3B3838" w:themeColor="background2" w:themeShade="40"/>
          <w:sz w:val="20"/>
          <w:szCs w:val="20"/>
        </w:rPr>
        <w:t xml:space="preserve"> December, returning 1.9% for the month and 5.3% for the year</w:t>
      </w:r>
      <w:r w:rsidR="00765643">
        <w:rPr>
          <w:rFonts w:ascii="Arial" w:hAnsi="Arial" w:cs="Arial"/>
          <w:color w:val="3B3838" w:themeColor="background2" w:themeShade="40"/>
          <w:sz w:val="20"/>
          <w:szCs w:val="20"/>
        </w:rPr>
        <w:t xml:space="preserve"> as investors sought yield</w:t>
      </w:r>
      <w:r>
        <w:rPr>
          <w:rFonts w:ascii="Arial" w:hAnsi="Arial" w:cs="Arial"/>
          <w:color w:val="3B3838" w:themeColor="background2" w:themeShade="40"/>
          <w:sz w:val="20"/>
          <w:szCs w:val="20"/>
        </w:rPr>
        <w:t>.</w:t>
      </w:r>
    </w:p>
    <w:p w14:paraId="03181E45" w14:textId="77777777" w:rsidR="00C7487B" w:rsidRDefault="00C7487B" w:rsidP="00C7487B">
      <w:pPr>
        <w:spacing w:after="0"/>
        <w:ind w:left="1440" w:right="-360"/>
        <w:rPr>
          <w:rFonts w:ascii="Arial" w:hAnsi="Arial" w:cs="Arial"/>
          <w:color w:val="3B3838" w:themeColor="background2" w:themeShade="40"/>
          <w:sz w:val="20"/>
          <w:szCs w:val="20"/>
        </w:rPr>
      </w:pPr>
    </w:p>
    <w:p w14:paraId="4F4DEAFF" w14:textId="264DD92A" w:rsidR="00C7487B" w:rsidRPr="00690464" w:rsidRDefault="00C7487B" w:rsidP="00C7487B">
      <w:pPr>
        <w:spacing w:after="0"/>
        <w:ind w:left="1440" w:right="-360"/>
        <w:rPr>
          <w:rFonts w:ascii="Arial" w:hAnsi="Arial" w:cs="Arial"/>
          <w:color w:val="3B3838" w:themeColor="background2" w:themeShade="40"/>
          <w:sz w:val="20"/>
          <w:szCs w:val="20"/>
        </w:rPr>
      </w:pPr>
      <w:r w:rsidRPr="00690464">
        <w:rPr>
          <w:rFonts w:ascii="Arial" w:hAnsi="Arial" w:cs="Arial"/>
          <w:color w:val="3B3838" w:themeColor="background2" w:themeShade="40"/>
          <w:sz w:val="20"/>
          <w:szCs w:val="20"/>
        </w:rPr>
        <w:lastRenderedPageBreak/>
        <w:t xml:space="preserve">The commodity index </w:t>
      </w:r>
      <w:r>
        <w:rPr>
          <w:rFonts w:ascii="Arial" w:hAnsi="Arial" w:cs="Arial"/>
          <w:color w:val="3B3838" w:themeColor="background2" w:themeShade="40"/>
          <w:sz w:val="20"/>
          <w:szCs w:val="20"/>
        </w:rPr>
        <w:t>returned 3.5% in Decembe</w:t>
      </w:r>
      <w:r w:rsidR="002859EB">
        <w:rPr>
          <w:rFonts w:ascii="Arial" w:hAnsi="Arial" w:cs="Arial"/>
          <w:color w:val="3B3838" w:themeColor="background2" w:themeShade="40"/>
          <w:sz w:val="20"/>
          <w:szCs w:val="20"/>
        </w:rPr>
        <w:t>r as inflation remains a major theme. Within the broad commodity complex, t</w:t>
      </w:r>
      <w:r>
        <w:rPr>
          <w:rFonts w:ascii="Arial" w:hAnsi="Arial" w:cs="Arial"/>
          <w:color w:val="3B3838" w:themeColor="background2" w:themeShade="40"/>
          <w:sz w:val="20"/>
          <w:szCs w:val="20"/>
        </w:rPr>
        <w:t>he big winner for the year was energy, returning 52.1% for the year. Gold returned 2.9% December</w:t>
      </w:r>
      <w:r w:rsidR="002859EB">
        <w:rPr>
          <w:rFonts w:ascii="Arial" w:hAnsi="Arial" w:cs="Arial"/>
          <w:color w:val="3B3838" w:themeColor="background2" w:themeShade="40"/>
          <w:sz w:val="20"/>
          <w:szCs w:val="20"/>
        </w:rPr>
        <w:t xml:space="preserve"> but was unable to reverse its slump for the year despite inflation fears</w:t>
      </w:r>
      <w:r>
        <w:rPr>
          <w:rFonts w:ascii="Arial" w:hAnsi="Arial" w:cs="Arial"/>
          <w:color w:val="3B3838" w:themeColor="background2" w:themeShade="40"/>
          <w:sz w:val="20"/>
          <w:szCs w:val="20"/>
        </w:rPr>
        <w:t>. US REITs had another spectacular month returning 9.6% in December, capping of a great year that returned 41.3% in 2021.</w:t>
      </w:r>
    </w:p>
    <w:p w14:paraId="6C594607" w14:textId="5C44209F" w:rsidR="00690464" w:rsidRPr="00690464" w:rsidRDefault="00690464" w:rsidP="00690464">
      <w:pPr>
        <w:spacing w:after="0"/>
        <w:ind w:left="1440" w:right="-360"/>
        <w:rPr>
          <w:rFonts w:ascii="Arial" w:hAnsi="Arial" w:cs="Arial"/>
          <w:color w:val="3B3838" w:themeColor="background2" w:themeShade="40"/>
          <w:sz w:val="20"/>
          <w:szCs w:val="20"/>
        </w:rPr>
      </w:pPr>
      <w:r w:rsidRPr="00690464">
        <w:rPr>
          <w:rFonts w:ascii="Arial" w:hAnsi="Arial" w:cs="Arial"/>
          <w:color w:val="3B3838" w:themeColor="background2" w:themeShade="40"/>
          <w:sz w:val="20"/>
          <w:szCs w:val="20"/>
        </w:rPr>
        <w:t xml:space="preserve"> </w:t>
      </w:r>
    </w:p>
    <w:p w14:paraId="3484B6FE" w14:textId="3B8A5AA2" w:rsidR="003D535D" w:rsidRDefault="00690464" w:rsidP="00690464">
      <w:pPr>
        <w:autoSpaceDE w:val="0"/>
        <w:autoSpaceDN w:val="0"/>
        <w:spacing w:after="0"/>
        <w:ind w:left="1440" w:right="-360"/>
        <w:rPr>
          <w:rFonts w:ascii="Arial" w:hAnsi="Arial" w:cs="Arial"/>
          <w:noProof/>
          <w:color w:val="3B3838" w:themeColor="background2" w:themeShade="40"/>
          <w:sz w:val="20"/>
          <w:szCs w:val="20"/>
        </w:rPr>
      </w:pPr>
      <w:r w:rsidRPr="00690464">
        <w:rPr>
          <w:rFonts w:ascii="Arial" w:hAnsi="Arial" w:cs="Arial"/>
          <w:color w:val="3B3838" w:themeColor="background2" w:themeShade="40"/>
          <w:sz w:val="20"/>
          <w:szCs w:val="20"/>
        </w:rPr>
        <w:t xml:space="preserve">Relative to a globally balanced (60/40) equity/bond index, allocations to </w:t>
      </w:r>
      <w:r w:rsidR="007B3FC8" w:rsidRPr="00690464">
        <w:rPr>
          <w:rFonts w:ascii="Arial" w:hAnsi="Arial" w:cs="Arial"/>
          <w:color w:val="3B3838" w:themeColor="background2" w:themeShade="40"/>
          <w:sz w:val="20"/>
          <w:szCs w:val="20"/>
        </w:rPr>
        <w:t xml:space="preserve">global </w:t>
      </w:r>
      <w:r w:rsidR="00F35770">
        <w:rPr>
          <w:rFonts w:ascii="Arial" w:hAnsi="Arial" w:cs="Arial"/>
          <w:color w:val="3B3838" w:themeColor="background2" w:themeShade="40"/>
          <w:sz w:val="20"/>
          <w:szCs w:val="20"/>
        </w:rPr>
        <w:t>equities</w:t>
      </w:r>
      <w:r w:rsidR="00955508">
        <w:rPr>
          <w:rFonts w:ascii="Arial" w:hAnsi="Arial" w:cs="Arial"/>
          <w:color w:val="3B3838" w:themeColor="background2" w:themeShade="40"/>
          <w:sz w:val="20"/>
          <w:szCs w:val="20"/>
        </w:rPr>
        <w:t xml:space="preserve">, </w:t>
      </w:r>
      <w:r w:rsidR="007B3FC8" w:rsidRPr="00690464">
        <w:rPr>
          <w:rFonts w:ascii="Arial" w:hAnsi="Arial" w:cs="Arial"/>
          <w:color w:val="3B3838" w:themeColor="background2" w:themeShade="40"/>
          <w:sz w:val="20"/>
          <w:szCs w:val="20"/>
        </w:rPr>
        <w:t>US REITs</w:t>
      </w:r>
      <w:r w:rsidR="00557EBE">
        <w:rPr>
          <w:rFonts w:ascii="Arial" w:hAnsi="Arial" w:cs="Arial"/>
          <w:color w:val="3B3838" w:themeColor="background2" w:themeShade="40"/>
          <w:sz w:val="20"/>
          <w:szCs w:val="20"/>
        </w:rPr>
        <w:t xml:space="preserve">, </w:t>
      </w:r>
      <w:proofErr w:type="gramStart"/>
      <w:r w:rsidR="00955508">
        <w:rPr>
          <w:rFonts w:ascii="Arial" w:hAnsi="Arial" w:cs="Arial"/>
          <w:color w:val="3B3838" w:themeColor="background2" w:themeShade="40"/>
          <w:sz w:val="20"/>
          <w:szCs w:val="20"/>
        </w:rPr>
        <w:t>gold</w:t>
      </w:r>
      <w:proofErr w:type="gramEnd"/>
      <w:r w:rsidR="00955508">
        <w:rPr>
          <w:rFonts w:ascii="Arial" w:hAnsi="Arial" w:cs="Arial"/>
          <w:color w:val="3B3838" w:themeColor="background2" w:themeShade="40"/>
          <w:sz w:val="20"/>
          <w:szCs w:val="20"/>
        </w:rPr>
        <w:t xml:space="preserve"> </w:t>
      </w:r>
      <w:r w:rsidR="00F35770" w:rsidRPr="00690464">
        <w:rPr>
          <w:rFonts w:ascii="Arial" w:hAnsi="Arial" w:cs="Arial"/>
          <w:color w:val="3B3838" w:themeColor="background2" w:themeShade="40"/>
          <w:sz w:val="20"/>
          <w:szCs w:val="20"/>
        </w:rPr>
        <w:t xml:space="preserve">and </w:t>
      </w:r>
      <w:r w:rsidR="00F35770">
        <w:rPr>
          <w:rFonts w:ascii="Arial" w:hAnsi="Arial" w:cs="Arial"/>
          <w:color w:val="3B3838" w:themeColor="background2" w:themeShade="40"/>
          <w:sz w:val="20"/>
          <w:szCs w:val="20"/>
        </w:rPr>
        <w:t xml:space="preserve">commodities </w:t>
      </w:r>
      <w:r w:rsidRPr="00690464">
        <w:rPr>
          <w:rFonts w:ascii="Arial" w:hAnsi="Arial" w:cs="Arial"/>
          <w:color w:val="3B3838" w:themeColor="background2" w:themeShade="40"/>
          <w:sz w:val="20"/>
          <w:szCs w:val="20"/>
        </w:rPr>
        <w:t>helped while</w:t>
      </w:r>
      <w:r w:rsidR="007B3FC8">
        <w:rPr>
          <w:rFonts w:ascii="Arial" w:hAnsi="Arial" w:cs="Arial"/>
          <w:color w:val="3B3838" w:themeColor="background2" w:themeShade="40"/>
          <w:sz w:val="20"/>
          <w:szCs w:val="20"/>
        </w:rPr>
        <w:t xml:space="preserve"> </w:t>
      </w:r>
      <w:r w:rsidR="00F35770">
        <w:rPr>
          <w:rFonts w:ascii="Arial" w:hAnsi="Arial" w:cs="Arial"/>
          <w:color w:val="3B3838" w:themeColor="background2" w:themeShade="40"/>
          <w:sz w:val="20"/>
          <w:szCs w:val="20"/>
        </w:rPr>
        <w:t xml:space="preserve">global </w:t>
      </w:r>
      <w:r w:rsidR="006C1445">
        <w:rPr>
          <w:rFonts w:ascii="Arial" w:hAnsi="Arial" w:cs="Arial"/>
          <w:color w:val="3B3838" w:themeColor="background2" w:themeShade="40"/>
          <w:sz w:val="20"/>
          <w:szCs w:val="20"/>
        </w:rPr>
        <w:t xml:space="preserve">bonds </w:t>
      </w:r>
      <w:r w:rsidR="00955508">
        <w:rPr>
          <w:rFonts w:ascii="Arial" w:hAnsi="Arial" w:cs="Arial"/>
          <w:color w:val="3B3838" w:themeColor="background2" w:themeShade="40"/>
          <w:sz w:val="20"/>
          <w:szCs w:val="20"/>
        </w:rPr>
        <w:t>hurt</w:t>
      </w:r>
      <w:r w:rsidRPr="00690464">
        <w:rPr>
          <w:rFonts w:ascii="Arial" w:hAnsi="Arial" w:cs="Arial"/>
          <w:color w:val="3B3838" w:themeColor="background2" w:themeShade="40"/>
          <w:sz w:val="20"/>
          <w:szCs w:val="20"/>
        </w:rPr>
        <w:t xml:space="preserve"> for the month</w:t>
      </w:r>
      <w:r>
        <w:rPr>
          <w:rFonts w:ascii="Arial" w:hAnsi="Arial" w:cs="Arial"/>
          <w:noProof/>
          <w:color w:val="3B3838" w:themeColor="background2" w:themeShade="40"/>
          <w:sz w:val="20"/>
          <w:szCs w:val="20"/>
        </w:rPr>
        <w:t>.</w:t>
      </w:r>
    </w:p>
    <w:p w14:paraId="1EFBD56B" w14:textId="45C3D89C" w:rsidR="00690464" w:rsidRPr="00BF2749" w:rsidRDefault="007A1033" w:rsidP="00690464">
      <w:pPr>
        <w:autoSpaceDE w:val="0"/>
        <w:autoSpaceDN w:val="0"/>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59264" behindDoc="0" locked="0" layoutInCell="1" allowOverlap="1" wp14:anchorId="28C54110" wp14:editId="75B74EAA">
            <wp:simplePos x="0" y="0"/>
            <wp:positionH relativeFrom="margin">
              <wp:posOffset>936911</wp:posOffset>
            </wp:positionH>
            <wp:positionV relativeFrom="page">
              <wp:posOffset>3067828</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86218AE" w14:textId="39EE27AF" w:rsidR="00096F2C" w:rsidRDefault="00096F2C" w:rsidP="00096F2C">
      <w:pPr>
        <w:pStyle w:val="ListParagraph"/>
        <w:ind w:left="1440"/>
        <w:rPr>
          <w:rStyle w:val="Emphasis"/>
          <w:rFonts w:ascii="Arial" w:hAnsi="Arial" w:cs="Arial"/>
          <w:i w:val="0"/>
          <w:iCs w:val="0"/>
          <w:color w:val="000000"/>
          <w:sz w:val="16"/>
          <w:szCs w:val="16"/>
          <w:shd w:val="clear" w:color="auto" w:fill="FFFFFF"/>
        </w:rPr>
      </w:pPr>
      <w:r>
        <w:rPr>
          <w:rFonts w:ascii="Arial" w:hAnsi="Arial" w:cs="Arial"/>
          <w:color w:val="7F7F7F" w:themeColor="text1" w:themeTint="80"/>
          <w:sz w:val="18"/>
          <w:szCs w:val="18"/>
        </w:rPr>
        <w:t>S</w:t>
      </w:r>
      <w:r>
        <w:rPr>
          <w:rFonts w:ascii="Arial" w:hAnsi="Arial" w:cs="Arial"/>
          <w:sz w:val="16"/>
          <w:szCs w:val="16"/>
        </w:rPr>
        <w:t xml:space="preserve">ource: FactSet </w:t>
      </w:r>
      <w:r>
        <w:rPr>
          <w:rStyle w:val="Emphasis"/>
          <w:rFonts w:ascii="Arial" w:hAnsi="Arial" w:cs="Arial"/>
          <w:color w:val="000000"/>
          <w:sz w:val="16"/>
          <w:szCs w:val="16"/>
          <w:shd w:val="clear" w:color="auto" w:fill="FFFFFF"/>
        </w:rPr>
        <w:t>financial data and analytics</w:t>
      </w:r>
    </w:p>
    <w:p w14:paraId="4B58A0E5" w14:textId="502232B4" w:rsidR="000E31F0" w:rsidRPr="000E31F0" w:rsidRDefault="000E31F0" w:rsidP="00096F2C">
      <w:pPr>
        <w:autoSpaceDE w:val="0"/>
        <w:autoSpaceDN w:val="0"/>
        <w:spacing w:after="0"/>
        <w:ind w:right="-360" w:firstLine="1260"/>
        <w:rPr>
          <w:rFonts w:ascii="Arial" w:hAnsi="Arial" w:cs="Arial"/>
          <w:color w:val="7F7F7F" w:themeColor="text1" w:themeTint="80"/>
          <w:sz w:val="18"/>
          <w:szCs w:val="18"/>
        </w:rPr>
      </w:pPr>
    </w:p>
    <w:p w14:paraId="452AFDC2" w14:textId="266E1BEC" w:rsidR="002F7F11" w:rsidRDefault="002F7F11" w:rsidP="00AC6525">
      <w:pPr>
        <w:autoSpaceDE w:val="0"/>
        <w:autoSpaceDN w:val="0"/>
        <w:spacing w:after="0"/>
        <w:ind w:right="-360"/>
        <w:rPr>
          <w:rFonts w:ascii="Arial" w:hAnsi="Arial" w:cs="Arial"/>
          <w:color w:val="3B3838" w:themeColor="background2" w:themeShade="40"/>
          <w:sz w:val="20"/>
          <w:szCs w:val="20"/>
        </w:rPr>
      </w:pPr>
    </w:p>
    <w:p w14:paraId="2118F804" w14:textId="10A64B45" w:rsidR="00996FBD" w:rsidRPr="000E5F02" w:rsidRDefault="00B5385F" w:rsidP="000E5F02">
      <w:pPr>
        <w:autoSpaceDE w:val="0"/>
        <w:autoSpaceDN w:val="0"/>
        <w:spacing w:after="0"/>
        <w:ind w:right="-360" w:hanging="540"/>
        <w:rPr>
          <w:rFonts w:ascii="Arial" w:hAnsi="Arial" w:cs="Arial"/>
          <w:color w:val="3B3838" w:themeColor="background2" w:themeShade="40"/>
          <w:sz w:val="20"/>
          <w:szCs w:val="20"/>
        </w:rPr>
      </w:pPr>
      <w:r w:rsidRPr="0040163B">
        <w:rPr>
          <w:rFonts w:ascii="Arial" w:hAnsi="Arial" w:cs="Arial"/>
          <w:color w:val="343433"/>
          <w:sz w:val="21"/>
        </w:rPr>
        <w:t>DEFINITIONS</w:t>
      </w: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3A27B5" w:rsidRPr="00567CF8" w14:paraId="5DE4BB2F" w14:textId="77777777" w:rsidTr="00EE41FB">
        <w:trPr>
          <w:trHeight w:val="264"/>
        </w:trPr>
        <w:tc>
          <w:tcPr>
            <w:tcW w:w="1654" w:type="dxa"/>
            <w:tcBorders>
              <w:top w:val="nil"/>
              <w:left w:val="nil"/>
              <w:bottom w:val="nil"/>
              <w:right w:val="nil"/>
            </w:tcBorders>
            <w:shd w:val="clear" w:color="auto" w:fill="auto"/>
            <w:noWrap/>
            <w:vAlign w:val="bottom"/>
            <w:hideMark/>
          </w:tcPr>
          <w:p w14:paraId="562E447D" w14:textId="77777777" w:rsidR="003A27B5" w:rsidRPr="00567CF8" w:rsidRDefault="003A27B5" w:rsidP="003A27B5">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48064727"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33E4718B"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3A27B5" w:rsidRPr="00567CF8" w14:paraId="67EF2B2B" w14:textId="77777777" w:rsidTr="00EE41FB">
        <w:trPr>
          <w:trHeight w:val="636"/>
        </w:trPr>
        <w:tc>
          <w:tcPr>
            <w:tcW w:w="1654" w:type="dxa"/>
            <w:tcBorders>
              <w:top w:val="nil"/>
              <w:left w:val="nil"/>
              <w:bottom w:val="nil"/>
              <w:right w:val="nil"/>
            </w:tcBorders>
            <w:shd w:val="clear" w:color="auto" w:fill="auto"/>
            <w:hideMark/>
          </w:tcPr>
          <w:p w14:paraId="2AEDE42D"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03574D9F"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3D317900"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474973E0" w14:textId="31F91F45" w:rsidR="004561AF" w:rsidRPr="002005D2" w:rsidRDefault="004561AF" w:rsidP="003A27B5">
            <w:pPr>
              <w:spacing w:after="0" w:line="240" w:lineRule="auto"/>
              <w:rPr>
                <w:rFonts w:ascii="Arial" w:hAnsi="Arial" w:cs="Arial"/>
                <w:color w:val="000000"/>
                <w:sz w:val="18"/>
                <w:szCs w:val="18"/>
              </w:rPr>
            </w:pPr>
          </w:p>
        </w:tc>
      </w:tr>
      <w:tr w:rsidR="003A27B5" w:rsidRPr="00567CF8" w14:paraId="532159EA" w14:textId="77777777" w:rsidTr="00EE41FB">
        <w:trPr>
          <w:trHeight w:val="384"/>
        </w:trPr>
        <w:tc>
          <w:tcPr>
            <w:tcW w:w="1654" w:type="dxa"/>
            <w:tcBorders>
              <w:top w:val="nil"/>
              <w:left w:val="nil"/>
              <w:bottom w:val="nil"/>
              <w:right w:val="nil"/>
            </w:tcBorders>
            <w:shd w:val="clear" w:color="auto" w:fill="auto"/>
            <w:hideMark/>
          </w:tcPr>
          <w:p w14:paraId="5D5805CF"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14E3B357"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67BBFD81"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E63BB9C" w14:textId="643887BB" w:rsidR="004561AF" w:rsidRPr="002005D2" w:rsidRDefault="004561AF" w:rsidP="003A27B5">
            <w:pPr>
              <w:spacing w:after="0" w:line="240" w:lineRule="auto"/>
              <w:rPr>
                <w:rFonts w:ascii="Arial" w:hAnsi="Arial" w:cs="Arial"/>
                <w:color w:val="000000"/>
                <w:sz w:val="18"/>
                <w:szCs w:val="18"/>
              </w:rPr>
            </w:pPr>
          </w:p>
        </w:tc>
      </w:tr>
      <w:tr w:rsidR="003A27B5" w:rsidRPr="00567CF8" w14:paraId="4D26B038" w14:textId="77777777" w:rsidTr="00EE41FB">
        <w:trPr>
          <w:trHeight w:val="537"/>
        </w:trPr>
        <w:tc>
          <w:tcPr>
            <w:tcW w:w="1654" w:type="dxa"/>
            <w:tcBorders>
              <w:top w:val="nil"/>
              <w:left w:val="nil"/>
              <w:bottom w:val="nil"/>
              <w:right w:val="nil"/>
            </w:tcBorders>
            <w:shd w:val="clear" w:color="auto" w:fill="auto"/>
            <w:hideMark/>
          </w:tcPr>
          <w:p w14:paraId="418344CB"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63F2F0F7"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7A133009"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measures the equity performance of countries considered to represent developed markets, excluding the U.S. and Canada.</w:t>
            </w:r>
          </w:p>
        </w:tc>
      </w:tr>
      <w:tr w:rsidR="003A27B5" w:rsidRPr="00567CF8" w14:paraId="488B9689" w14:textId="77777777" w:rsidTr="00EE41FB">
        <w:trPr>
          <w:trHeight w:val="546"/>
        </w:trPr>
        <w:tc>
          <w:tcPr>
            <w:tcW w:w="1654" w:type="dxa"/>
            <w:tcBorders>
              <w:top w:val="nil"/>
              <w:left w:val="nil"/>
              <w:bottom w:val="nil"/>
              <w:right w:val="nil"/>
            </w:tcBorders>
            <w:shd w:val="clear" w:color="auto" w:fill="auto"/>
            <w:hideMark/>
          </w:tcPr>
          <w:p w14:paraId="6043445C" w14:textId="7572467B"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 xml:space="preserve">Emerging Markets </w:t>
            </w:r>
            <w:r w:rsidR="00737093" w:rsidRPr="002005D2">
              <w:rPr>
                <w:rFonts w:ascii="Arial" w:hAnsi="Arial" w:cs="Arial"/>
                <w:color w:val="000000"/>
                <w:sz w:val="18"/>
                <w:szCs w:val="18"/>
              </w:rPr>
              <w:t xml:space="preserve">(EM) </w:t>
            </w:r>
            <w:r w:rsidRPr="002005D2">
              <w:rPr>
                <w:rFonts w:ascii="Arial" w:hAnsi="Arial" w:cs="Arial"/>
                <w:color w:val="000000"/>
                <w:sz w:val="18"/>
                <w:szCs w:val="18"/>
              </w:rPr>
              <w:t>Equity</w:t>
            </w:r>
          </w:p>
        </w:tc>
        <w:tc>
          <w:tcPr>
            <w:tcW w:w="1929" w:type="dxa"/>
            <w:tcBorders>
              <w:top w:val="nil"/>
              <w:left w:val="nil"/>
              <w:bottom w:val="nil"/>
              <w:right w:val="nil"/>
            </w:tcBorders>
            <w:shd w:val="clear" w:color="auto" w:fill="auto"/>
            <w:hideMark/>
          </w:tcPr>
          <w:p w14:paraId="0FA26C78"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3106F699" w14:textId="77777777" w:rsidR="003A27B5" w:rsidRPr="002005D2" w:rsidRDefault="003A27B5" w:rsidP="003A27B5">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equity market performance of countries considered to represent emerging markets. </w:t>
            </w:r>
          </w:p>
          <w:p w14:paraId="6F0F7C31" w14:textId="77777777" w:rsidR="004561AF" w:rsidRPr="002005D2" w:rsidRDefault="004561AF" w:rsidP="003A27B5">
            <w:pPr>
              <w:spacing w:after="0" w:line="240" w:lineRule="auto"/>
              <w:rPr>
                <w:rFonts w:ascii="Arial" w:hAnsi="Arial" w:cs="Arial"/>
                <w:color w:val="000000"/>
                <w:sz w:val="18"/>
                <w:szCs w:val="18"/>
              </w:rPr>
            </w:pPr>
          </w:p>
          <w:p w14:paraId="6527F269" w14:textId="732F0CEB" w:rsidR="004561AF" w:rsidRPr="002005D2" w:rsidRDefault="004561AF" w:rsidP="003A27B5">
            <w:pPr>
              <w:spacing w:after="0" w:line="240" w:lineRule="auto"/>
              <w:rPr>
                <w:rFonts w:ascii="Arial" w:hAnsi="Arial" w:cs="Arial"/>
                <w:color w:val="000000"/>
                <w:sz w:val="18"/>
                <w:szCs w:val="18"/>
              </w:rPr>
            </w:pPr>
          </w:p>
        </w:tc>
      </w:tr>
      <w:tr w:rsidR="0027433B" w:rsidRPr="002005D2" w14:paraId="78C518C4" w14:textId="77777777" w:rsidTr="0027433B">
        <w:trPr>
          <w:gridAfter w:val="1"/>
          <w:wAfter w:w="3583" w:type="dxa"/>
          <w:trHeight w:val="78"/>
        </w:trPr>
        <w:tc>
          <w:tcPr>
            <w:tcW w:w="7073" w:type="dxa"/>
            <w:gridSpan w:val="3"/>
            <w:tcBorders>
              <w:top w:val="nil"/>
              <w:left w:val="nil"/>
              <w:bottom w:val="nil"/>
              <w:right w:val="nil"/>
            </w:tcBorders>
            <w:shd w:val="clear" w:color="auto" w:fill="auto"/>
          </w:tcPr>
          <w:p w14:paraId="3E590943" w14:textId="2B33B4F0" w:rsidR="0027433B" w:rsidRPr="002005D2" w:rsidRDefault="0027433B" w:rsidP="003A27B5">
            <w:pPr>
              <w:spacing w:after="0" w:line="240" w:lineRule="auto"/>
              <w:rPr>
                <w:rFonts w:ascii="Arial" w:hAnsi="Arial" w:cs="Arial"/>
                <w:color w:val="000000"/>
                <w:sz w:val="18"/>
                <w:szCs w:val="18"/>
              </w:rPr>
            </w:pPr>
          </w:p>
        </w:tc>
      </w:tr>
      <w:tr w:rsidR="003A7A06" w:rsidRPr="00567CF8" w14:paraId="3C33FD9A" w14:textId="77777777" w:rsidTr="00EE41FB">
        <w:trPr>
          <w:trHeight w:val="438"/>
        </w:trPr>
        <w:tc>
          <w:tcPr>
            <w:tcW w:w="1654" w:type="dxa"/>
            <w:tcBorders>
              <w:top w:val="nil"/>
              <w:left w:val="nil"/>
              <w:bottom w:val="nil"/>
              <w:right w:val="nil"/>
            </w:tcBorders>
            <w:shd w:val="clear" w:color="auto" w:fill="auto"/>
          </w:tcPr>
          <w:p w14:paraId="7A4FA1AA" w14:textId="2EB73317" w:rsidR="003A7A06" w:rsidRPr="002005D2" w:rsidRDefault="003A7A06" w:rsidP="003A7A06">
            <w:pPr>
              <w:spacing w:after="0" w:line="240" w:lineRule="auto"/>
              <w:rPr>
                <w:rFonts w:ascii="Arial" w:hAnsi="Arial" w:cs="Arial"/>
                <w:color w:val="000000"/>
                <w:sz w:val="18"/>
                <w:szCs w:val="18"/>
              </w:rPr>
            </w:pPr>
            <w:r w:rsidRPr="002005D2">
              <w:rPr>
                <w:rFonts w:ascii="Arial" w:hAnsi="Arial" w:cs="Arial"/>
                <w:color w:val="000000"/>
                <w:sz w:val="18"/>
                <w:szCs w:val="18"/>
              </w:rPr>
              <w:t>US Equity</w:t>
            </w:r>
          </w:p>
        </w:tc>
        <w:tc>
          <w:tcPr>
            <w:tcW w:w="1929" w:type="dxa"/>
            <w:tcBorders>
              <w:top w:val="nil"/>
              <w:left w:val="nil"/>
              <w:bottom w:val="nil"/>
              <w:right w:val="nil"/>
            </w:tcBorders>
            <w:shd w:val="clear" w:color="auto" w:fill="auto"/>
          </w:tcPr>
          <w:p w14:paraId="02704430" w14:textId="53C3997F" w:rsidR="003A7A06" w:rsidRPr="002005D2" w:rsidRDefault="003A7A06" w:rsidP="003A7A06">
            <w:pPr>
              <w:spacing w:after="0" w:line="240" w:lineRule="auto"/>
              <w:rPr>
                <w:rFonts w:ascii="Arial" w:hAnsi="Arial" w:cs="Arial"/>
                <w:color w:val="000000"/>
                <w:sz w:val="18"/>
                <w:szCs w:val="18"/>
              </w:rPr>
            </w:pPr>
            <w:r w:rsidRPr="002005D2">
              <w:rPr>
                <w:rFonts w:ascii="Arial" w:hAnsi="Arial" w:cs="Arial"/>
                <w:color w:val="000000"/>
                <w:sz w:val="18"/>
                <w:szCs w:val="18"/>
              </w:rPr>
              <w:t>Nasdaq 100</w:t>
            </w:r>
          </w:p>
          <w:p w14:paraId="5BF9E13B" w14:textId="5B4B21FC" w:rsidR="003A7A06" w:rsidRPr="002005D2" w:rsidRDefault="003A7A06" w:rsidP="003A7A06">
            <w:pPr>
              <w:spacing w:after="0" w:line="240" w:lineRule="auto"/>
              <w:rPr>
                <w:rFonts w:ascii="Arial" w:hAnsi="Arial" w:cs="Arial"/>
                <w:color w:val="000000"/>
                <w:sz w:val="18"/>
                <w:szCs w:val="18"/>
              </w:rPr>
            </w:pPr>
          </w:p>
        </w:tc>
        <w:tc>
          <w:tcPr>
            <w:tcW w:w="7073" w:type="dxa"/>
            <w:gridSpan w:val="2"/>
            <w:tcBorders>
              <w:top w:val="nil"/>
              <w:left w:val="nil"/>
              <w:bottom w:val="nil"/>
              <w:right w:val="nil"/>
            </w:tcBorders>
            <w:shd w:val="clear" w:color="auto" w:fill="auto"/>
          </w:tcPr>
          <w:p w14:paraId="542559B2" w14:textId="062700B4" w:rsidR="003A7A06" w:rsidRPr="002005D2" w:rsidRDefault="003A7A06" w:rsidP="003A7A06">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companies across major industry groups including computer hardware and software, telecommunications, retail/wholesale trade and biotechnology. </w:t>
            </w:r>
          </w:p>
          <w:p w14:paraId="1C42729F" w14:textId="77777777" w:rsidR="003A7A06" w:rsidRPr="002005D2" w:rsidRDefault="003A7A06" w:rsidP="003A7A06">
            <w:pPr>
              <w:spacing w:after="0" w:line="240" w:lineRule="auto"/>
              <w:rPr>
                <w:rFonts w:ascii="Arial" w:hAnsi="Arial" w:cs="Arial"/>
                <w:color w:val="000000"/>
                <w:sz w:val="18"/>
                <w:szCs w:val="18"/>
              </w:rPr>
            </w:pPr>
          </w:p>
        </w:tc>
      </w:tr>
      <w:tr w:rsidR="0027433B" w:rsidRPr="00567CF8" w14:paraId="247F66CC" w14:textId="77777777" w:rsidTr="00EE41FB">
        <w:trPr>
          <w:trHeight w:val="438"/>
        </w:trPr>
        <w:tc>
          <w:tcPr>
            <w:tcW w:w="1654" w:type="dxa"/>
            <w:tcBorders>
              <w:top w:val="nil"/>
              <w:left w:val="nil"/>
              <w:bottom w:val="nil"/>
              <w:right w:val="nil"/>
            </w:tcBorders>
            <w:shd w:val="clear" w:color="auto" w:fill="auto"/>
          </w:tcPr>
          <w:p w14:paraId="29C87081" w14:textId="77777777" w:rsidR="0027433B" w:rsidRPr="002005D2" w:rsidRDefault="0027433B" w:rsidP="0027433B">
            <w:pPr>
              <w:spacing w:after="0" w:line="240" w:lineRule="auto"/>
              <w:rPr>
                <w:rFonts w:ascii="Arial" w:hAnsi="Arial" w:cs="Arial"/>
                <w:color w:val="000000"/>
                <w:sz w:val="18"/>
                <w:szCs w:val="18"/>
              </w:rPr>
            </w:pPr>
            <w:r w:rsidRPr="002005D2">
              <w:rPr>
                <w:rFonts w:ascii="Arial" w:hAnsi="Arial" w:cs="Arial"/>
                <w:color w:val="000000"/>
                <w:sz w:val="18"/>
                <w:szCs w:val="18"/>
              </w:rPr>
              <w:t xml:space="preserve">Sector –                                            Real Estate   </w:t>
            </w:r>
          </w:p>
          <w:p w14:paraId="4DE74A11" w14:textId="77777777" w:rsidR="0027433B" w:rsidRPr="002005D2" w:rsidRDefault="0027433B" w:rsidP="003A7A06">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tcPr>
          <w:p w14:paraId="3D11435F" w14:textId="124718E6" w:rsidR="0027433B" w:rsidRPr="002005D2" w:rsidRDefault="0027433B" w:rsidP="003A7A06">
            <w:pPr>
              <w:spacing w:after="0" w:line="240" w:lineRule="auto"/>
              <w:rPr>
                <w:rFonts w:ascii="Arial" w:hAnsi="Arial" w:cs="Arial"/>
                <w:color w:val="000000"/>
                <w:sz w:val="18"/>
                <w:szCs w:val="18"/>
              </w:rPr>
            </w:pPr>
            <w:r w:rsidRPr="002005D2">
              <w:rPr>
                <w:rFonts w:ascii="Arial" w:hAnsi="Arial" w:cs="Arial"/>
                <w:color w:val="000000"/>
                <w:sz w:val="18"/>
                <w:szCs w:val="18"/>
              </w:rPr>
              <w:t>S&amp;P 500 Sector Real Estate</w:t>
            </w:r>
          </w:p>
        </w:tc>
        <w:tc>
          <w:tcPr>
            <w:tcW w:w="7073" w:type="dxa"/>
            <w:gridSpan w:val="2"/>
            <w:tcBorders>
              <w:top w:val="nil"/>
              <w:left w:val="nil"/>
              <w:bottom w:val="nil"/>
              <w:right w:val="nil"/>
            </w:tcBorders>
            <w:shd w:val="clear" w:color="auto" w:fill="auto"/>
          </w:tcPr>
          <w:p w14:paraId="5A525B24" w14:textId="50316E00" w:rsidR="0027433B" w:rsidRPr="002005D2" w:rsidRDefault="0027433B" w:rsidP="003A7A06">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companies from the following industries:  real estate management &amp; development and REITS, excluding mortgage REITS.</w:t>
            </w:r>
          </w:p>
        </w:tc>
      </w:tr>
      <w:tr w:rsidR="007C3457" w:rsidRPr="00567CF8" w14:paraId="52B7780F" w14:textId="77777777" w:rsidTr="00EE41FB">
        <w:trPr>
          <w:trHeight w:val="438"/>
        </w:trPr>
        <w:tc>
          <w:tcPr>
            <w:tcW w:w="1654" w:type="dxa"/>
            <w:tcBorders>
              <w:top w:val="nil"/>
              <w:left w:val="nil"/>
              <w:bottom w:val="nil"/>
              <w:right w:val="nil"/>
            </w:tcBorders>
            <w:shd w:val="clear" w:color="auto" w:fill="auto"/>
          </w:tcPr>
          <w:p w14:paraId="7AC4F9AD" w14:textId="287EA690" w:rsidR="007C3457" w:rsidRPr="002005D2" w:rsidRDefault="007C3457" w:rsidP="003A7A06">
            <w:pPr>
              <w:spacing w:after="0" w:line="240" w:lineRule="auto"/>
              <w:rPr>
                <w:rFonts w:ascii="Arial" w:hAnsi="Arial" w:cs="Arial"/>
                <w:color w:val="000000"/>
                <w:sz w:val="18"/>
                <w:szCs w:val="18"/>
              </w:rPr>
            </w:pPr>
            <w:r w:rsidRPr="002005D2">
              <w:rPr>
                <w:rFonts w:ascii="Arial" w:hAnsi="Arial" w:cs="Arial"/>
                <w:color w:val="000000"/>
                <w:sz w:val="18"/>
                <w:szCs w:val="18"/>
              </w:rPr>
              <w:t>Sector–Energy</w:t>
            </w:r>
          </w:p>
        </w:tc>
        <w:tc>
          <w:tcPr>
            <w:tcW w:w="1929" w:type="dxa"/>
            <w:tcBorders>
              <w:top w:val="nil"/>
              <w:left w:val="nil"/>
              <w:bottom w:val="nil"/>
              <w:right w:val="nil"/>
            </w:tcBorders>
            <w:shd w:val="clear" w:color="auto" w:fill="auto"/>
          </w:tcPr>
          <w:p w14:paraId="0BA44A5F" w14:textId="77777777" w:rsidR="007C3457" w:rsidRPr="002005D2" w:rsidRDefault="007C3457" w:rsidP="007C3457">
            <w:pPr>
              <w:spacing w:after="0" w:line="240" w:lineRule="auto"/>
              <w:rPr>
                <w:rFonts w:ascii="Arial" w:hAnsi="Arial" w:cs="Arial"/>
                <w:color w:val="000000"/>
                <w:sz w:val="18"/>
                <w:szCs w:val="18"/>
              </w:rPr>
            </w:pPr>
            <w:r w:rsidRPr="002005D2">
              <w:rPr>
                <w:rFonts w:ascii="Arial" w:hAnsi="Arial" w:cs="Arial"/>
                <w:color w:val="000000"/>
                <w:sz w:val="18"/>
                <w:szCs w:val="18"/>
              </w:rPr>
              <w:t xml:space="preserve">S&amp;P 500 Sector Energy </w:t>
            </w:r>
          </w:p>
          <w:p w14:paraId="71AB517D" w14:textId="77777777" w:rsidR="007C3457" w:rsidRPr="002005D2" w:rsidRDefault="007C3457" w:rsidP="003A7A06">
            <w:pPr>
              <w:spacing w:after="0" w:line="240" w:lineRule="auto"/>
              <w:rPr>
                <w:rFonts w:ascii="Arial" w:hAnsi="Arial" w:cs="Arial"/>
                <w:color w:val="000000"/>
                <w:sz w:val="18"/>
                <w:szCs w:val="18"/>
              </w:rPr>
            </w:pPr>
          </w:p>
        </w:tc>
        <w:tc>
          <w:tcPr>
            <w:tcW w:w="7073" w:type="dxa"/>
            <w:gridSpan w:val="2"/>
            <w:tcBorders>
              <w:top w:val="nil"/>
              <w:left w:val="nil"/>
              <w:bottom w:val="nil"/>
              <w:right w:val="nil"/>
            </w:tcBorders>
            <w:shd w:val="clear" w:color="auto" w:fill="auto"/>
          </w:tcPr>
          <w:p w14:paraId="180D08F9" w14:textId="77777777" w:rsidR="007C3457" w:rsidRPr="002005D2" w:rsidRDefault="007C3457" w:rsidP="007C3457">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companies involved in the development and production of crude oil, natural gas and provide drilling and other energy-related services.</w:t>
            </w:r>
          </w:p>
          <w:p w14:paraId="54621B20" w14:textId="77777777" w:rsidR="007C3457" w:rsidRPr="002005D2" w:rsidRDefault="007C3457" w:rsidP="003A7A06">
            <w:pPr>
              <w:spacing w:after="0" w:line="240" w:lineRule="auto"/>
              <w:rPr>
                <w:rFonts w:ascii="Arial" w:hAnsi="Arial" w:cs="Arial"/>
                <w:color w:val="000000"/>
                <w:sz w:val="18"/>
                <w:szCs w:val="18"/>
              </w:rPr>
            </w:pPr>
          </w:p>
        </w:tc>
      </w:tr>
      <w:tr w:rsidR="00F37C71" w:rsidRPr="00567CF8" w14:paraId="57621AEB" w14:textId="77777777" w:rsidTr="00EE41FB">
        <w:trPr>
          <w:trHeight w:val="438"/>
        </w:trPr>
        <w:tc>
          <w:tcPr>
            <w:tcW w:w="1654" w:type="dxa"/>
            <w:tcBorders>
              <w:top w:val="nil"/>
              <w:left w:val="nil"/>
              <w:bottom w:val="nil"/>
              <w:right w:val="nil"/>
            </w:tcBorders>
            <w:shd w:val="clear" w:color="auto" w:fill="auto"/>
          </w:tcPr>
          <w:p w14:paraId="116458CE" w14:textId="61102BB1" w:rsidR="00F37C71" w:rsidRPr="002005D2" w:rsidRDefault="00F37C71" w:rsidP="00F37C71">
            <w:pPr>
              <w:spacing w:after="0" w:line="240" w:lineRule="auto"/>
              <w:rPr>
                <w:rFonts w:ascii="Arial" w:hAnsi="Arial" w:cs="Arial"/>
                <w:color w:val="000000"/>
                <w:sz w:val="18"/>
                <w:szCs w:val="18"/>
              </w:rPr>
            </w:pPr>
            <w:r w:rsidRPr="002005D2">
              <w:rPr>
                <w:rFonts w:ascii="Arial" w:hAnsi="Arial" w:cs="Arial"/>
                <w:sz w:val="18"/>
                <w:szCs w:val="18"/>
              </w:rPr>
              <w:lastRenderedPageBreak/>
              <w:t>Sector - Consumer Staples</w:t>
            </w:r>
          </w:p>
        </w:tc>
        <w:tc>
          <w:tcPr>
            <w:tcW w:w="1929" w:type="dxa"/>
            <w:tcBorders>
              <w:top w:val="nil"/>
              <w:left w:val="nil"/>
              <w:bottom w:val="nil"/>
              <w:right w:val="nil"/>
            </w:tcBorders>
            <w:shd w:val="clear" w:color="auto" w:fill="auto"/>
          </w:tcPr>
          <w:p w14:paraId="51AF8AD6" w14:textId="0DC59A96" w:rsidR="00F37C71" w:rsidRPr="002005D2" w:rsidRDefault="00F37C71" w:rsidP="00F37C71">
            <w:pPr>
              <w:spacing w:after="0" w:line="240" w:lineRule="auto"/>
              <w:rPr>
                <w:rFonts w:ascii="Arial" w:hAnsi="Arial" w:cs="Arial"/>
                <w:color w:val="000000"/>
                <w:sz w:val="18"/>
                <w:szCs w:val="18"/>
              </w:rPr>
            </w:pPr>
            <w:r w:rsidRPr="002005D2">
              <w:rPr>
                <w:rFonts w:ascii="Arial" w:hAnsi="Arial" w:cs="Arial"/>
                <w:sz w:val="18"/>
                <w:szCs w:val="18"/>
              </w:rPr>
              <w:t>S&amp;P 500 Sector Consumer Staples</w:t>
            </w:r>
          </w:p>
        </w:tc>
        <w:tc>
          <w:tcPr>
            <w:tcW w:w="7073" w:type="dxa"/>
            <w:gridSpan w:val="2"/>
            <w:tcBorders>
              <w:top w:val="nil"/>
              <w:left w:val="nil"/>
              <w:bottom w:val="nil"/>
              <w:right w:val="nil"/>
            </w:tcBorders>
            <w:shd w:val="clear" w:color="auto" w:fill="auto"/>
          </w:tcPr>
          <w:p w14:paraId="1AE7D66C" w14:textId="40F72F79" w:rsidR="00F37C71" w:rsidRDefault="00F37C71" w:rsidP="00F37C71">
            <w:pPr>
              <w:spacing w:after="0" w:line="240" w:lineRule="auto"/>
              <w:rPr>
                <w:rFonts w:ascii="Arial" w:hAnsi="Arial" w:cs="Arial"/>
                <w:sz w:val="18"/>
                <w:szCs w:val="18"/>
              </w:rPr>
            </w:pPr>
            <w:r w:rsidRPr="002005D2">
              <w:rPr>
                <w:rFonts w:ascii="Arial" w:hAnsi="Arial" w:cs="Arial"/>
                <w:sz w:val="18"/>
                <w:szCs w:val="18"/>
              </w:rPr>
              <w:t xml:space="preserve">measures the performance of companies involved in the development and production of consumer products </w:t>
            </w:r>
            <w:r w:rsidR="00765643" w:rsidRPr="002005D2">
              <w:rPr>
                <w:rFonts w:ascii="Arial" w:hAnsi="Arial" w:cs="Arial"/>
                <w:sz w:val="18"/>
                <w:szCs w:val="18"/>
              </w:rPr>
              <w:t>including</w:t>
            </w:r>
            <w:r w:rsidRPr="002005D2">
              <w:rPr>
                <w:rFonts w:ascii="Arial" w:hAnsi="Arial" w:cs="Arial"/>
                <w:sz w:val="18"/>
                <w:szCs w:val="18"/>
              </w:rPr>
              <w:t xml:space="preserve"> food and drug retailing, beverages, food products, tobacco, household products and personal products.</w:t>
            </w:r>
          </w:p>
          <w:p w14:paraId="566E0FD4" w14:textId="1112D7A7" w:rsidR="002005D2" w:rsidRPr="002005D2" w:rsidRDefault="002005D2" w:rsidP="00F37C71">
            <w:pPr>
              <w:spacing w:after="0" w:line="240" w:lineRule="auto"/>
              <w:rPr>
                <w:rFonts w:ascii="Arial" w:hAnsi="Arial" w:cs="Arial"/>
                <w:color w:val="000000"/>
                <w:sz w:val="18"/>
                <w:szCs w:val="18"/>
                <w:highlight w:val="yellow"/>
              </w:rPr>
            </w:pPr>
          </w:p>
        </w:tc>
      </w:tr>
      <w:tr w:rsidR="003A7A06" w:rsidRPr="00567CF8" w14:paraId="7BEE14E7" w14:textId="77777777" w:rsidTr="00EE41FB">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502"/>
              <w:gridCol w:w="1961"/>
              <w:gridCol w:w="6883"/>
            </w:tblGrid>
            <w:tr w:rsidR="0089208C" w:rsidRPr="002005D2" w14:paraId="37C5DBC0" w14:textId="77777777" w:rsidTr="0027433B">
              <w:trPr>
                <w:trHeight w:val="569"/>
              </w:trPr>
              <w:tc>
                <w:tcPr>
                  <w:tcW w:w="1502" w:type="dxa"/>
                  <w:tcBorders>
                    <w:top w:val="nil"/>
                    <w:left w:val="nil"/>
                    <w:bottom w:val="nil"/>
                    <w:right w:val="nil"/>
                  </w:tcBorders>
                  <w:shd w:val="clear" w:color="auto" w:fill="auto"/>
                </w:tcPr>
                <w:p w14:paraId="6ECED413" w14:textId="27EEA19A" w:rsidR="0089208C" w:rsidRPr="002005D2" w:rsidRDefault="0089208C" w:rsidP="0089208C">
                  <w:pPr>
                    <w:spacing w:after="0" w:line="240" w:lineRule="auto"/>
                    <w:rPr>
                      <w:rFonts w:ascii="Arial" w:hAnsi="Arial" w:cs="Arial"/>
                      <w:color w:val="000000"/>
                      <w:sz w:val="18"/>
                      <w:szCs w:val="18"/>
                    </w:rPr>
                  </w:pPr>
                  <w:r w:rsidRPr="002005D2">
                    <w:rPr>
                      <w:rFonts w:ascii="Arial" w:hAnsi="Arial" w:cs="Arial"/>
                      <w:sz w:val="18"/>
                      <w:szCs w:val="18"/>
                    </w:rPr>
                    <w:t>US Dividend Equity</w:t>
                  </w:r>
                </w:p>
              </w:tc>
              <w:tc>
                <w:tcPr>
                  <w:tcW w:w="1961" w:type="dxa"/>
                  <w:tcBorders>
                    <w:top w:val="nil"/>
                    <w:left w:val="nil"/>
                    <w:bottom w:val="nil"/>
                    <w:right w:val="nil"/>
                  </w:tcBorders>
                  <w:shd w:val="clear" w:color="auto" w:fill="auto"/>
                </w:tcPr>
                <w:p w14:paraId="244DFC0B" w14:textId="70B3E8CE" w:rsidR="0089208C" w:rsidRPr="002005D2" w:rsidRDefault="0089208C" w:rsidP="0089208C">
                  <w:pPr>
                    <w:spacing w:after="0" w:line="240" w:lineRule="auto"/>
                    <w:rPr>
                      <w:rFonts w:ascii="Arial" w:hAnsi="Arial" w:cs="Arial"/>
                      <w:color w:val="000000"/>
                      <w:sz w:val="18"/>
                      <w:szCs w:val="18"/>
                    </w:rPr>
                  </w:pPr>
                  <w:r w:rsidRPr="002005D2">
                    <w:rPr>
                      <w:rFonts w:ascii="Arial" w:hAnsi="Arial" w:cs="Arial"/>
                      <w:sz w:val="18"/>
                      <w:szCs w:val="18"/>
                    </w:rPr>
                    <w:t>MSCI USA High Dividend Yield</w:t>
                  </w:r>
                </w:p>
              </w:tc>
              <w:tc>
                <w:tcPr>
                  <w:tcW w:w="6883" w:type="dxa"/>
                  <w:tcBorders>
                    <w:top w:val="nil"/>
                    <w:left w:val="nil"/>
                    <w:bottom w:val="nil"/>
                    <w:right w:val="nil"/>
                  </w:tcBorders>
                  <w:shd w:val="clear" w:color="auto" w:fill="auto"/>
                </w:tcPr>
                <w:p w14:paraId="2CF1152B" w14:textId="40F70E63" w:rsidR="0089208C" w:rsidRPr="002005D2" w:rsidRDefault="0089208C" w:rsidP="0089208C">
                  <w:pPr>
                    <w:spacing w:after="0" w:line="240" w:lineRule="auto"/>
                    <w:rPr>
                      <w:rFonts w:ascii="Arial" w:hAnsi="Arial" w:cs="Arial"/>
                      <w:color w:val="000000"/>
                      <w:sz w:val="18"/>
                      <w:szCs w:val="18"/>
                    </w:rPr>
                  </w:pPr>
                  <w:r w:rsidRPr="002005D2">
                    <w:rPr>
                      <w:rFonts w:ascii="Arial" w:hAnsi="Arial" w:cs="Arial"/>
                      <w:sz w:val="18"/>
                      <w:szCs w:val="18"/>
                    </w:rPr>
                    <w:t>measures the performance of stocks selected from the MSCI USA Index, excluding REITS, with higher-than-average dividend yields that are both sustainable and persistent.</w:t>
                  </w:r>
                </w:p>
              </w:tc>
            </w:tr>
            <w:tr w:rsidR="003A7A06" w:rsidRPr="002005D2" w14:paraId="46D074A2" w14:textId="77777777" w:rsidTr="0027433B">
              <w:trPr>
                <w:trHeight w:val="698"/>
              </w:trPr>
              <w:tc>
                <w:tcPr>
                  <w:tcW w:w="1502" w:type="dxa"/>
                  <w:tcBorders>
                    <w:top w:val="nil"/>
                    <w:left w:val="nil"/>
                    <w:bottom w:val="nil"/>
                    <w:right w:val="nil"/>
                  </w:tcBorders>
                  <w:shd w:val="clear" w:color="auto" w:fill="auto"/>
                </w:tcPr>
                <w:p w14:paraId="14F9A8D4" w14:textId="623FACF5" w:rsidR="003A7A06" w:rsidRPr="002005D2" w:rsidRDefault="003A7A06" w:rsidP="003A7A06">
                  <w:pPr>
                    <w:spacing w:after="0" w:line="240" w:lineRule="auto"/>
                    <w:rPr>
                      <w:rFonts w:ascii="Arial" w:hAnsi="Arial" w:cs="Arial"/>
                      <w:color w:val="000000"/>
                      <w:sz w:val="18"/>
                      <w:szCs w:val="18"/>
                    </w:rPr>
                  </w:pPr>
                  <w:r w:rsidRPr="002005D2">
                    <w:rPr>
                      <w:rFonts w:ascii="Arial" w:hAnsi="Arial" w:cs="Arial"/>
                      <w:color w:val="000000"/>
                      <w:sz w:val="18"/>
                      <w:szCs w:val="18"/>
                    </w:rPr>
                    <w:t>US Fixed Income</w:t>
                  </w:r>
                </w:p>
              </w:tc>
              <w:tc>
                <w:tcPr>
                  <w:tcW w:w="1961" w:type="dxa"/>
                  <w:tcBorders>
                    <w:top w:val="nil"/>
                    <w:left w:val="nil"/>
                    <w:bottom w:val="nil"/>
                    <w:right w:val="nil"/>
                  </w:tcBorders>
                  <w:shd w:val="clear" w:color="auto" w:fill="auto"/>
                </w:tcPr>
                <w:p w14:paraId="48CE82AA" w14:textId="4783AF7A" w:rsidR="003A7A06" w:rsidRPr="002005D2" w:rsidRDefault="003A7A06" w:rsidP="003A7A06">
                  <w:pPr>
                    <w:spacing w:after="0" w:line="240" w:lineRule="auto"/>
                    <w:rPr>
                      <w:rFonts w:ascii="Arial" w:hAnsi="Arial" w:cs="Arial"/>
                      <w:color w:val="000000"/>
                      <w:sz w:val="18"/>
                      <w:szCs w:val="18"/>
                    </w:rPr>
                  </w:pPr>
                  <w:r w:rsidRPr="002005D2">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3D758CAA" w14:textId="38E4C293" w:rsidR="003A7A06" w:rsidRPr="002005D2" w:rsidRDefault="004561AF" w:rsidP="003A7A06">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r w:rsidR="003A7A06" w:rsidRPr="002005D2">
                    <w:rPr>
                      <w:rFonts w:ascii="Arial" w:hAnsi="Arial" w:cs="Arial"/>
                      <w:color w:val="000000"/>
                      <w:sz w:val="18"/>
                      <w:szCs w:val="18"/>
                    </w:rPr>
                    <w:t>.</w:t>
                  </w:r>
                </w:p>
                <w:p w14:paraId="35778FB2" w14:textId="4E11FB85" w:rsidR="003A7A06" w:rsidRPr="002005D2" w:rsidRDefault="003A7A06" w:rsidP="003A7A06">
                  <w:pPr>
                    <w:spacing w:after="0" w:line="240" w:lineRule="auto"/>
                    <w:rPr>
                      <w:rFonts w:ascii="Arial" w:hAnsi="Arial" w:cs="Arial"/>
                      <w:color w:val="000000"/>
                      <w:sz w:val="18"/>
                      <w:szCs w:val="18"/>
                      <w:highlight w:val="yellow"/>
                    </w:rPr>
                  </w:pPr>
                </w:p>
              </w:tc>
            </w:tr>
            <w:tr w:rsidR="003A7A06" w:rsidRPr="002005D2" w14:paraId="3CB26B11" w14:textId="77777777" w:rsidTr="0027433B">
              <w:trPr>
                <w:trHeight w:val="698"/>
              </w:trPr>
              <w:tc>
                <w:tcPr>
                  <w:tcW w:w="1502" w:type="dxa"/>
                  <w:tcBorders>
                    <w:top w:val="nil"/>
                    <w:left w:val="nil"/>
                    <w:bottom w:val="nil"/>
                    <w:right w:val="nil"/>
                  </w:tcBorders>
                  <w:shd w:val="clear" w:color="auto" w:fill="auto"/>
                </w:tcPr>
                <w:p w14:paraId="123DDB3A" w14:textId="41528F6F" w:rsidR="003A7A06" w:rsidRPr="002005D2" w:rsidRDefault="00F5500E" w:rsidP="003A7A06">
                  <w:pPr>
                    <w:spacing w:after="0" w:line="240" w:lineRule="auto"/>
                    <w:rPr>
                      <w:rFonts w:ascii="Arial" w:hAnsi="Arial" w:cs="Arial"/>
                      <w:color w:val="000000"/>
                      <w:sz w:val="18"/>
                      <w:szCs w:val="18"/>
                    </w:rPr>
                  </w:pPr>
                  <w:r w:rsidRPr="002005D2">
                    <w:rPr>
                      <w:rFonts w:ascii="Arial" w:hAnsi="Arial" w:cs="Arial"/>
                      <w:color w:val="000000"/>
                      <w:sz w:val="18"/>
                      <w:szCs w:val="18"/>
                    </w:rPr>
                    <w:t>US Long Treasuries</w:t>
                  </w:r>
                </w:p>
              </w:tc>
              <w:tc>
                <w:tcPr>
                  <w:tcW w:w="1961" w:type="dxa"/>
                  <w:tcBorders>
                    <w:top w:val="nil"/>
                    <w:left w:val="nil"/>
                    <w:bottom w:val="nil"/>
                    <w:right w:val="nil"/>
                  </w:tcBorders>
                  <w:shd w:val="clear" w:color="auto" w:fill="auto"/>
                </w:tcPr>
                <w:p w14:paraId="6A0FFF02" w14:textId="52584698" w:rsidR="003A7A06" w:rsidRPr="002005D2" w:rsidRDefault="00F5500E" w:rsidP="003A7A06">
                  <w:pPr>
                    <w:spacing w:after="0" w:line="240" w:lineRule="auto"/>
                    <w:rPr>
                      <w:rFonts w:ascii="Arial" w:hAnsi="Arial" w:cs="Arial"/>
                      <w:color w:val="000000"/>
                      <w:sz w:val="18"/>
                      <w:szCs w:val="18"/>
                    </w:rPr>
                  </w:pPr>
                  <w:r w:rsidRPr="002005D2">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0F42EA38" w14:textId="4541DBDB" w:rsidR="004561AF" w:rsidRPr="002005D2" w:rsidRDefault="00F5500E" w:rsidP="004561AF">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r w:rsidR="004561AF" w:rsidRPr="002005D2">
                    <w:rPr>
                      <w:rFonts w:ascii="Arial" w:hAnsi="Arial" w:cs="Arial"/>
                      <w:color w:val="000000"/>
                      <w:sz w:val="18"/>
                      <w:szCs w:val="18"/>
                    </w:rPr>
                    <w:t>.</w:t>
                  </w:r>
                </w:p>
                <w:p w14:paraId="02B6DFC0" w14:textId="0D34CBD3" w:rsidR="003A7A06" w:rsidRPr="002005D2" w:rsidRDefault="003A7A06" w:rsidP="003A7A06">
                  <w:pPr>
                    <w:spacing w:after="0" w:line="240" w:lineRule="auto"/>
                    <w:rPr>
                      <w:rFonts w:ascii="Arial" w:hAnsi="Arial" w:cs="Arial"/>
                      <w:color w:val="000000"/>
                      <w:sz w:val="18"/>
                      <w:szCs w:val="18"/>
                      <w:highlight w:val="yellow"/>
                    </w:rPr>
                  </w:pPr>
                </w:p>
              </w:tc>
            </w:tr>
            <w:tr w:rsidR="00A621CF" w:rsidRPr="002005D2" w14:paraId="51B9DD63" w14:textId="77777777" w:rsidTr="0027433B">
              <w:trPr>
                <w:trHeight w:val="698"/>
              </w:trPr>
              <w:tc>
                <w:tcPr>
                  <w:tcW w:w="1502" w:type="dxa"/>
                  <w:tcBorders>
                    <w:top w:val="nil"/>
                    <w:left w:val="nil"/>
                    <w:bottom w:val="nil"/>
                    <w:right w:val="nil"/>
                  </w:tcBorders>
                  <w:shd w:val="clear" w:color="auto" w:fill="auto"/>
                </w:tcPr>
                <w:p w14:paraId="365F37BD" w14:textId="50ACD2DE" w:rsidR="00A621CF" w:rsidRPr="002005D2" w:rsidRDefault="00A621CF" w:rsidP="00A621CF">
                  <w:pPr>
                    <w:spacing w:after="0" w:line="240" w:lineRule="auto"/>
                    <w:rPr>
                      <w:rFonts w:ascii="Arial" w:hAnsi="Arial" w:cs="Arial"/>
                      <w:color w:val="000000"/>
                      <w:sz w:val="18"/>
                      <w:szCs w:val="18"/>
                    </w:rPr>
                  </w:pPr>
                  <w:r w:rsidRPr="002005D2">
                    <w:rPr>
                      <w:rFonts w:ascii="Arial" w:hAnsi="Arial" w:cs="Arial"/>
                      <w:sz w:val="18"/>
                      <w:szCs w:val="18"/>
                    </w:rPr>
                    <w:t xml:space="preserve">Natural Resources </w:t>
                  </w:r>
                </w:p>
              </w:tc>
              <w:tc>
                <w:tcPr>
                  <w:tcW w:w="1961" w:type="dxa"/>
                  <w:tcBorders>
                    <w:top w:val="nil"/>
                    <w:left w:val="nil"/>
                    <w:bottom w:val="nil"/>
                    <w:right w:val="nil"/>
                  </w:tcBorders>
                  <w:shd w:val="clear" w:color="auto" w:fill="auto"/>
                </w:tcPr>
                <w:p w14:paraId="7DEA13B7" w14:textId="726DD9CB" w:rsidR="00A621CF" w:rsidRPr="002005D2" w:rsidRDefault="00A621CF" w:rsidP="00A621CF">
                  <w:pPr>
                    <w:spacing w:after="0" w:line="240" w:lineRule="auto"/>
                    <w:rPr>
                      <w:rFonts w:ascii="Arial" w:hAnsi="Arial" w:cs="Arial"/>
                      <w:color w:val="000000"/>
                      <w:sz w:val="18"/>
                      <w:szCs w:val="18"/>
                    </w:rPr>
                  </w:pPr>
                  <w:r w:rsidRPr="002005D2">
                    <w:rPr>
                      <w:rFonts w:ascii="Arial" w:hAnsi="Arial" w:cs="Arial"/>
                      <w:sz w:val="18"/>
                      <w:szCs w:val="18"/>
                    </w:rPr>
                    <w:t xml:space="preserve">S&amp;P Global Natural Resources </w:t>
                  </w:r>
                </w:p>
              </w:tc>
              <w:tc>
                <w:tcPr>
                  <w:tcW w:w="6883" w:type="dxa"/>
                  <w:tcBorders>
                    <w:top w:val="nil"/>
                    <w:left w:val="nil"/>
                    <w:bottom w:val="nil"/>
                    <w:right w:val="nil"/>
                  </w:tcBorders>
                  <w:shd w:val="clear" w:color="auto" w:fill="auto"/>
                </w:tcPr>
                <w:p w14:paraId="093B1161" w14:textId="16D8E29D" w:rsidR="00A621CF" w:rsidRPr="002005D2" w:rsidRDefault="00A621CF" w:rsidP="00A621CF">
                  <w:pPr>
                    <w:spacing w:after="0" w:line="240" w:lineRule="auto"/>
                    <w:rPr>
                      <w:rFonts w:ascii="Arial" w:hAnsi="Arial" w:cs="Arial"/>
                      <w:sz w:val="18"/>
                      <w:szCs w:val="18"/>
                    </w:rPr>
                  </w:pPr>
                  <w:r w:rsidRPr="002005D2">
                    <w:rPr>
                      <w:rFonts w:ascii="Arial" w:hAnsi="Arial" w:cs="Arial"/>
                      <w:sz w:val="18"/>
                      <w:szCs w:val="18"/>
                    </w:rPr>
                    <w:t xml:space="preserve">measures the performance of 90 of the largest publicly traded companies in natural resources and commodities business that meet specific </w:t>
                  </w:r>
                  <w:r w:rsidR="002859EB" w:rsidRPr="002005D2">
                    <w:rPr>
                      <w:rFonts w:ascii="Arial" w:hAnsi="Arial" w:cs="Arial"/>
                      <w:sz w:val="18"/>
                      <w:szCs w:val="18"/>
                    </w:rPr>
                    <w:t>i</w:t>
                  </w:r>
                  <w:r w:rsidR="002859EB">
                    <w:rPr>
                      <w:rFonts w:ascii="Arial" w:hAnsi="Arial" w:cs="Arial"/>
                      <w:sz w:val="18"/>
                      <w:szCs w:val="18"/>
                    </w:rPr>
                    <w:t>nvestable</w:t>
                  </w:r>
                  <w:r w:rsidRPr="002005D2">
                    <w:rPr>
                      <w:rFonts w:ascii="Arial" w:hAnsi="Arial" w:cs="Arial"/>
                      <w:sz w:val="18"/>
                      <w:szCs w:val="18"/>
                    </w:rPr>
                    <w:t xml:space="preserve"> requirements, offering investors diversified and investable equity exposure across three primary commodity-related sectors:  agribusiness, energy, and metals and mining.</w:t>
                  </w:r>
                </w:p>
                <w:p w14:paraId="18034D51" w14:textId="382F4A1D" w:rsidR="00A621CF" w:rsidRPr="002005D2" w:rsidRDefault="00A621CF" w:rsidP="00A621CF">
                  <w:pPr>
                    <w:spacing w:after="0" w:line="240" w:lineRule="auto"/>
                    <w:rPr>
                      <w:rFonts w:ascii="Arial" w:hAnsi="Arial" w:cs="Arial"/>
                      <w:color w:val="000000"/>
                      <w:sz w:val="18"/>
                      <w:szCs w:val="18"/>
                    </w:rPr>
                  </w:pPr>
                </w:p>
              </w:tc>
            </w:tr>
            <w:tr w:rsidR="00F65D9E" w:rsidRPr="002005D2" w14:paraId="5EB239BF" w14:textId="77777777" w:rsidTr="0027433B">
              <w:trPr>
                <w:trHeight w:val="698"/>
              </w:trPr>
              <w:tc>
                <w:tcPr>
                  <w:tcW w:w="1502" w:type="dxa"/>
                  <w:tcBorders>
                    <w:top w:val="nil"/>
                    <w:left w:val="nil"/>
                    <w:bottom w:val="nil"/>
                    <w:right w:val="nil"/>
                  </w:tcBorders>
                  <w:shd w:val="clear" w:color="auto" w:fill="auto"/>
                </w:tcPr>
                <w:p w14:paraId="4F23D54C" w14:textId="77777777" w:rsidR="00F65D9E" w:rsidRPr="002005D2" w:rsidRDefault="00F65D9E" w:rsidP="00F65D9E">
                  <w:pPr>
                    <w:spacing w:after="0" w:line="240" w:lineRule="auto"/>
                    <w:rPr>
                      <w:rFonts w:ascii="Arial" w:hAnsi="Arial" w:cs="Arial"/>
                      <w:color w:val="000000"/>
                      <w:sz w:val="18"/>
                      <w:szCs w:val="18"/>
                    </w:rPr>
                  </w:pPr>
                </w:p>
                <w:p w14:paraId="3C8C3961" w14:textId="63FBD4E9"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US High Yield</w:t>
                  </w:r>
                </w:p>
              </w:tc>
              <w:tc>
                <w:tcPr>
                  <w:tcW w:w="1961" w:type="dxa"/>
                  <w:tcBorders>
                    <w:top w:val="nil"/>
                    <w:left w:val="nil"/>
                    <w:bottom w:val="nil"/>
                    <w:right w:val="nil"/>
                  </w:tcBorders>
                  <w:shd w:val="clear" w:color="auto" w:fill="auto"/>
                </w:tcPr>
                <w:p w14:paraId="6A8215E7" w14:textId="464685D0"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Bloomberg Barclays US Corporate High Yield</w:t>
                  </w:r>
                </w:p>
              </w:tc>
              <w:tc>
                <w:tcPr>
                  <w:tcW w:w="6883" w:type="dxa"/>
                  <w:tcBorders>
                    <w:top w:val="nil"/>
                    <w:left w:val="nil"/>
                    <w:bottom w:val="nil"/>
                    <w:right w:val="nil"/>
                  </w:tcBorders>
                  <w:shd w:val="clear" w:color="auto" w:fill="auto"/>
                </w:tcPr>
                <w:p w14:paraId="1B8F2CB1" w14:textId="7B256210"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performance of USD-denominated, non-investment-grade, fixed-rate taxable corporate bonds. "High-yield" securities have the middle rating from Moody's, </w:t>
                  </w:r>
                  <w:proofErr w:type="gramStart"/>
                  <w:r w:rsidRPr="002005D2">
                    <w:rPr>
                      <w:rFonts w:ascii="Arial" w:hAnsi="Arial" w:cs="Arial"/>
                      <w:color w:val="000000"/>
                      <w:sz w:val="18"/>
                      <w:szCs w:val="18"/>
                    </w:rPr>
                    <w:t>Fitch</w:t>
                  </w:r>
                  <w:proofErr w:type="gramEnd"/>
                  <w:r w:rsidRPr="002005D2">
                    <w:rPr>
                      <w:rFonts w:ascii="Arial" w:hAnsi="Arial" w:cs="Arial"/>
                      <w:color w:val="000000"/>
                      <w:sz w:val="18"/>
                      <w:szCs w:val="18"/>
                    </w:rPr>
                    <w:t xml:space="preserve"> or S&amp;P of Ba1/BB+/BB+ or below.  Index excludes emerging market debt.</w:t>
                  </w:r>
                </w:p>
              </w:tc>
            </w:tr>
            <w:tr w:rsidR="00FD1B7D" w:rsidRPr="002005D2" w14:paraId="47279D76" w14:textId="77777777" w:rsidTr="0027433B">
              <w:trPr>
                <w:trHeight w:val="698"/>
              </w:trPr>
              <w:tc>
                <w:tcPr>
                  <w:tcW w:w="1502" w:type="dxa"/>
                  <w:tcBorders>
                    <w:top w:val="nil"/>
                    <w:left w:val="nil"/>
                    <w:bottom w:val="nil"/>
                    <w:right w:val="nil"/>
                  </w:tcBorders>
                  <w:shd w:val="clear" w:color="auto" w:fill="auto"/>
                </w:tcPr>
                <w:p w14:paraId="765E3E1C" w14:textId="7D54BB60" w:rsidR="00FD1B7D" w:rsidRPr="002005D2" w:rsidRDefault="00FD1B7D" w:rsidP="00FD1B7D">
                  <w:pPr>
                    <w:spacing w:after="0" w:line="240" w:lineRule="auto"/>
                    <w:rPr>
                      <w:rFonts w:ascii="Arial" w:hAnsi="Arial" w:cs="Arial"/>
                      <w:color w:val="000000"/>
                      <w:sz w:val="18"/>
                      <w:szCs w:val="18"/>
                    </w:rPr>
                  </w:pPr>
                  <w:r w:rsidRPr="002005D2">
                    <w:rPr>
                      <w:rFonts w:ascii="Arial" w:hAnsi="Arial" w:cs="Arial"/>
                      <w:sz w:val="18"/>
                      <w:szCs w:val="18"/>
                    </w:rPr>
                    <w:t>Silver</w:t>
                  </w:r>
                </w:p>
              </w:tc>
              <w:tc>
                <w:tcPr>
                  <w:tcW w:w="1961" w:type="dxa"/>
                  <w:tcBorders>
                    <w:top w:val="nil"/>
                    <w:left w:val="nil"/>
                    <w:bottom w:val="nil"/>
                    <w:right w:val="nil"/>
                  </w:tcBorders>
                  <w:shd w:val="clear" w:color="auto" w:fill="auto"/>
                </w:tcPr>
                <w:p w14:paraId="18819D54" w14:textId="7EDA7FFA" w:rsidR="00FD1B7D" w:rsidRPr="002005D2" w:rsidRDefault="00FD1B7D" w:rsidP="00FD1B7D">
                  <w:pPr>
                    <w:spacing w:after="0" w:line="240" w:lineRule="auto"/>
                    <w:rPr>
                      <w:rFonts w:ascii="Arial" w:hAnsi="Arial" w:cs="Arial"/>
                      <w:color w:val="000000"/>
                      <w:sz w:val="18"/>
                      <w:szCs w:val="18"/>
                    </w:rPr>
                  </w:pPr>
                  <w:r w:rsidRPr="002005D2">
                    <w:rPr>
                      <w:rFonts w:ascii="Arial" w:hAnsi="Arial" w:cs="Arial"/>
                      <w:sz w:val="18"/>
                      <w:szCs w:val="18"/>
                    </w:rPr>
                    <w:t>Bloomberg Silver Sub-index</w:t>
                  </w:r>
                </w:p>
              </w:tc>
              <w:tc>
                <w:tcPr>
                  <w:tcW w:w="6883" w:type="dxa"/>
                  <w:tcBorders>
                    <w:top w:val="nil"/>
                    <w:left w:val="nil"/>
                    <w:bottom w:val="nil"/>
                    <w:right w:val="nil"/>
                  </w:tcBorders>
                  <w:shd w:val="clear" w:color="auto" w:fill="auto"/>
                </w:tcPr>
                <w:p w14:paraId="3F7D5B62" w14:textId="1F6CA0D8" w:rsidR="00FD1B7D" w:rsidRPr="002005D2" w:rsidRDefault="00FD1B7D" w:rsidP="00FD1B7D">
                  <w:pPr>
                    <w:spacing w:after="0" w:line="240" w:lineRule="auto"/>
                    <w:rPr>
                      <w:rFonts w:ascii="Arial" w:hAnsi="Arial" w:cs="Arial"/>
                      <w:color w:val="000000"/>
                      <w:sz w:val="18"/>
                      <w:szCs w:val="18"/>
                    </w:rPr>
                  </w:pPr>
                  <w:r w:rsidRPr="002005D2">
                    <w:rPr>
                      <w:rFonts w:ascii="Arial" w:hAnsi="Arial" w:cs="Arial"/>
                      <w:sz w:val="18"/>
                      <w:szCs w:val="18"/>
                    </w:rPr>
                    <w:t xml:space="preserve">is designed to measure the performance of silver as represented by the price of COMEX silver futures contracts. </w:t>
                  </w:r>
                </w:p>
              </w:tc>
            </w:tr>
            <w:tr w:rsidR="00F65D9E" w:rsidRPr="002005D2" w14:paraId="40B597AD" w14:textId="77777777" w:rsidTr="0027433B">
              <w:trPr>
                <w:trHeight w:val="480"/>
              </w:trPr>
              <w:tc>
                <w:tcPr>
                  <w:tcW w:w="1502" w:type="dxa"/>
                  <w:tcBorders>
                    <w:top w:val="nil"/>
                    <w:left w:val="nil"/>
                    <w:bottom w:val="nil"/>
                    <w:right w:val="nil"/>
                  </w:tcBorders>
                  <w:shd w:val="clear" w:color="auto" w:fill="auto"/>
                </w:tcPr>
                <w:p w14:paraId="55D0900F" w14:textId="7777777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Commodities</w:t>
                  </w:r>
                </w:p>
              </w:tc>
              <w:tc>
                <w:tcPr>
                  <w:tcW w:w="1961" w:type="dxa"/>
                  <w:tcBorders>
                    <w:top w:val="nil"/>
                    <w:left w:val="nil"/>
                    <w:bottom w:val="nil"/>
                    <w:right w:val="nil"/>
                  </w:tcBorders>
                  <w:shd w:val="clear" w:color="auto" w:fill="auto"/>
                </w:tcPr>
                <w:p w14:paraId="3D336145" w14:textId="7777777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77277B64" w14:textId="7777777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performance of a broadly diversified exposure to physical commodities via futures contracts.  </w:t>
                  </w:r>
                </w:p>
              </w:tc>
            </w:tr>
            <w:tr w:rsidR="00F65D9E" w:rsidRPr="002005D2" w14:paraId="2BC2C05A" w14:textId="77777777" w:rsidTr="0027433B">
              <w:trPr>
                <w:trHeight w:val="400"/>
              </w:trPr>
              <w:tc>
                <w:tcPr>
                  <w:tcW w:w="1502" w:type="dxa"/>
                  <w:tcBorders>
                    <w:top w:val="nil"/>
                    <w:left w:val="nil"/>
                    <w:bottom w:val="nil"/>
                    <w:right w:val="nil"/>
                  </w:tcBorders>
                  <w:shd w:val="clear" w:color="auto" w:fill="auto"/>
                </w:tcPr>
                <w:p w14:paraId="7BF0BA4B" w14:textId="5390EFE6"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Gold</w:t>
                  </w:r>
                </w:p>
                <w:p w14:paraId="7A5033E7" w14:textId="5D799CDC" w:rsidR="00B54567" w:rsidRPr="002005D2" w:rsidRDefault="00B54567" w:rsidP="00F65D9E">
                  <w:pPr>
                    <w:spacing w:after="0" w:line="240" w:lineRule="auto"/>
                    <w:rPr>
                      <w:rFonts w:ascii="Arial" w:hAnsi="Arial" w:cs="Arial"/>
                      <w:color w:val="000000"/>
                      <w:sz w:val="18"/>
                      <w:szCs w:val="18"/>
                    </w:rPr>
                  </w:pPr>
                </w:p>
                <w:p w14:paraId="1D838734" w14:textId="60519266" w:rsidR="00763276" w:rsidRPr="002005D2" w:rsidRDefault="00763276" w:rsidP="00F65D9E">
                  <w:pPr>
                    <w:spacing w:after="0" w:line="240" w:lineRule="auto"/>
                    <w:rPr>
                      <w:rFonts w:ascii="Arial" w:hAnsi="Arial" w:cs="Arial"/>
                      <w:color w:val="000000"/>
                      <w:sz w:val="18"/>
                      <w:szCs w:val="18"/>
                    </w:rPr>
                  </w:pPr>
                  <w:r w:rsidRPr="002005D2">
                    <w:rPr>
                      <w:rFonts w:ascii="Arial" w:hAnsi="Arial" w:cs="Arial"/>
                      <w:color w:val="000000"/>
                      <w:sz w:val="18"/>
                      <w:szCs w:val="18"/>
                    </w:rPr>
                    <w:t>Global Equity</w:t>
                  </w:r>
                </w:p>
                <w:p w14:paraId="00106035" w14:textId="77777777" w:rsidR="00763276" w:rsidRPr="002005D2" w:rsidRDefault="00763276" w:rsidP="00F65D9E">
                  <w:pPr>
                    <w:spacing w:after="0" w:line="240" w:lineRule="auto"/>
                    <w:rPr>
                      <w:rFonts w:ascii="Arial" w:hAnsi="Arial" w:cs="Arial"/>
                      <w:color w:val="000000"/>
                      <w:sz w:val="18"/>
                      <w:szCs w:val="18"/>
                    </w:rPr>
                  </w:pPr>
                </w:p>
                <w:p w14:paraId="6DAD1C0A" w14:textId="77777777" w:rsidR="00CA39AE" w:rsidRPr="002005D2" w:rsidRDefault="00CA39AE" w:rsidP="00F65D9E">
                  <w:pPr>
                    <w:spacing w:after="0" w:line="240" w:lineRule="auto"/>
                    <w:rPr>
                      <w:rFonts w:ascii="Arial" w:hAnsi="Arial" w:cs="Arial"/>
                      <w:color w:val="000000"/>
                      <w:sz w:val="18"/>
                      <w:szCs w:val="18"/>
                    </w:rPr>
                  </w:pPr>
                </w:p>
                <w:p w14:paraId="54EA509E" w14:textId="1FE9F6C8" w:rsidR="00B54567" w:rsidRPr="002005D2" w:rsidRDefault="000F051F" w:rsidP="00F65D9E">
                  <w:pPr>
                    <w:spacing w:after="0" w:line="240" w:lineRule="auto"/>
                    <w:rPr>
                      <w:rFonts w:ascii="Arial" w:hAnsi="Arial" w:cs="Arial"/>
                      <w:color w:val="000000"/>
                      <w:sz w:val="18"/>
                      <w:szCs w:val="18"/>
                    </w:rPr>
                  </w:pPr>
                  <w:r w:rsidRPr="002005D2">
                    <w:rPr>
                      <w:rFonts w:ascii="Arial" w:hAnsi="Arial" w:cs="Arial"/>
                      <w:color w:val="000000"/>
                      <w:sz w:val="18"/>
                      <w:szCs w:val="18"/>
                    </w:rPr>
                    <w:t>Global Fixed Income</w:t>
                  </w:r>
                </w:p>
                <w:p w14:paraId="59E130DF" w14:textId="77777777" w:rsidR="00555656" w:rsidRPr="002005D2" w:rsidRDefault="00555656" w:rsidP="00F65D9E">
                  <w:pPr>
                    <w:spacing w:after="0" w:line="240" w:lineRule="auto"/>
                    <w:rPr>
                      <w:rFonts w:ascii="Arial" w:hAnsi="Arial" w:cs="Arial"/>
                      <w:color w:val="000000"/>
                      <w:sz w:val="18"/>
                      <w:szCs w:val="18"/>
                    </w:rPr>
                  </w:pPr>
                </w:p>
                <w:p w14:paraId="11889481" w14:textId="5D27C5EE" w:rsidR="00555656" w:rsidRPr="002005D2" w:rsidRDefault="00555656" w:rsidP="00F65D9E">
                  <w:pPr>
                    <w:spacing w:after="0" w:line="240" w:lineRule="auto"/>
                    <w:rPr>
                      <w:rFonts w:ascii="Arial" w:hAnsi="Arial" w:cs="Arial"/>
                      <w:color w:val="000000"/>
                      <w:sz w:val="18"/>
                      <w:szCs w:val="18"/>
                    </w:rPr>
                  </w:pPr>
                </w:p>
              </w:tc>
              <w:tc>
                <w:tcPr>
                  <w:tcW w:w="1961" w:type="dxa"/>
                  <w:tcBorders>
                    <w:top w:val="nil"/>
                    <w:left w:val="nil"/>
                    <w:bottom w:val="nil"/>
                    <w:right w:val="nil"/>
                  </w:tcBorders>
                  <w:shd w:val="clear" w:color="auto" w:fill="auto"/>
                </w:tcPr>
                <w:p w14:paraId="0A657CF4" w14:textId="346A342A"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Bloomberg Sub Gold</w:t>
                  </w:r>
                </w:p>
                <w:p w14:paraId="4BFC67BE" w14:textId="77777777" w:rsidR="00763276" w:rsidRPr="002005D2" w:rsidRDefault="00763276" w:rsidP="00F65D9E">
                  <w:pPr>
                    <w:spacing w:after="0" w:line="240" w:lineRule="auto"/>
                    <w:rPr>
                      <w:rFonts w:ascii="Arial" w:hAnsi="Arial" w:cs="Arial"/>
                      <w:color w:val="000000"/>
                      <w:sz w:val="18"/>
                      <w:szCs w:val="18"/>
                    </w:rPr>
                  </w:pPr>
                </w:p>
                <w:p w14:paraId="44572029" w14:textId="0DC27F46" w:rsidR="00763276" w:rsidRPr="002005D2" w:rsidRDefault="00CA39AE" w:rsidP="00F65D9E">
                  <w:pPr>
                    <w:spacing w:after="0" w:line="240" w:lineRule="auto"/>
                    <w:rPr>
                      <w:rFonts w:ascii="Arial" w:hAnsi="Arial" w:cs="Arial"/>
                      <w:color w:val="000000"/>
                      <w:sz w:val="18"/>
                      <w:szCs w:val="18"/>
                    </w:rPr>
                  </w:pPr>
                  <w:r w:rsidRPr="002005D2">
                    <w:rPr>
                      <w:rFonts w:ascii="Arial" w:hAnsi="Arial" w:cs="Arial"/>
                      <w:color w:val="000000"/>
                      <w:sz w:val="18"/>
                      <w:szCs w:val="18"/>
                    </w:rPr>
                    <w:t>MSCI ACWI</w:t>
                  </w:r>
                </w:p>
                <w:p w14:paraId="648BD49D" w14:textId="77777777" w:rsidR="000F051F" w:rsidRPr="002005D2" w:rsidRDefault="000F051F" w:rsidP="00F65D9E">
                  <w:pPr>
                    <w:spacing w:after="0" w:line="240" w:lineRule="auto"/>
                    <w:rPr>
                      <w:rFonts w:ascii="Arial" w:hAnsi="Arial" w:cs="Arial"/>
                      <w:color w:val="000000"/>
                      <w:sz w:val="18"/>
                      <w:szCs w:val="18"/>
                    </w:rPr>
                  </w:pPr>
                </w:p>
                <w:p w14:paraId="158B668D" w14:textId="77777777" w:rsidR="00CA39AE" w:rsidRPr="002005D2" w:rsidRDefault="00CA39AE" w:rsidP="00F65D9E">
                  <w:pPr>
                    <w:spacing w:after="0" w:line="240" w:lineRule="auto"/>
                    <w:rPr>
                      <w:rFonts w:ascii="Arial" w:hAnsi="Arial" w:cs="Arial"/>
                      <w:color w:val="000000"/>
                      <w:sz w:val="18"/>
                      <w:szCs w:val="18"/>
                    </w:rPr>
                  </w:pPr>
                </w:p>
                <w:p w14:paraId="3FB5C55F" w14:textId="7A43C938" w:rsidR="000F051F" w:rsidRPr="002005D2" w:rsidRDefault="000F051F" w:rsidP="00F65D9E">
                  <w:pPr>
                    <w:spacing w:after="0" w:line="240" w:lineRule="auto"/>
                    <w:rPr>
                      <w:rFonts w:ascii="Arial" w:hAnsi="Arial" w:cs="Arial"/>
                      <w:color w:val="000000"/>
                      <w:sz w:val="18"/>
                      <w:szCs w:val="18"/>
                    </w:rPr>
                  </w:pPr>
                  <w:r w:rsidRPr="002005D2">
                    <w:rPr>
                      <w:rFonts w:ascii="Arial" w:hAnsi="Arial" w:cs="Arial"/>
                      <w:color w:val="000000"/>
                      <w:sz w:val="18"/>
                      <w:szCs w:val="18"/>
                    </w:rPr>
                    <w:t>Barclays Global Aggregate</w:t>
                  </w:r>
                </w:p>
              </w:tc>
              <w:tc>
                <w:tcPr>
                  <w:tcW w:w="6883" w:type="dxa"/>
                  <w:tcBorders>
                    <w:top w:val="nil"/>
                    <w:left w:val="nil"/>
                    <w:bottom w:val="nil"/>
                    <w:right w:val="nil"/>
                  </w:tcBorders>
                  <w:shd w:val="clear" w:color="auto" w:fill="auto"/>
                </w:tcPr>
                <w:p w14:paraId="77E4617B" w14:textId="3EDDF4EF"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futures contract on Gold and is quoted in USD.</w:t>
                  </w:r>
                </w:p>
                <w:p w14:paraId="640A5089" w14:textId="77777777" w:rsidR="000F051F" w:rsidRPr="002005D2" w:rsidRDefault="000F051F" w:rsidP="00F65D9E">
                  <w:pPr>
                    <w:spacing w:after="0" w:line="240" w:lineRule="auto"/>
                    <w:rPr>
                      <w:rFonts w:ascii="Arial" w:hAnsi="Arial" w:cs="Arial"/>
                      <w:color w:val="000000"/>
                      <w:sz w:val="18"/>
                      <w:szCs w:val="18"/>
                    </w:rPr>
                  </w:pPr>
                </w:p>
                <w:p w14:paraId="08409376" w14:textId="7AC818A8" w:rsidR="00CA39AE" w:rsidRPr="002005D2" w:rsidRDefault="00CA39AE" w:rsidP="00F65D9E">
                  <w:pPr>
                    <w:spacing w:after="0" w:line="240" w:lineRule="auto"/>
                    <w:rPr>
                      <w:rFonts w:ascii="Arial" w:hAnsi="Arial" w:cs="Arial"/>
                      <w:color w:val="000000"/>
                      <w:sz w:val="18"/>
                      <w:szCs w:val="18"/>
                    </w:rPr>
                  </w:pPr>
                  <w:r w:rsidRPr="002005D2">
                    <w:rPr>
                      <w:rFonts w:ascii="Arial" w:hAnsi="Arial" w:cs="Arial"/>
                      <w:color w:val="000000"/>
                      <w:sz w:val="18"/>
                      <w:szCs w:val="18"/>
                    </w:rPr>
                    <w:t>measures large- and mid-cap equity performance of developed and emerging markets.  Represents approximately 85% of the global equity investment universe.</w:t>
                  </w:r>
                </w:p>
                <w:p w14:paraId="6B56C155" w14:textId="77777777" w:rsidR="00CA39AE" w:rsidRPr="002005D2" w:rsidRDefault="00CA39AE" w:rsidP="00F65D9E">
                  <w:pPr>
                    <w:spacing w:after="0" w:line="240" w:lineRule="auto"/>
                    <w:rPr>
                      <w:rFonts w:ascii="Arial" w:hAnsi="Arial" w:cs="Arial"/>
                      <w:color w:val="000000"/>
                      <w:sz w:val="18"/>
                      <w:szCs w:val="18"/>
                    </w:rPr>
                  </w:pPr>
                </w:p>
                <w:p w14:paraId="390C80FB" w14:textId="58310341" w:rsidR="00555656" w:rsidRPr="002005D2" w:rsidRDefault="000F051F"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performance of global, investment-grade debt from 24 local currency markets.  This benchmark includes treasury, government-related, </w:t>
                  </w:r>
                  <w:proofErr w:type="gramStart"/>
                  <w:r w:rsidRPr="002005D2">
                    <w:rPr>
                      <w:rFonts w:ascii="Arial" w:hAnsi="Arial" w:cs="Arial"/>
                      <w:color w:val="000000"/>
                      <w:sz w:val="18"/>
                      <w:szCs w:val="18"/>
                    </w:rPr>
                    <w:t>corporate</w:t>
                  </w:r>
                  <w:proofErr w:type="gramEnd"/>
                  <w:r w:rsidRPr="002005D2">
                    <w:rPr>
                      <w:rFonts w:ascii="Arial" w:hAnsi="Arial" w:cs="Arial"/>
                      <w:color w:val="000000"/>
                      <w:sz w:val="18"/>
                      <w:szCs w:val="18"/>
                    </w:rPr>
                    <w:t xml:space="preserve"> and securitized fixed-rate bonds from both developed and emerging markets issuers.</w:t>
                  </w:r>
                </w:p>
                <w:p w14:paraId="3B61A34E" w14:textId="0F7C927D" w:rsidR="00555656" w:rsidRPr="002005D2" w:rsidRDefault="00555656" w:rsidP="00F65D9E">
                  <w:pPr>
                    <w:spacing w:after="0" w:line="240" w:lineRule="auto"/>
                    <w:rPr>
                      <w:rFonts w:ascii="Arial" w:hAnsi="Arial" w:cs="Arial"/>
                      <w:color w:val="000000"/>
                      <w:sz w:val="18"/>
                      <w:szCs w:val="18"/>
                    </w:rPr>
                  </w:pPr>
                </w:p>
              </w:tc>
            </w:tr>
            <w:tr w:rsidR="00F65D9E" w:rsidRPr="002005D2" w14:paraId="03B6F7B3" w14:textId="77777777" w:rsidTr="0027433B">
              <w:trPr>
                <w:trHeight w:val="909"/>
              </w:trPr>
              <w:tc>
                <w:tcPr>
                  <w:tcW w:w="1502" w:type="dxa"/>
                  <w:tcBorders>
                    <w:top w:val="nil"/>
                    <w:left w:val="nil"/>
                    <w:bottom w:val="nil"/>
                    <w:right w:val="nil"/>
                  </w:tcBorders>
                  <w:shd w:val="clear" w:color="auto" w:fill="auto"/>
                </w:tcPr>
                <w:p w14:paraId="04C5AFAD" w14:textId="6499AD61" w:rsidR="00F65D9E" w:rsidRPr="002005D2" w:rsidRDefault="00F65D9E" w:rsidP="00F65D9E">
                  <w:pPr>
                    <w:spacing w:after="0" w:line="240" w:lineRule="auto"/>
                    <w:rPr>
                      <w:rFonts w:ascii="Arial" w:hAnsi="Arial" w:cs="Arial"/>
                      <w:color w:val="000000"/>
                      <w:sz w:val="18"/>
                      <w:szCs w:val="18"/>
                    </w:rPr>
                  </w:pPr>
                </w:p>
                <w:p w14:paraId="695A0E71" w14:textId="45D4276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US REIT</w:t>
                  </w:r>
                </w:p>
              </w:tc>
              <w:tc>
                <w:tcPr>
                  <w:tcW w:w="1961" w:type="dxa"/>
                  <w:tcBorders>
                    <w:top w:val="nil"/>
                    <w:left w:val="nil"/>
                    <w:bottom w:val="nil"/>
                    <w:right w:val="nil"/>
                  </w:tcBorders>
                  <w:shd w:val="clear" w:color="auto" w:fill="auto"/>
                </w:tcPr>
                <w:p w14:paraId="15A8AA22" w14:textId="77777777" w:rsidR="00F65D9E" w:rsidRPr="002005D2" w:rsidRDefault="00F65D9E" w:rsidP="00F65D9E">
                  <w:pPr>
                    <w:spacing w:after="0" w:line="240" w:lineRule="auto"/>
                    <w:rPr>
                      <w:rFonts w:ascii="Arial" w:hAnsi="Arial" w:cs="Arial"/>
                      <w:color w:val="000000"/>
                      <w:sz w:val="18"/>
                      <w:szCs w:val="18"/>
                    </w:rPr>
                  </w:pPr>
                </w:p>
                <w:p w14:paraId="3EE8E569" w14:textId="1728DCBB"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7308006D" w14:textId="4D97F82D" w:rsidR="00F65D9E" w:rsidRPr="002005D2" w:rsidRDefault="00F65D9E" w:rsidP="00F65D9E">
                  <w:pPr>
                    <w:spacing w:after="0" w:line="240" w:lineRule="auto"/>
                    <w:rPr>
                      <w:rFonts w:ascii="Arial" w:hAnsi="Arial" w:cs="Arial"/>
                      <w:color w:val="000000"/>
                      <w:sz w:val="18"/>
                      <w:szCs w:val="18"/>
                    </w:rPr>
                  </w:pPr>
                </w:p>
                <w:p w14:paraId="43997ED2" w14:textId="7777777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6143DE60" w14:textId="72A32251" w:rsidR="00F65D9E" w:rsidRPr="002005D2" w:rsidRDefault="00F65D9E" w:rsidP="00F65D9E">
                  <w:pPr>
                    <w:spacing w:after="0" w:line="240" w:lineRule="auto"/>
                    <w:rPr>
                      <w:rFonts w:ascii="Arial" w:hAnsi="Arial" w:cs="Arial"/>
                      <w:color w:val="000000"/>
                      <w:sz w:val="18"/>
                      <w:szCs w:val="18"/>
                    </w:rPr>
                  </w:pPr>
                </w:p>
              </w:tc>
            </w:tr>
            <w:tr w:rsidR="00F65D9E" w:rsidRPr="002005D2" w14:paraId="42AB837F" w14:textId="77777777" w:rsidTr="00FC1CD5">
              <w:trPr>
                <w:trHeight w:val="909"/>
              </w:trPr>
              <w:tc>
                <w:tcPr>
                  <w:tcW w:w="1502" w:type="dxa"/>
                  <w:tcBorders>
                    <w:top w:val="nil"/>
                    <w:left w:val="nil"/>
                    <w:bottom w:val="nil"/>
                    <w:right w:val="nil"/>
                  </w:tcBorders>
                  <w:shd w:val="clear" w:color="auto" w:fill="auto"/>
                </w:tcPr>
                <w:p w14:paraId="6261AB3B" w14:textId="77777777" w:rsidR="00FD1B7D" w:rsidRPr="002005D2" w:rsidRDefault="00FD1B7D" w:rsidP="00F65D9E">
                  <w:pPr>
                    <w:spacing w:after="0" w:line="240" w:lineRule="auto"/>
                    <w:rPr>
                      <w:rFonts w:ascii="Arial" w:hAnsi="Arial" w:cs="Arial"/>
                      <w:color w:val="000000"/>
                      <w:sz w:val="18"/>
                      <w:szCs w:val="18"/>
                    </w:rPr>
                  </w:pPr>
                </w:p>
                <w:p w14:paraId="15CA245C" w14:textId="190EA877"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US Dollar</w:t>
                  </w:r>
                </w:p>
              </w:tc>
              <w:tc>
                <w:tcPr>
                  <w:tcW w:w="1961" w:type="dxa"/>
                  <w:tcBorders>
                    <w:top w:val="nil"/>
                    <w:left w:val="nil"/>
                    <w:bottom w:val="nil"/>
                    <w:right w:val="nil"/>
                  </w:tcBorders>
                  <w:shd w:val="clear" w:color="auto" w:fill="auto"/>
                </w:tcPr>
                <w:p w14:paraId="758BF7C3" w14:textId="77777777" w:rsidR="002518A8" w:rsidRPr="002005D2" w:rsidRDefault="002518A8" w:rsidP="00F65D9E">
                  <w:pPr>
                    <w:spacing w:after="0" w:line="240" w:lineRule="auto"/>
                    <w:rPr>
                      <w:rFonts w:ascii="Arial" w:hAnsi="Arial" w:cs="Arial"/>
                      <w:color w:val="000000"/>
                      <w:sz w:val="18"/>
                      <w:szCs w:val="18"/>
                    </w:rPr>
                  </w:pPr>
                </w:p>
                <w:p w14:paraId="06E19BD7" w14:textId="7A2B98A5"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500882BB" w14:textId="77777777" w:rsidR="002518A8" w:rsidRPr="002005D2" w:rsidRDefault="002518A8" w:rsidP="00F65D9E">
                  <w:pPr>
                    <w:spacing w:after="0" w:line="240" w:lineRule="auto"/>
                    <w:rPr>
                      <w:rFonts w:ascii="Arial" w:hAnsi="Arial" w:cs="Arial"/>
                      <w:color w:val="000000"/>
                      <w:sz w:val="18"/>
                      <w:szCs w:val="18"/>
                    </w:rPr>
                  </w:pPr>
                </w:p>
                <w:p w14:paraId="18244659" w14:textId="07C5F304" w:rsidR="00F65D9E" w:rsidRPr="002005D2" w:rsidRDefault="00F65D9E" w:rsidP="00F65D9E">
                  <w:pPr>
                    <w:spacing w:after="0" w:line="240" w:lineRule="auto"/>
                    <w:rPr>
                      <w:rFonts w:ascii="Arial" w:hAnsi="Arial" w:cs="Arial"/>
                      <w:color w:val="000000"/>
                      <w:sz w:val="18"/>
                      <w:szCs w:val="18"/>
                    </w:rPr>
                  </w:pPr>
                  <w:r w:rsidRPr="002005D2">
                    <w:rPr>
                      <w:rFonts w:ascii="Arial" w:hAnsi="Arial" w:cs="Arial"/>
                      <w:color w:val="000000"/>
                      <w:sz w:val="18"/>
                      <w:szCs w:val="18"/>
                    </w:rPr>
                    <w:t xml:space="preserve">measures the value of the US dollar relative to the value of a 'basket' of currencies of </w:t>
                  </w:r>
                  <w:proofErr w:type="gramStart"/>
                  <w:r w:rsidRPr="002005D2">
                    <w:rPr>
                      <w:rFonts w:ascii="Arial" w:hAnsi="Arial" w:cs="Arial"/>
                      <w:color w:val="000000"/>
                      <w:sz w:val="18"/>
                      <w:szCs w:val="18"/>
                    </w:rPr>
                    <w:t>the majority of</w:t>
                  </w:r>
                  <w:proofErr w:type="gramEnd"/>
                  <w:r w:rsidRPr="002005D2">
                    <w:rPr>
                      <w:rFonts w:ascii="Arial" w:hAnsi="Arial" w:cs="Arial"/>
                      <w:color w:val="000000"/>
                      <w:sz w:val="18"/>
                      <w:szCs w:val="18"/>
                    </w:rPr>
                    <w:t xml:space="preserve"> the U.S.'s most significant trading partners.  Factors the exchange rates of six major world currencies:  euro, Japanese yen, Canadian dollar, British pound, Swedish </w:t>
                  </w:r>
                  <w:proofErr w:type="gramStart"/>
                  <w:r w:rsidRPr="002005D2">
                    <w:rPr>
                      <w:rFonts w:ascii="Arial" w:hAnsi="Arial" w:cs="Arial"/>
                      <w:color w:val="000000"/>
                      <w:sz w:val="18"/>
                      <w:szCs w:val="18"/>
                    </w:rPr>
                    <w:t>krona</w:t>
                  </w:r>
                  <w:proofErr w:type="gramEnd"/>
                  <w:r w:rsidRPr="002005D2">
                    <w:rPr>
                      <w:rFonts w:ascii="Arial" w:hAnsi="Arial" w:cs="Arial"/>
                      <w:color w:val="000000"/>
                      <w:sz w:val="18"/>
                      <w:szCs w:val="18"/>
                    </w:rPr>
                    <w:t xml:space="preserve"> and Swiss franc. </w:t>
                  </w:r>
                </w:p>
              </w:tc>
            </w:tr>
          </w:tbl>
          <w:p w14:paraId="00C76158" w14:textId="49363A08" w:rsidR="003A7A06" w:rsidRPr="002005D2" w:rsidRDefault="003A7A06" w:rsidP="003A7A06">
            <w:pPr>
              <w:spacing w:after="160"/>
              <w:ind w:left="-720" w:right="-720"/>
              <w:rPr>
                <w:rFonts w:ascii="Arial" w:hAnsi="Arial" w:cs="Arial"/>
                <w:color w:val="343433"/>
                <w:sz w:val="18"/>
                <w:szCs w:val="18"/>
              </w:rPr>
            </w:pPr>
          </w:p>
        </w:tc>
      </w:tr>
    </w:tbl>
    <w:bookmarkEnd w:id="0"/>
    <w:p w14:paraId="640A84B7" w14:textId="11E432C8"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2A453D01">
                <wp:simplePos x="0" y="0"/>
                <wp:positionH relativeFrom="margin">
                  <wp:align>center</wp:align>
                </wp:positionH>
                <wp:positionV relativeFrom="paragraph">
                  <wp:posOffset>4620895</wp:posOffset>
                </wp:positionV>
                <wp:extent cx="6927850" cy="34036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34036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8A9E817" w14:textId="30CAA57E"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93970E6" w14:textId="6BF65236" w:rsidR="002F7F11" w:rsidRPr="002F7F11" w:rsidRDefault="002F7F11" w:rsidP="002F7F11">
                              <w:pPr>
                                <w:pStyle w:val="NormalWeb"/>
                                <w:spacing w:after="0"/>
                                <w:rPr>
                                  <w:rFonts w:ascii="Arial" w:hAnsi="Arial" w:cs="Arial"/>
                                  <w:sz w:val="16"/>
                                  <w:szCs w:val="16"/>
                                </w:rPr>
                              </w:pPr>
                              <w:r w:rsidRPr="002F7F11">
                                <w:rPr>
                                  <w:rFonts w:ascii="Arial" w:hAnsi="Arial" w:cs="Arial"/>
                                  <w:b/>
                                  <w:bCs/>
                                  <w:sz w:val="16"/>
                                  <w:szCs w:val="16"/>
                                </w:rPr>
                                <w:t>Investing involves risk, including the possible loss of principal. Past performance does not guarantee future results.</w:t>
                              </w:r>
                              <w:r w:rsidRPr="002F7F11">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w:t>
                              </w:r>
                              <w:r w:rsidR="00AC6525" w:rsidRPr="00AC6525">
                                <w:rPr>
                                  <w:rFonts w:ascii="Helvetica" w:hAnsi="Helvetica" w:cs="Helvetica"/>
                                  <w:color w:val="343A40"/>
                                  <w:spacing w:val="2"/>
                                  <w:sz w:val="21"/>
                                  <w:szCs w:val="21"/>
                                  <w:shd w:val="clear" w:color="auto" w:fill="FFFFFF"/>
                                </w:rPr>
                                <w:t xml:space="preserve"> </w:t>
                              </w:r>
                              <w:r w:rsidR="00AC6525" w:rsidRPr="00AC6525">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BAD30C0"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E33FFB5"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 xml:space="preserve">AssetMark, Inc. is an investment adviser registered with the U.S. Securities and Exchange Commission. AssetMark and third-party service providers are separate and unaffiliated companies. Each party is responsible for their own content and services.  </w:t>
                              </w:r>
                            </w:p>
                            <w:p w14:paraId="7549071F" w14:textId="3A2965C4" w:rsidR="002F7F11" w:rsidRPr="001437D6" w:rsidRDefault="002F7F11" w:rsidP="002F7F11">
                              <w:pPr>
                                <w:pStyle w:val="NormalWeb"/>
                                <w:spacing w:before="0" w:beforeAutospacing="0"/>
                                <w:contextualSpacing/>
                                <w:rPr>
                                  <w:rFonts w:ascii="Arial" w:hAnsi="Arial" w:cs="Arial"/>
                                  <w:sz w:val="16"/>
                                  <w:szCs w:val="16"/>
                                </w:rPr>
                              </w:pPr>
                              <w:r w:rsidRPr="001437D6">
                                <w:rPr>
                                  <w:rFonts w:ascii="Arial" w:hAnsi="Arial" w:cs="Arial"/>
                                  <w:sz w:val="16"/>
                                  <w:szCs w:val="16"/>
                                </w:rPr>
                                <w:t>©202</w:t>
                              </w:r>
                              <w:r w:rsidR="002037A8" w:rsidRPr="001437D6">
                                <w:rPr>
                                  <w:rFonts w:ascii="Arial" w:hAnsi="Arial" w:cs="Arial"/>
                                  <w:sz w:val="16"/>
                                  <w:szCs w:val="16"/>
                                </w:rPr>
                                <w:t>2</w:t>
                              </w:r>
                              <w:r w:rsidRPr="001437D6">
                                <w:rPr>
                                  <w:rFonts w:ascii="Arial" w:hAnsi="Arial" w:cs="Arial"/>
                                  <w:sz w:val="16"/>
                                  <w:szCs w:val="16"/>
                                </w:rPr>
                                <w:t xml:space="preserve"> AssetMark, Inc. All rights reserved. </w:t>
                              </w:r>
                            </w:p>
                            <w:p w14:paraId="4E90949C" w14:textId="1B6AEA44" w:rsidR="002F7F11" w:rsidRPr="002F7F11" w:rsidRDefault="001437D6" w:rsidP="002F7F11">
                              <w:pPr>
                                <w:pStyle w:val="NormalWeb"/>
                                <w:spacing w:before="0" w:beforeAutospacing="0"/>
                                <w:contextualSpacing/>
                                <w:rPr>
                                  <w:rFonts w:ascii="Arial" w:hAnsi="Arial" w:cs="Arial"/>
                                  <w:sz w:val="16"/>
                                  <w:szCs w:val="16"/>
                                </w:rPr>
                              </w:pPr>
                              <w:r w:rsidRPr="001437D6">
                                <w:rPr>
                                  <w:rFonts w:ascii="Arial" w:hAnsi="Arial" w:cs="Arial"/>
                                  <w:sz w:val="16"/>
                                  <w:szCs w:val="16"/>
                                </w:rPr>
                                <w:t>103348</w:t>
                              </w:r>
                              <w:r w:rsidR="002F7F11" w:rsidRPr="001437D6">
                                <w:rPr>
                                  <w:rFonts w:ascii="Arial" w:hAnsi="Arial" w:cs="Arial"/>
                                  <w:sz w:val="16"/>
                                  <w:szCs w:val="16"/>
                                </w:rPr>
                                <w:t xml:space="preserve"> | </w:t>
                              </w:r>
                              <w:r w:rsidRPr="001437D6">
                                <w:rPr>
                                  <w:rFonts w:ascii="Arial" w:hAnsi="Arial" w:cs="Arial"/>
                                  <w:sz w:val="16"/>
                                  <w:szCs w:val="16"/>
                                </w:rPr>
                                <w:t>C22-18377</w:t>
                              </w:r>
                              <w:r w:rsidRPr="001437D6">
                                <w:rPr>
                                  <w:rFonts w:ascii="Arial" w:hAnsi="Arial" w:cs="Arial"/>
                                  <w:sz w:val="16"/>
                                  <w:szCs w:val="16"/>
                                </w:rPr>
                                <w:t xml:space="preserve"> </w:t>
                              </w:r>
                              <w:r w:rsidR="002F7F11" w:rsidRPr="001437D6">
                                <w:rPr>
                                  <w:rFonts w:ascii="Arial" w:hAnsi="Arial" w:cs="Arial"/>
                                  <w:sz w:val="16"/>
                                  <w:szCs w:val="16"/>
                                </w:rPr>
                                <w:t>| 0</w:t>
                              </w:r>
                              <w:r w:rsidR="00F67AD8" w:rsidRPr="001437D6">
                                <w:rPr>
                                  <w:rFonts w:ascii="Arial" w:hAnsi="Arial" w:cs="Arial"/>
                                  <w:sz w:val="16"/>
                                  <w:szCs w:val="16"/>
                                </w:rPr>
                                <w:t>1</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F67AD8" w:rsidRPr="001437D6">
                                <w:rPr>
                                  <w:rFonts w:ascii="Arial" w:hAnsi="Arial" w:cs="Arial"/>
                                  <w:sz w:val="16"/>
                                  <w:szCs w:val="16"/>
                                </w:rPr>
                                <w:t>1</w:t>
                              </w:r>
                              <w:r w:rsidR="002F7F11" w:rsidRPr="001437D6">
                                <w:rPr>
                                  <w:rFonts w:ascii="Arial" w:hAnsi="Arial" w:cs="Arial"/>
                                  <w:sz w:val="16"/>
                                  <w:szCs w:val="16"/>
                                </w:rPr>
                                <w:t>/3</w:t>
                              </w:r>
                              <w:r w:rsidR="00F67AD8" w:rsidRPr="001437D6">
                                <w:rPr>
                                  <w:rFonts w:ascii="Arial" w:hAnsi="Arial" w:cs="Arial"/>
                                  <w:sz w:val="16"/>
                                  <w:szCs w:val="16"/>
                                </w:rPr>
                                <w:t>1</w:t>
                              </w:r>
                              <w:r w:rsidR="002F7F11" w:rsidRPr="001437D6">
                                <w:rPr>
                                  <w:rFonts w:ascii="Arial" w:hAnsi="Arial" w:cs="Arial"/>
                                  <w:sz w:val="16"/>
                                  <w:szCs w:val="16"/>
                                </w:rPr>
                                <w:t>/202</w:t>
                              </w:r>
                              <w:r w:rsidR="00F67AD8" w:rsidRPr="001437D6">
                                <w:rPr>
                                  <w:rFonts w:ascii="Arial" w:hAnsi="Arial" w:cs="Arial"/>
                                  <w:sz w:val="16"/>
                                  <w:szCs w:val="16"/>
                                </w:rPr>
                                <w:t>4</w:t>
                              </w:r>
                            </w:p>
                            <w:p w14:paraId="0F2FFEED" w14:textId="4C168106" w:rsidR="002F7F11" w:rsidRPr="00BF0CB7" w:rsidRDefault="002F7F11" w:rsidP="002F7F11">
                              <w:pPr>
                                <w:pStyle w:val="NormalWeb"/>
                                <w:spacing w:before="0" w:beforeAutospacing="0" w:after="0" w:afterAutospacing="0"/>
                                <w:rPr>
                                  <w:rFonts w:ascii="Arial" w:hAnsi="Arial" w:cs="Arial"/>
                                  <w:sz w:val="16"/>
                                  <w:szCs w:val="16"/>
                                </w:rPr>
                              </w:pPr>
                            </w:p>
                            <w:p w14:paraId="372C601A" w14:textId="16B6F7D5" w:rsidR="00BB7679" w:rsidRPr="00BF0CB7" w:rsidRDefault="00BB7679" w:rsidP="00BB7679">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0;margin-top:363.85pt;width:545.5pt;height:268pt;z-index:251679744;mso-position-horizontal:center;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i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Rl648i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8NN4Zd0Acafx74deGHswjvDi8NMojpJgItt878yT4F8Oi6WfsWUJMG0FAey5LDswXo50&#10;uhk2w1TKd0xn8y2ReX+3vxGx/fQZsUH0OmL7oe8HfmypHUURkAz87JkdR/46wUZCZgdREnrpfA98&#10;DWbbz7+lV/8n+NtMa0tw+Kq3Hx/TPxD823C4ttN9/z/p7C8AAAD//wMAUEsDBBQABgAIAAAAIQBB&#10;ngWs4QAAAAoBAAAPAAAAZHJzL2Rvd25yZXYueG1sTI9BS8NAEIXvgv9hGcGb3STFRmM2pRT1VARb&#10;ofQ2zU6T0OxuyG6T9N87PeltZt7jzffy5WRaMVDvG2cVxLMIBNnS6cZWCn52H08vIHxAq7F1lhRc&#10;ycOyuL/LMdNutN80bEMlOMT6DBXUIXSZlL6syaCfuY4sayfXGwy89pXUPY4cblqZRNFCGmwsf6ix&#10;o3VN5Xl7MQo+RxxX8/h92JxP6+th9/y138Sk1OPDtHoDEWgKf2a44TM6FMx0dBervWgVcJGgIE3S&#10;FMRNjl5jPh15ShbzFGSRy/8Vil8AAAD//wMAUEsBAi0AFAAGAAgAAAAhALaDOJL+AAAA4QEAABMA&#10;AAAAAAAAAAAAAAAAAAAAAFtDb250ZW50X1R5cGVzXS54bWxQSwECLQAUAAYACAAAACEAOP0h/9YA&#10;AACUAQAACwAAAAAAAAAAAAAAAAAvAQAAX3JlbHMvLnJlbHNQSwECLQAUAAYACAAAACEAf/AhotMD&#10;AABvDQAADgAAAAAAAAAAAAAAAAAuAgAAZHJzL2Uyb0RvYy54bWxQSwECLQAUAAYACAAAACEAQZ4F&#10;rOEAAAAKAQAADwAAAAAAAAAAAAAAAAAtBgAAZHJzL2Rvd25yZXYueG1sUEsFBgAAAAAEAAQA8wAA&#10;ADsHA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8A9E817" w14:textId="30CAA57E"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93970E6" w14:textId="6BF65236" w:rsidR="002F7F11" w:rsidRPr="002F7F11" w:rsidRDefault="002F7F11" w:rsidP="002F7F11">
                        <w:pPr>
                          <w:pStyle w:val="NormalWeb"/>
                          <w:spacing w:after="0"/>
                          <w:rPr>
                            <w:rFonts w:ascii="Arial" w:hAnsi="Arial" w:cs="Arial"/>
                            <w:sz w:val="16"/>
                            <w:szCs w:val="16"/>
                          </w:rPr>
                        </w:pPr>
                        <w:r w:rsidRPr="002F7F11">
                          <w:rPr>
                            <w:rFonts w:ascii="Arial" w:hAnsi="Arial" w:cs="Arial"/>
                            <w:b/>
                            <w:bCs/>
                            <w:sz w:val="16"/>
                            <w:szCs w:val="16"/>
                          </w:rPr>
                          <w:t>Investing involves risk, including the possible loss of principal. Past performance does not guarantee future results.</w:t>
                        </w:r>
                        <w:r w:rsidRPr="002F7F11">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w:t>
                        </w:r>
                        <w:r w:rsidR="00AC6525" w:rsidRPr="00AC6525">
                          <w:rPr>
                            <w:rFonts w:ascii="Helvetica" w:hAnsi="Helvetica" w:cs="Helvetica"/>
                            <w:color w:val="343A40"/>
                            <w:spacing w:val="2"/>
                            <w:sz w:val="21"/>
                            <w:szCs w:val="21"/>
                            <w:shd w:val="clear" w:color="auto" w:fill="FFFFFF"/>
                          </w:rPr>
                          <w:t xml:space="preserve"> </w:t>
                        </w:r>
                        <w:r w:rsidR="00AC6525" w:rsidRPr="00AC6525">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BAD30C0"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E33FFB5"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 xml:space="preserve">AssetMark, Inc. is an investment adviser registered with the U.S. Securities and Exchange Commission. AssetMark and third-party service providers are separate and unaffiliated companies. Each party is responsible for their own content and services.  </w:t>
                        </w:r>
                      </w:p>
                      <w:p w14:paraId="7549071F" w14:textId="3A2965C4" w:rsidR="002F7F11" w:rsidRPr="001437D6" w:rsidRDefault="002F7F11" w:rsidP="002F7F11">
                        <w:pPr>
                          <w:pStyle w:val="NormalWeb"/>
                          <w:spacing w:before="0" w:beforeAutospacing="0"/>
                          <w:contextualSpacing/>
                          <w:rPr>
                            <w:rFonts w:ascii="Arial" w:hAnsi="Arial" w:cs="Arial"/>
                            <w:sz w:val="16"/>
                            <w:szCs w:val="16"/>
                          </w:rPr>
                        </w:pPr>
                        <w:r w:rsidRPr="001437D6">
                          <w:rPr>
                            <w:rFonts w:ascii="Arial" w:hAnsi="Arial" w:cs="Arial"/>
                            <w:sz w:val="16"/>
                            <w:szCs w:val="16"/>
                          </w:rPr>
                          <w:t>©202</w:t>
                        </w:r>
                        <w:r w:rsidR="002037A8" w:rsidRPr="001437D6">
                          <w:rPr>
                            <w:rFonts w:ascii="Arial" w:hAnsi="Arial" w:cs="Arial"/>
                            <w:sz w:val="16"/>
                            <w:szCs w:val="16"/>
                          </w:rPr>
                          <w:t>2</w:t>
                        </w:r>
                        <w:r w:rsidRPr="001437D6">
                          <w:rPr>
                            <w:rFonts w:ascii="Arial" w:hAnsi="Arial" w:cs="Arial"/>
                            <w:sz w:val="16"/>
                            <w:szCs w:val="16"/>
                          </w:rPr>
                          <w:t xml:space="preserve"> AssetMark, Inc. All rights reserved. </w:t>
                        </w:r>
                      </w:p>
                      <w:p w14:paraId="4E90949C" w14:textId="1B6AEA44" w:rsidR="002F7F11" w:rsidRPr="002F7F11" w:rsidRDefault="001437D6" w:rsidP="002F7F11">
                        <w:pPr>
                          <w:pStyle w:val="NormalWeb"/>
                          <w:spacing w:before="0" w:beforeAutospacing="0"/>
                          <w:contextualSpacing/>
                          <w:rPr>
                            <w:rFonts w:ascii="Arial" w:hAnsi="Arial" w:cs="Arial"/>
                            <w:sz w:val="16"/>
                            <w:szCs w:val="16"/>
                          </w:rPr>
                        </w:pPr>
                        <w:r w:rsidRPr="001437D6">
                          <w:rPr>
                            <w:rFonts w:ascii="Arial" w:hAnsi="Arial" w:cs="Arial"/>
                            <w:sz w:val="16"/>
                            <w:szCs w:val="16"/>
                          </w:rPr>
                          <w:t>103348</w:t>
                        </w:r>
                        <w:r w:rsidR="002F7F11" w:rsidRPr="001437D6">
                          <w:rPr>
                            <w:rFonts w:ascii="Arial" w:hAnsi="Arial" w:cs="Arial"/>
                            <w:sz w:val="16"/>
                            <w:szCs w:val="16"/>
                          </w:rPr>
                          <w:t xml:space="preserve"> | </w:t>
                        </w:r>
                        <w:r w:rsidRPr="001437D6">
                          <w:rPr>
                            <w:rFonts w:ascii="Arial" w:hAnsi="Arial" w:cs="Arial"/>
                            <w:sz w:val="16"/>
                            <w:szCs w:val="16"/>
                          </w:rPr>
                          <w:t>C22-18377</w:t>
                        </w:r>
                        <w:r w:rsidRPr="001437D6">
                          <w:rPr>
                            <w:rFonts w:ascii="Arial" w:hAnsi="Arial" w:cs="Arial"/>
                            <w:sz w:val="16"/>
                            <w:szCs w:val="16"/>
                          </w:rPr>
                          <w:t xml:space="preserve"> </w:t>
                        </w:r>
                        <w:r w:rsidR="002F7F11" w:rsidRPr="001437D6">
                          <w:rPr>
                            <w:rFonts w:ascii="Arial" w:hAnsi="Arial" w:cs="Arial"/>
                            <w:sz w:val="16"/>
                            <w:szCs w:val="16"/>
                          </w:rPr>
                          <w:t>| 0</w:t>
                        </w:r>
                        <w:r w:rsidR="00F67AD8" w:rsidRPr="001437D6">
                          <w:rPr>
                            <w:rFonts w:ascii="Arial" w:hAnsi="Arial" w:cs="Arial"/>
                            <w:sz w:val="16"/>
                            <w:szCs w:val="16"/>
                          </w:rPr>
                          <w:t>1</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F67AD8" w:rsidRPr="001437D6">
                          <w:rPr>
                            <w:rFonts w:ascii="Arial" w:hAnsi="Arial" w:cs="Arial"/>
                            <w:sz w:val="16"/>
                            <w:szCs w:val="16"/>
                          </w:rPr>
                          <w:t>1</w:t>
                        </w:r>
                        <w:r w:rsidR="002F7F11" w:rsidRPr="001437D6">
                          <w:rPr>
                            <w:rFonts w:ascii="Arial" w:hAnsi="Arial" w:cs="Arial"/>
                            <w:sz w:val="16"/>
                            <w:szCs w:val="16"/>
                          </w:rPr>
                          <w:t>/3</w:t>
                        </w:r>
                        <w:r w:rsidR="00F67AD8" w:rsidRPr="001437D6">
                          <w:rPr>
                            <w:rFonts w:ascii="Arial" w:hAnsi="Arial" w:cs="Arial"/>
                            <w:sz w:val="16"/>
                            <w:szCs w:val="16"/>
                          </w:rPr>
                          <w:t>1</w:t>
                        </w:r>
                        <w:r w:rsidR="002F7F11" w:rsidRPr="001437D6">
                          <w:rPr>
                            <w:rFonts w:ascii="Arial" w:hAnsi="Arial" w:cs="Arial"/>
                            <w:sz w:val="16"/>
                            <w:szCs w:val="16"/>
                          </w:rPr>
                          <w:t>/202</w:t>
                        </w:r>
                        <w:r w:rsidR="00F67AD8" w:rsidRPr="001437D6">
                          <w:rPr>
                            <w:rFonts w:ascii="Arial" w:hAnsi="Arial" w:cs="Arial"/>
                            <w:sz w:val="16"/>
                            <w:szCs w:val="16"/>
                          </w:rPr>
                          <w:t>4</w:t>
                        </w:r>
                      </w:p>
                      <w:p w14:paraId="0F2FFEED" w14:textId="4C168106" w:rsidR="002F7F11" w:rsidRPr="00BF0CB7" w:rsidRDefault="002F7F11" w:rsidP="002F7F11">
                        <w:pPr>
                          <w:pStyle w:val="NormalWeb"/>
                          <w:spacing w:before="0" w:beforeAutospacing="0" w:after="0" w:afterAutospacing="0"/>
                          <w:rPr>
                            <w:rFonts w:ascii="Arial" w:hAnsi="Arial" w:cs="Arial"/>
                            <w:sz w:val="16"/>
                            <w:szCs w:val="16"/>
                          </w:rPr>
                        </w:pPr>
                      </w:p>
                      <w:p w14:paraId="372C601A" w14:textId="16B6F7D5" w:rsidR="00BB7679" w:rsidRPr="00BF0CB7" w:rsidRDefault="00BB7679" w:rsidP="00BB7679">
                        <w:pPr>
                          <w:spacing w:after="0" w:line="240" w:lineRule="auto"/>
                          <w:rPr>
                            <w:rFonts w:ascii="Arial" w:hAnsi="Arial" w:cs="Arial"/>
                            <w:sz w:val="16"/>
                            <w:szCs w:val="16"/>
                          </w:rPr>
                        </w:pPr>
                      </w:p>
                    </w:txbxContent>
                  </v:textbox>
                </v:shape>
                <w10:wrap type="topAndBottom"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5CBD" w14:textId="77777777" w:rsidR="005937AF" w:rsidRDefault="005937AF" w:rsidP="005C1D70">
      <w:pPr>
        <w:spacing w:after="0" w:line="240" w:lineRule="auto"/>
      </w:pPr>
      <w:r>
        <w:separator/>
      </w:r>
    </w:p>
  </w:endnote>
  <w:endnote w:type="continuationSeparator" w:id="0">
    <w:p w14:paraId="62552034" w14:textId="77777777" w:rsidR="005937AF" w:rsidRDefault="005937AF" w:rsidP="005C1D70">
      <w:pPr>
        <w:spacing w:after="0" w:line="240" w:lineRule="auto"/>
      </w:pPr>
      <w:r>
        <w:continuationSeparator/>
      </w:r>
    </w:p>
  </w:endnote>
  <w:endnote w:id="1">
    <w:p w14:paraId="289E6ECA" w14:textId="4C65EA35" w:rsidR="00B00175" w:rsidRPr="002037A8" w:rsidRDefault="00B00175">
      <w:pPr>
        <w:pStyle w:val="EndnoteText"/>
        <w:rPr>
          <w:rFonts w:ascii="Arial" w:hAnsi="Arial" w:cs="Arial"/>
        </w:rPr>
      </w:pPr>
      <w:r w:rsidRPr="002037A8">
        <w:rPr>
          <w:rStyle w:val="EndnoteReference"/>
          <w:rFonts w:ascii="Arial" w:hAnsi="Arial" w:cs="Arial"/>
        </w:rPr>
        <w:endnoteRef/>
      </w:r>
      <w:r w:rsidRPr="002037A8">
        <w:rPr>
          <w:rFonts w:ascii="Arial" w:hAnsi="Arial" w:cs="Arial"/>
        </w:rPr>
        <w:t xml:space="preserve"> </w:t>
      </w:r>
      <w:hyperlink r:id="rId1" w:history="1">
        <w:r w:rsidRPr="002037A8">
          <w:rPr>
            <w:rStyle w:val="Hyperlink"/>
            <w:rFonts w:ascii="Arial" w:hAnsi="Arial" w:cs="Arial"/>
          </w:rPr>
          <w:t>Risk-on rally resumes as Omicron fears recede | Reuters</w:t>
        </w:r>
      </w:hyperlink>
    </w:p>
  </w:endnote>
  <w:endnote w:id="2">
    <w:p w14:paraId="4DD79BAF" w14:textId="26480977" w:rsidR="0080074E" w:rsidRPr="002037A8" w:rsidRDefault="0080074E">
      <w:pPr>
        <w:pStyle w:val="EndnoteText"/>
        <w:rPr>
          <w:rFonts w:ascii="Arial" w:hAnsi="Arial" w:cs="Arial"/>
        </w:rPr>
      </w:pPr>
      <w:r w:rsidRPr="002037A8">
        <w:rPr>
          <w:rStyle w:val="EndnoteReference"/>
          <w:rFonts w:ascii="Arial" w:hAnsi="Arial" w:cs="Arial"/>
        </w:rPr>
        <w:endnoteRef/>
      </w:r>
      <w:r w:rsidRPr="002037A8">
        <w:rPr>
          <w:rFonts w:ascii="Arial" w:hAnsi="Arial" w:cs="Arial"/>
        </w:rPr>
        <w:t xml:space="preserve"> </w:t>
      </w:r>
      <w:hyperlink r:id="rId2" w:history="1">
        <w:r w:rsidRPr="002037A8">
          <w:rPr>
            <w:rStyle w:val="Hyperlink"/>
            <w:rFonts w:ascii="Arial" w:hAnsi="Arial" w:cs="Arial"/>
          </w:rPr>
          <w:t xml:space="preserve">S&amp;P 500 Notches 70 All-Time Highs </w:t>
        </w:r>
        <w:proofErr w:type="gramStart"/>
        <w:r w:rsidRPr="002037A8">
          <w:rPr>
            <w:rStyle w:val="Hyperlink"/>
            <w:rFonts w:ascii="Arial" w:hAnsi="Arial" w:cs="Arial"/>
          </w:rPr>
          <w:t>In</w:t>
        </w:r>
        <w:proofErr w:type="gramEnd"/>
        <w:r w:rsidRPr="002037A8">
          <w:rPr>
            <w:rStyle w:val="Hyperlink"/>
            <w:rFonts w:ascii="Arial" w:hAnsi="Arial" w:cs="Arial"/>
          </w:rPr>
          <w:t xml:space="preserve"> Biden’s First Year (forbes.com)</w:t>
        </w:r>
      </w:hyperlink>
    </w:p>
  </w:endnote>
  <w:endnote w:id="3">
    <w:p w14:paraId="72EB3E80" w14:textId="7A590679" w:rsidR="00B474AC" w:rsidRDefault="00B474AC">
      <w:pPr>
        <w:pStyle w:val="EndnoteText"/>
      </w:pPr>
      <w:r w:rsidRPr="002037A8">
        <w:rPr>
          <w:rStyle w:val="EndnoteReference"/>
          <w:rFonts w:ascii="Arial" w:hAnsi="Arial" w:cs="Arial"/>
        </w:rPr>
        <w:endnoteRef/>
      </w:r>
      <w:r w:rsidRPr="002037A8">
        <w:rPr>
          <w:rFonts w:ascii="Arial" w:hAnsi="Arial" w:cs="Arial"/>
        </w:rPr>
        <w:t xml:space="preserve"> </w:t>
      </w:r>
      <w:hyperlink r:id="rId3" w:history="1">
        <w:r w:rsidRPr="002037A8">
          <w:rPr>
            <w:rStyle w:val="Hyperlink"/>
            <w:rFonts w:ascii="Arial" w:hAnsi="Arial" w:cs="Arial"/>
          </w:rPr>
          <w:t>Fed signals three rate hikes in the cards in 2022 as inflation fight begins | Reuters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16CD5"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Yz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s/McGyqOGM9SvyDOyGWFHh6F8y/CYiMwEbbcP+Moa0ItOkmc7cj++ps9xIMoeDlrsWE5dz/3&#10;wirO6u8aFIZ1jMJ4cp1BsVG5TcdjKJv3Hr1v7gkLnOItGRnFEO/rs1haal7xEBahIlxCS9TNuT+L&#10;977feTwkqRaLGIQFNMI/6pWRIXVANKC77l6FNScKPMh7ovMeiukHJvrYnovF3lNZRZoCxj2iJ+ix&#10;vJG900MLr+O9HqPefgfz3wA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phKGMz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7030D"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iXLAIAAFEEAAAOAAAAZHJzL2Uyb0RvYy54bWysVE1v2zAMvQ/YfxB0X5zvBkGcImuRYUDQ&#10;FkiGnhVZTgzYoiYpsbNfvyc5Totup2EXmSIpiu89yov7pirZWVlXkE75oNfnTGlJWaEPKf+xW3+Z&#10;cea80JkoSauUX5Tj98vPnxa1mashHanMlGUoot28Nik/em/mSeLkUVXC9cgojWBOthIeW3tIMitq&#10;VK/KZNjvT5OabGYsSeUcvI9tkC9j/TxX0j/nuVOelSlHbz6uNq77sCbLhZgfrDDHQl7bEP/QRSUK&#10;jUtvpR6FF+xkiz9KVYW05Cj3PUlVQnleSBUxAM2g/wHN9iiMilhAjjM3mtz/Kyufzi+WFRm0G3Om&#10;RQWNdqrx7Cs1DC7wUxs3R9rWINE38CO38zs4A+wmt1X4AhBDHExfbuyGahLO2Ww8G045kwgNJ8O7&#10;UWQ/eTtsrPPfFFUsGCm3EC9yKs4b59EIUruUcJemdVGWUcBSszrl09GkHw/cIjhRahwMENpWg+Wb&#10;fRMhjzoYe8ouQGepnQ9n5LpADxvh/IuwGAgAwpD7Zyx5SbiLrhZnR7K//uYP+dAJUc5qDFjK3c+T&#10;sIqz8ruGgmEaozGe3A2xsZ13/96rT9UDYXYHeEZGRjPk+rIzc0vVK97AKtyGkNASd6bcd+aDb8cd&#10;b0iq1SomYfaM8Bu9NTKUDmwGZnfNq7DmSr+Hbk/UjaCYf1ChzW11WJ085UWUKPDbsnmlHXMblbu+&#10;sfAw3u9j1tufYPkb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ygToly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7FFC" w14:textId="77777777" w:rsidR="005937AF" w:rsidRDefault="005937AF" w:rsidP="005C1D70">
      <w:pPr>
        <w:spacing w:after="0" w:line="240" w:lineRule="auto"/>
      </w:pPr>
      <w:r>
        <w:separator/>
      </w:r>
    </w:p>
  </w:footnote>
  <w:footnote w:type="continuationSeparator" w:id="0">
    <w:p w14:paraId="3227D7CA" w14:textId="77777777" w:rsidR="005937AF" w:rsidRDefault="005937AF"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C3E58"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183E3F3A" w:rsidR="0037202D" w:rsidRPr="0037202D" w:rsidRDefault="0037202D" w:rsidP="0037202D">
                          <w:pPr>
                            <w:rPr>
                              <w:rFonts w:ascii="Arial" w:hAnsi="Arial" w:cs="Arial"/>
                              <w:sz w:val="18"/>
                            </w:rPr>
                          </w:pPr>
                          <w:r>
                            <w:rPr>
                              <w:rFonts w:ascii="Arial" w:hAnsi="Arial" w:cs="Arial"/>
                            </w:rPr>
                            <w:t>December 2</w:t>
                          </w:r>
                          <w:r w:rsidR="00D31089">
                            <w:rPr>
                              <w:rFonts w:ascii="Arial" w:hAnsi="Arial" w:cs="Arial"/>
                            </w:rPr>
                            <w:t>021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gP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7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4tT4DzECAABWBAAADgAAAAAAAAAAAAAA&#10;AAAuAgAAZHJzL2Uyb0RvYy54bWxQSwECLQAUAAYACAAAACEAVbMec+IAAAAJAQAADwAAAAAAAAAA&#10;AAAAAACLBAAAZHJzL2Rvd25yZXYueG1sUEsFBgAAAAAEAAQA8wAAAJoFAAAAAA==&#10;" filled="f" stroked="f" strokeweight=".5pt">
              <v:textbox inset="0">
                <w:txbxContent>
                  <w:p w14:paraId="69C0C563" w14:textId="183E3F3A" w:rsidR="0037202D" w:rsidRPr="0037202D" w:rsidRDefault="0037202D" w:rsidP="0037202D">
                    <w:pPr>
                      <w:rPr>
                        <w:rFonts w:ascii="Arial" w:hAnsi="Arial" w:cs="Arial"/>
                        <w:sz w:val="18"/>
                      </w:rPr>
                    </w:pPr>
                    <w:r>
                      <w:rPr>
                        <w:rFonts w:ascii="Arial" w:hAnsi="Arial" w:cs="Arial"/>
                      </w:rPr>
                      <w:t>December 2</w:t>
                    </w:r>
                    <w:r w:rsidR="00D31089">
                      <w:rPr>
                        <w:rFonts w:ascii="Arial" w:hAnsi="Arial" w:cs="Arial"/>
                      </w:rPr>
                      <w:t>021</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eyMgIAAFQEAAAOAAAAZHJzL2Uyb0RvYy54bWysVFFv2jAQfp+0/2D5fSQw0kJEqFgrpkmo&#10;rQRVn41jk0iOz7MNCfv1OzuEVt2epr0457vz+b7vO2dx1zWKnIR1NeiCjkcpJUJzKGt9KOjLbv1l&#10;RonzTJdMgRYFPQtH75afPy1ak4sJVKBKYQkW0S5vTUEr702eJI5XomFuBEZoDEqwDfO4tYektKzF&#10;6o1KJml6k7RgS2OBC+fQ+9AH6TLWl1Jw/ySlE56ogmJvPq42rvuwJssFyw+WmarmlzbYP3TRsFrj&#10;pddSD8wzcrT1H6WamltwIP2IQ5OAlDUXEQOiGacf0GwrZkTEguQ4c6XJ/b+y/PH0bEldFnROiWYN&#10;SrQTnSffoCPzwE5rXI5JW4NpvkM3qjz4HToD6E7aJnwRDsE48ny+chuKcXROZ2mWTjNKOMZus2w2&#10;juWTt9PGOv9dQEOCUVCL2kVK2WnjPHaCqUNKuEzDulYq6qc0aQt68zVL44FrBE8ojQcDhr7XYPlu&#10;30XE2YBjD+UZ4Vnox8MZvq6xhw1z/plZnAdEhDPun3CRCvAuuFiUVGB//c0f8lEmjFLS4nwV1P08&#10;MisoUT80ChiGMRrT7HaCGxs38/F0ipv9+4g+NveA4zvGl2R4NEO+V4MpLTSv+AxW4UYMMc3x3oL6&#10;wbz3/cTjM+JitYpJOH6G+Y3eGh5KB0YDu7vulVlzkcCjeI8wTCHLPyjR5/ZarI4eZB1lChz3jF6o&#10;x9GN6l2eWXgb7/cx6+1nsPwNAAD//wMAUEsDBBQABgAIAAAAIQCkV4xJ4gAAAAoBAAAPAAAAZHJz&#10;L2Rvd25yZXYueG1sTI9NS8NAFEX3gv9heIIbaSdTMW3TTIoURDcWrKXQ3TTzzKTOR8hM2+iv97nS&#10;5eMd7j23XA7OsjP2sQ1eghhnwNDXQbe+kbB9fxrNgMWkvFY2eJTwhRGW1fVVqQodLv4Nz5vUMArx&#10;sVASTEpdwXmsDToVx6FDT7+P0DuV6Owbrnt1oXBn+STLcu5U66nBqA5XBuvPzclJeNkf5+lVWPFt&#10;jnq9utvdd7vts5S3N8PjAljCIf3B8KtP6lCR0yGcvI7MShhNhSBUwnRCmwjIZw85sAORc5EBr0r+&#10;f0L1AwAA//8DAFBLAQItABQABgAIAAAAIQC2gziS/gAAAOEBAAATAAAAAAAAAAAAAAAAAAAAAABb&#10;Q29udGVudF9UeXBlc10ueG1sUEsBAi0AFAAGAAgAAAAhADj9If/WAAAAlAEAAAsAAAAAAAAAAAAA&#10;AAAALwEAAF9yZWxzLy5yZWxzUEsBAi0AFAAGAAgAAAAhACdvV7IyAgAAVAQAAA4AAAAAAAAAAAAA&#10;AAAALgIAAGRycy9lMm9Eb2MueG1sUEsBAi0AFAAGAAgAAAAhAKRXjEniAAAACgEAAA8AAAAAAAAA&#10;AAAAAAAAjAQAAGRycy9kb3ducmV2LnhtbFBLBQYAAAAABAAEAPMAAACbBQ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C22F"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A13"/>
    <w:rsid w:val="00016B9E"/>
    <w:rsid w:val="000206C0"/>
    <w:rsid w:val="00023599"/>
    <w:rsid w:val="000240EF"/>
    <w:rsid w:val="000242F4"/>
    <w:rsid w:val="00024439"/>
    <w:rsid w:val="00025503"/>
    <w:rsid w:val="00025D22"/>
    <w:rsid w:val="0003017C"/>
    <w:rsid w:val="00030ECA"/>
    <w:rsid w:val="0003376F"/>
    <w:rsid w:val="0003567F"/>
    <w:rsid w:val="000371DC"/>
    <w:rsid w:val="00041620"/>
    <w:rsid w:val="00042E23"/>
    <w:rsid w:val="000430A6"/>
    <w:rsid w:val="00045057"/>
    <w:rsid w:val="00051F5A"/>
    <w:rsid w:val="000525E5"/>
    <w:rsid w:val="00053EFC"/>
    <w:rsid w:val="00054C1C"/>
    <w:rsid w:val="00066B89"/>
    <w:rsid w:val="0007798A"/>
    <w:rsid w:val="00081251"/>
    <w:rsid w:val="00081973"/>
    <w:rsid w:val="00090399"/>
    <w:rsid w:val="0009147A"/>
    <w:rsid w:val="0009187A"/>
    <w:rsid w:val="00091B63"/>
    <w:rsid w:val="000929C4"/>
    <w:rsid w:val="00092E4D"/>
    <w:rsid w:val="00094A2D"/>
    <w:rsid w:val="000966B3"/>
    <w:rsid w:val="00096F2C"/>
    <w:rsid w:val="000A165A"/>
    <w:rsid w:val="000A2ED9"/>
    <w:rsid w:val="000A5A3C"/>
    <w:rsid w:val="000A7488"/>
    <w:rsid w:val="000A7E8D"/>
    <w:rsid w:val="000B0791"/>
    <w:rsid w:val="000B19DD"/>
    <w:rsid w:val="000B1D36"/>
    <w:rsid w:val="000B2834"/>
    <w:rsid w:val="000B3F75"/>
    <w:rsid w:val="000B4C97"/>
    <w:rsid w:val="000B540D"/>
    <w:rsid w:val="000C049C"/>
    <w:rsid w:val="000C06AC"/>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4BC0"/>
    <w:rsid w:val="0019560C"/>
    <w:rsid w:val="00196F86"/>
    <w:rsid w:val="001A07B6"/>
    <w:rsid w:val="001A42D1"/>
    <w:rsid w:val="001A57E4"/>
    <w:rsid w:val="001A6654"/>
    <w:rsid w:val="001B0603"/>
    <w:rsid w:val="001B1060"/>
    <w:rsid w:val="001B109A"/>
    <w:rsid w:val="001B2683"/>
    <w:rsid w:val="001B3C5E"/>
    <w:rsid w:val="001B49C8"/>
    <w:rsid w:val="001B5EFB"/>
    <w:rsid w:val="001B62EA"/>
    <w:rsid w:val="001B6B17"/>
    <w:rsid w:val="001B6F67"/>
    <w:rsid w:val="001C0C09"/>
    <w:rsid w:val="001C2718"/>
    <w:rsid w:val="001C403B"/>
    <w:rsid w:val="001D0F27"/>
    <w:rsid w:val="001D1C5C"/>
    <w:rsid w:val="001D28D0"/>
    <w:rsid w:val="001D2EDE"/>
    <w:rsid w:val="001D41CD"/>
    <w:rsid w:val="001D5914"/>
    <w:rsid w:val="001D5AEF"/>
    <w:rsid w:val="001D5D2F"/>
    <w:rsid w:val="001D6BC2"/>
    <w:rsid w:val="001D7A8E"/>
    <w:rsid w:val="001D7C01"/>
    <w:rsid w:val="001E1073"/>
    <w:rsid w:val="001E21E7"/>
    <w:rsid w:val="001E3BDA"/>
    <w:rsid w:val="001E3C1A"/>
    <w:rsid w:val="001E4E23"/>
    <w:rsid w:val="001E581D"/>
    <w:rsid w:val="001E5CB7"/>
    <w:rsid w:val="001E71B3"/>
    <w:rsid w:val="001F06B2"/>
    <w:rsid w:val="001F0ADB"/>
    <w:rsid w:val="001F2BF8"/>
    <w:rsid w:val="001F5138"/>
    <w:rsid w:val="001F51C9"/>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20C2"/>
    <w:rsid w:val="002276A3"/>
    <w:rsid w:val="00227DDC"/>
    <w:rsid w:val="00230680"/>
    <w:rsid w:val="00232B8E"/>
    <w:rsid w:val="00235DA5"/>
    <w:rsid w:val="00236820"/>
    <w:rsid w:val="002401F6"/>
    <w:rsid w:val="00240C3F"/>
    <w:rsid w:val="002417A8"/>
    <w:rsid w:val="00241BAE"/>
    <w:rsid w:val="00243C06"/>
    <w:rsid w:val="002453BF"/>
    <w:rsid w:val="00245B44"/>
    <w:rsid w:val="002464B2"/>
    <w:rsid w:val="0024750F"/>
    <w:rsid w:val="00247852"/>
    <w:rsid w:val="002518A8"/>
    <w:rsid w:val="00255E94"/>
    <w:rsid w:val="00255EB5"/>
    <w:rsid w:val="00256320"/>
    <w:rsid w:val="00256F12"/>
    <w:rsid w:val="002578AC"/>
    <w:rsid w:val="00261B59"/>
    <w:rsid w:val="00262F13"/>
    <w:rsid w:val="0026361E"/>
    <w:rsid w:val="00272AF5"/>
    <w:rsid w:val="0027410D"/>
    <w:rsid w:val="0027433B"/>
    <w:rsid w:val="00274534"/>
    <w:rsid w:val="00275EBE"/>
    <w:rsid w:val="00280A79"/>
    <w:rsid w:val="00281338"/>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461C"/>
    <w:rsid w:val="002B05C8"/>
    <w:rsid w:val="002C02AF"/>
    <w:rsid w:val="002D05E4"/>
    <w:rsid w:val="002D22E8"/>
    <w:rsid w:val="002D37C9"/>
    <w:rsid w:val="002D4F15"/>
    <w:rsid w:val="002D792A"/>
    <w:rsid w:val="002D7DC5"/>
    <w:rsid w:val="002E0A7B"/>
    <w:rsid w:val="002E433C"/>
    <w:rsid w:val="002E4898"/>
    <w:rsid w:val="002E508A"/>
    <w:rsid w:val="002E50EA"/>
    <w:rsid w:val="002E6AFD"/>
    <w:rsid w:val="002E6E8A"/>
    <w:rsid w:val="002E7719"/>
    <w:rsid w:val="002F07C5"/>
    <w:rsid w:val="002F16B9"/>
    <w:rsid w:val="002F1EC0"/>
    <w:rsid w:val="002F2B29"/>
    <w:rsid w:val="002F5CB2"/>
    <w:rsid w:val="002F7F11"/>
    <w:rsid w:val="00300023"/>
    <w:rsid w:val="00300BBA"/>
    <w:rsid w:val="003014F1"/>
    <w:rsid w:val="00303294"/>
    <w:rsid w:val="0030348F"/>
    <w:rsid w:val="00304FF2"/>
    <w:rsid w:val="00305296"/>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62FC"/>
    <w:rsid w:val="0037726A"/>
    <w:rsid w:val="00381EB7"/>
    <w:rsid w:val="0038317A"/>
    <w:rsid w:val="003835CC"/>
    <w:rsid w:val="00383F8F"/>
    <w:rsid w:val="00385C7C"/>
    <w:rsid w:val="0039028E"/>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1C77"/>
    <w:rsid w:val="003F4056"/>
    <w:rsid w:val="003F4A96"/>
    <w:rsid w:val="003F588B"/>
    <w:rsid w:val="003F5A3A"/>
    <w:rsid w:val="003F6944"/>
    <w:rsid w:val="003F79DC"/>
    <w:rsid w:val="0040163B"/>
    <w:rsid w:val="00401A1E"/>
    <w:rsid w:val="00401BDF"/>
    <w:rsid w:val="0040298E"/>
    <w:rsid w:val="00402D25"/>
    <w:rsid w:val="00403DE6"/>
    <w:rsid w:val="00407F04"/>
    <w:rsid w:val="00411835"/>
    <w:rsid w:val="00411EF3"/>
    <w:rsid w:val="004136D4"/>
    <w:rsid w:val="0041727F"/>
    <w:rsid w:val="00420FAA"/>
    <w:rsid w:val="0042112C"/>
    <w:rsid w:val="00421EC2"/>
    <w:rsid w:val="00423E43"/>
    <w:rsid w:val="004249BD"/>
    <w:rsid w:val="00425080"/>
    <w:rsid w:val="004258D8"/>
    <w:rsid w:val="00426CDA"/>
    <w:rsid w:val="004336C8"/>
    <w:rsid w:val="00433734"/>
    <w:rsid w:val="00434F44"/>
    <w:rsid w:val="00435663"/>
    <w:rsid w:val="00436641"/>
    <w:rsid w:val="00437DD6"/>
    <w:rsid w:val="00444C8B"/>
    <w:rsid w:val="00445982"/>
    <w:rsid w:val="004462DD"/>
    <w:rsid w:val="00451340"/>
    <w:rsid w:val="00452980"/>
    <w:rsid w:val="00453D4F"/>
    <w:rsid w:val="004561AF"/>
    <w:rsid w:val="00457A7D"/>
    <w:rsid w:val="0046043A"/>
    <w:rsid w:val="00461662"/>
    <w:rsid w:val="004640AC"/>
    <w:rsid w:val="0046418E"/>
    <w:rsid w:val="00464C6A"/>
    <w:rsid w:val="004668E2"/>
    <w:rsid w:val="00467285"/>
    <w:rsid w:val="0047167F"/>
    <w:rsid w:val="00471693"/>
    <w:rsid w:val="00471EAF"/>
    <w:rsid w:val="00474668"/>
    <w:rsid w:val="00476B90"/>
    <w:rsid w:val="00481713"/>
    <w:rsid w:val="00481C51"/>
    <w:rsid w:val="00483CFF"/>
    <w:rsid w:val="00485A5F"/>
    <w:rsid w:val="00486B2A"/>
    <w:rsid w:val="00487F21"/>
    <w:rsid w:val="004916A4"/>
    <w:rsid w:val="004977A7"/>
    <w:rsid w:val="004A030F"/>
    <w:rsid w:val="004A43C7"/>
    <w:rsid w:val="004A6C80"/>
    <w:rsid w:val="004A7165"/>
    <w:rsid w:val="004A735B"/>
    <w:rsid w:val="004A74EF"/>
    <w:rsid w:val="004B03CA"/>
    <w:rsid w:val="004B0A8D"/>
    <w:rsid w:val="004B0ADF"/>
    <w:rsid w:val="004B1C5E"/>
    <w:rsid w:val="004B22C1"/>
    <w:rsid w:val="004B2CC1"/>
    <w:rsid w:val="004B5584"/>
    <w:rsid w:val="004B5EEA"/>
    <w:rsid w:val="004C0E8E"/>
    <w:rsid w:val="004C3DB9"/>
    <w:rsid w:val="004C6215"/>
    <w:rsid w:val="004C6631"/>
    <w:rsid w:val="004C7188"/>
    <w:rsid w:val="004C74F0"/>
    <w:rsid w:val="004D3F7D"/>
    <w:rsid w:val="004D6A89"/>
    <w:rsid w:val="004E0827"/>
    <w:rsid w:val="004E12DB"/>
    <w:rsid w:val="004E2AC7"/>
    <w:rsid w:val="004E4EF8"/>
    <w:rsid w:val="004E5C3D"/>
    <w:rsid w:val="004E5C84"/>
    <w:rsid w:val="004E5FDF"/>
    <w:rsid w:val="004F5735"/>
    <w:rsid w:val="004F6CA8"/>
    <w:rsid w:val="0050017C"/>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3048"/>
    <w:rsid w:val="00523F4E"/>
    <w:rsid w:val="00525FA1"/>
    <w:rsid w:val="00527E67"/>
    <w:rsid w:val="00532333"/>
    <w:rsid w:val="00533654"/>
    <w:rsid w:val="00535CAA"/>
    <w:rsid w:val="00536193"/>
    <w:rsid w:val="00536EEF"/>
    <w:rsid w:val="00537536"/>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FC0"/>
    <w:rsid w:val="00567CF8"/>
    <w:rsid w:val="0057379A"/>
    <w:rsid w:val="00574C57"/>
    <w:rsid w:val="00576DFC"/>
    <w:rsid w:val="00576E85"/>
    <w:rsid w:val="00580A18"/>
    <w:rsid w:val="00582453"/>
    <w:rsid w:val="00584795"/>
    <w:rsid w:val="00585E1F"/>
    <w:rsid w:val="00586647"/>
    <w:rsid w:val="0058747A"/>
    <w:rsid w:val="0059046B"/>
    <w:rsid w:val="005924F3"/>
    <w:rsid w:val="00593371"/>
    <w:rsid w:val="005937AF"/>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2E16"/>
    <w:rsid w:val="00606134"/>
    <w:rsid w:val="006074D8"/>
    <w:rsid w:val="006128A4"/>
    <w:rsid w:val="006144FA"/>
    <w:rsid w:val="0061454E"/>
    <w:rsid w:val="00616FAF"/>
    <w:rsid w:val="00620AF4"/>
    <w:rsid w:val="00622141"/>
    <w:rsid w:val="00622359"/>
    <w:rsid w:val="00623071"/>
    <w:rsid w:val="00630922"/>
    <w:rsid w:val="006338E9"/>
    <w:rsid w:val="006366A0"/>
    <w:rsid w:val="00636D2B"/>
    <w:rsid w:val="00637581"/>
    <w:rsid w:val="006401E3"/>
    <w:rsid w:val="00640B9F"/>
    <w:rsid w:val="00641B11"/>
    <w:rsid w:val="00641B69"/>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B0231"/>
    <w:rsid w:val="006B1745"/>
    <w:rsid w:val="006B3DC2"/>
    <w:rsid w:val="006B78E2"/>
    <w:rsid w:val="006C1445"/>
    <w:rsid w:val="006C208B"/>
    <w:rsid w:val="006C463E"/>
    <w:rsid w:val="006C4C98"/>
    <w:rsid w:val="006C539B"/>
    <w:rsid w:val="006C55D5"/>
    <w:rsid w:val="006C579B"/>
    <w:rsid w:val="006C7478"/>
    <w:rsid w:val="006D13B7"/>
    <w:rsid w:val="006E2D22"/>
    <w:rsid w:val="006E36B5"/>
    <w:rsid w:val="006E6949"/>
    <w:rsid w:val="006E764B"/>
    <w:rsid w:val="006F1067"/>
    <w:rsid w:val="006F2A5E"/>
    <w:rsid w:val="006F3415"/>
    <w:rsid w:val="006F357D"/>
    <w:rsid w:val="006F403D"/>
    <w:rsid w:val="006F40B1"/>
    <w:rsid w:val="006F48FD"/>
    <w:rsid w:val="00700517"/>
    <w:rsid w:val="00700C30"/>
    <w:rsid w:val="00700D75"/>
    <w:rsid w:val="00703EC9"/>
    <w:rsid w:val="00704B97"/>
    <w:rsid w:val="007063C7"/>
    <w:rsid w:val="007073E7"/>
    <w:rsid w:val="00710C98"/>
    <w:rsid w:val="00711668"/>
    <w:rsid w:val="00715270"/>
    <w:rsid w:val="00720171"/>
    <w:rsid w:val="0072079E"/>
    <w:rsid w:val="00722C6E"/>
    <w:rsid w:val="00722C7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7A0C"/>
    <w:rsid w:val="00777E17"/>
    <w:rsid w:val="00780DBF"/>
    <w:rsid w:val="007848F1"/>
    <w:rsid w:val="0078542B"/>
    <w:rsid w:val="00786B29"/>
    <w:rsid w:val="00790095"/>
    <w:rsid w:val="00792FEE"/>
    <w:rsid w:val="00793F36"/>
    <w:rsid w:val="007944DE"/>
    <w:rsid w:val="00795A19"/>
    <w:rsid w:val="0079616F"/>
    <w:rsid w:val="007A1033"/>
    <w:rsid w:val="007A1072"/>
    <w:rsid w:val="007A14BB"/>
    <w:rsid w:val="007A1E85"/>
    <w:rsid w:val="007B054B"/>
    <w:rsid w:val="007B2299"/>
    <w:rsid w:val="007B34D9"/>
    <w:rsid w:val="007B3FC8"/>
    <w:rsid w:val="007B5976"/>
    <w:rsid w:val="007C192B"/>
    <w:rsid w:val="007C1B56"/>
    <w:rsid w:val="007C3457"/>
    <w:rsid w:val="007C3C1D"/>
    <w:rsid w:val="007C4C9B"/>
    <w:rsid w:val="007C4D25"/>
    <w:rsid w:val="007C618C"/>
    <w:rsid w:val="007D1ACF"/>
    <w:rsid w:val="007D1EED"/>
    <w:rsid w:val="007D2107"/>
    <w:rsid w:val="007D272C"/>
    <w:rsid w:val="007D2FA0"/>
    <w:rsid w:val="007E2571"/>
    <w:rsid w:val="007E4510"/>
    <w:rsid w:val="007E4864"/>
    <w:rsid w:val="007E4A30"/>
    <w:rsid w:val="007F38F2"/>
    <w:rsid w:val="007F3D57"/>
    <w:rsid w:val="007F5627"/>
    <w:rsid w:val="0080074E"/>
    <w:rsid w:val="008026F9"/>
    <w:rsid w:val="00805AB8"/>
    <w:rsid w:val="00805CB4"/>
    <w:rsid w:val="008076EA"/>
    <w:rsid w:val="0081079C"/>
    <w:rsid w:val="008116EB"/>
    <w:rsid w:val="00811FA0"/>
    <w:rsid w:val="00813345"/>
    <w:rsid w:val="00813A08"/>
    <w:rsid w:val="00813A36"/>
    <w:rsid w:val="008166CE"/>
    <w:rsid w:val="00816F06"/>
    <w:rsid w:val="008175CE"/>
    <w:rsid w:val="0082064B"/>
    <w:rsid w:val="00821980"/>
    <w:rsid w:val="0082351A"/>
    <w:rsid w:val="008256D1"/>
    <w:rsid w:val="00826B63"/>
    <w:rsid w:val="00827195"/>
    <w:rsid w:val="00827BE6"/>
    <w:rsid w:val="008322D2"/>
    <w:rsid w:val="008340D4"/>
    <w:rsid w:val="008377F6"/>
    <w:rsid w:val="008379ED"/>
    <w:rsid w:val="0084548F"/>
    <w:rsid w:val="00846C36"/>
    <w:rsid w:val="008479AB"/>
    <w:rsid w:val="00847DBE"/>
    <w:rsid w:val="00852B9E"/>
    <w:rsid w:val="0085393F"/>
    <w:rsid w:val="00855D23"/>
    <w:rsid w:val="008562FA"/>
    <w:rsid w:val="00860550"/>
    <w:rsid w:val="00860C58"/>
    <w:rsid w:val="0086190C"/>
    <w:rsid w:val="00863934"/>
    <w:rsid w:val="00863F00"/>
    <w:rsid w:val="00864A80"/>
    <w:rsid w:val="00866BD1"/>
    <w:rsid w:val="00871658"/>
    <w:rsid w:val="00872DE1"/>
    <w:rsid w:val="0087464F"/>
    <w:rsid w:val="00880FEA"/>
    <w:rsid w:val="00883AE2"/>
    <w:rsid w:val="0088428B"/>
    <w:rsid w:val="0089208C"/>
    <w:rsid w:val="00893ADD"/>
    <w:rsid w:val="008971E2"/>
    <w:rsid w:val="008A1C1F"/>
    <w:rsid w:val="008A1F12"/>
    <w:rsid w:val="008A393E"/>
    <w:rsid w:val="008A3DF0"/>
    <w:rsid w:val="008A411B"/>
    <w:rsid w:val="008A68EC"/>
    <w:rsid w:val="008A735B"/>
    <w:rsid w:val="008A7BD3"/>
    <w:rsid w:val="008B04EB"/>
    <w:rsid w:val="008B080F"/>
    <w:rsid w:val="008B7BFF"/>
    <w:rsid w:val="008C0CC1"/>
    <w:rsid w:val="008C2876"/>
    <w:rsid w:val="008C34B1"/>
    <w:rsid w:val="008C3583"/>
    <w:rsid w:val="008C554E"/>
    <w:rsid w:val="008D07E1"/>
    <w:rsid w:val="008D2097"/>
    <w:rsid w:val="008E287E"/>
    <w:rsid w:val="008E47F2"/>
    <w:rsid w:val="008E4A58"/>
    <w:rsid w:val="008E54FB"/>
    <w:rsid w:val="008E6051"/>
    <w:rsid w:val="008E760E"/>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8B1"/>
    <w:rsid w:val="00920818"/>
    <w:rsid w:val="0092187B"/>
    <w:rsid w:val="00923460"/>
    <w:rsid w:val="00926778"/>
    <w:rsid w:val="009317EE"/>
    <w:rsid w:val="00934B0C"/>
    <w:rsid w:val="00935850"/>
    <w:rsid w:val="00943357"/>
    <w:rsid w:val="00946F6C"/>
    <w:rsid w:val="00947DED"/>
    <w:rsid w:val="00953C2E"/>
    <w:rsid w:val="00955508"/>
    <w:rsid w:val="00955B83"/>
    <w:rsid w:val="009643F3"/>
    <w:rsid w:val="00964764"/>
    <w:rsid w:val="00965591"/>
    <w:rsid w:val="0096636E"/>
    <w:rsid w:val="009671F3"/>
    <w:rsid w:val="00970279"/>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3224"/>
    <w:rsid w:val="00993CB7"/>
    <w:rsid w:val="0099420D"/>
    <w:rsid w:val="009946ED"/>
    <w:rsid w:val="009965F3"/>
    <w:rsid w:val="00996753"/>
    <w:rsid w:val="00996FBD"/>
    <w:rsid w:val="009A07C4"/>
    <w:rsid w:val="009A1A67"/>
    <w:rsid w:val="009A2568"/>
    <w:rsid w:val="009A59C0"/>
    <w:rsid w:val="009A6D30"/>
    <w:rsid w:val="009A79D6"/>
    <w:rsid w:val="009B324B"/>
    <w:rsid w:val="009B4084"/>
    <w:rsid w:val="009B5F3E"/>
    <w:rsid w:val="009B6C0E"/>
    <w:rsid w:val="009B73D0"/>
    <w:rsid w:val="009C0C11"/>
    <w:rsid w:val="009C462D"/>
    <w:rsid w:val="009C4C1A"/>
    <w:rsid w:val="009D2044"/>
    <w:rsid w:val="009D2E76"/>
    <w:rsid w:val="009D38FF"/>
    <w:rsid w:val="009D61D9"/>
    <w:rsid w:val="009D67BC"/>
    <w:rsid w:val="009E097A"/>
    <w:rsid w:val="009E0C54"/>
    <w:rsid w:val="009E2463"/>
    <w:rsid w:val="009E2E5E"/>
    <w:rsid w:val="009E4EE0"/>
    <w:rsid w:val="009E7C40"/>
    <w:rsid w:val="009F0864"/>
    <w:rsid w:val="009F1A0E"/>
    <w:rsid w:val="009F343D"/>
    <w:rsid w:val="009F44E7"/>
    <w:rsid w:val="009F4D29"/>
    <w:rsid w:val="009F5C93"/>
    <w:rsid w:val="00A00F0D"/>
    <w:rsid w:val="00A045AC"/>
    <w:rsid w:val="00A058DB"/>
    <w:rsid w:val="00A05B45"/>
    <w:rsid w:val="00A064D0"/>
    <w:rsid w:val="00A12833"/>
    <w:rsid w:val="00A21621"/>
    <w:rsid w:val="00A24052"/>
    <w:rsid w:val="00A2477C"/>
    <w:rsid w:val="00A24BB9"/>
    <w:rsid w:val="00A26FC7"/>
    <w:rsid w:val="00A27AE9"/>
    <w:rsid w:val="00A3141F"/>
    <w:rsid w:val="00A32053"/>
    <w:rsid w:val="00A331BB"/>
    <w:rsid w:val="00A34720"/>
    <w:rsid w:val="00A35FFE"/>
    <w:rsid w:val="00A377B7"/>
    <w:rsid w:val="00A378C7"/>
    <w:rsid w:val="00A431F3"/>
    <w:rsid w:val="00A47CCC"/>
    <w:rsid w:val="00A50F29"/>
    <w:rsid w:val="00A51E69"/>
    <w:rsid w:val="00A53D2B"/>
    <w:rsid w:val="00A55FB0"/>
    <w:rsid w:val="00A60B70"/>
    <w:rsid w:val="00A621CF"/>
    <w:rsid w:val="00A652A6"/>
    <w:rsid w:val="00A65309"/>
    <w:rsid w:val="00A67E9D"/>
    <w:rsid w:val="00A70457"/>
    <w:rsid w:val="00A706A7"/>
    <w:rsid w:val="00A73A74"/>
    <w:rsid w:val="00A74278"/>
    <w:rsid w:val="00A74524"/>
    <w:rsid w:val="00A83853"/>
    <w:rsid w:val="00A9134B"/>
    <w:rsid w:val="00A96B07"/>
    <w:rsid w:val="00A97B53"/>
    <w:rsid w:val="00AA160A"/>
    <w:rsid w:val="00AA7966"/>
    <w:rsid w:val="00AA7EEF"/>
    <w:rsid w:val="00AB115E"/>
    <w:rsid w:val="00AB5EBA"/>
    <w:rsid w:val="00AB6284"/>
    <w:rsid w:val="00AB6BC5"/>
    <w:rsid w:val="00AC047B"/>
    <w:rsid w:val="00AC167C"/>
    <w:rsid w:val="00AC3520"/>
    <w:rsid w:val="00AC6525"/>
    <w:rsid w:val="00AC6A6D"/>
    <w:rsid w:val="00AD0AFA"/>
    <w:rsid w:val="00AD0D4D"/>
    <w:rsid w:val="00AD11F4"/>
    <w:rsid w:val="00AD283B"/>
    <w:rsid w:val="00AD2DFD"/>
    <w:rsid w:val="00AD3302"/>
    <w:rsid w:val="00AD38D4"/>
    <w:rsid w:val="00AD46E3"/>
    <w:rsid w:val="00AE2A45"/>
    <w:rsid w:val="00AE2BF9"/>
    <w:rsid w:val="00AE42E2"/>
    <w:rsid w:val="00AE4DFA"/>
    <w:rsid w:val="00AE565D"/>
    <w:rsid w:val="00AE7526"/>
    <w:rsid w:val="00AE758A"/>
    <w:rsid w:val="00AF005D"/>
    <w:rsid w:val="00AF1EA7"/>
    <w:rsid w:val="00AF2471"/>
    <w:rsid w:val="00AF4683"/>
    <w:rsid w:val="00B00175"/>
    <w:rsid w:val="00B00375"/>
    <w:rsid w:val="00B0334A"/>
    <w:rsid w:val="00B03F7E"/>
    <w:rsid w:val="00B0474F"/>
    <w:rsid w:val="00B04C15"/>
    <w:rsid w:val="00B07982"/>
    <w:rsid w:val="00B14624"/>
    <w:rsid w:val="00B150CC"/>
    <w:rsid w:val="00B15959"/>
    <w:rsid w:val="00B179AD"/>
    <w:rsid w:val="00B17F50"/>
    <w:rsid w:val="00B2176B"/>
    <w:rsid w:val="00B2343D"/>
    <w:rsid w:val="00B27019"/>
    <w:rsid w:val="00B27873"/>
    <w:rsid w:val="00B30004"/>
    <w:rsid w:val="00B33317"/>
    <w:rsid w:val="00B3460C"/>
    <w:rsid w:val="00B357B6"/>
    <w:rsid w:val="00B36319"/>
    <w:rsid w:val="00B369CD"/>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7DAE"/>
    <w:rsid w:val="00BB036B"/>
    <w:rsid w:val="00BB4173"/>
    <w:rsid w:val="00BB50C7"/>
    <w:rsid w:val="00BB6462"/>
    <w:rsid w:val="00BB6C3C"/>
    <w:rsid w:val="00BB6E9A"/>
    <w:rsid w:val="00BB7679"/>
    <w:rsid w:val="00BB7988"/>
    <w:rsid w:val="00BC2A71"/>
    <w:rsid w:val="00BC48E9"/>
    <w:rsid w:val="00BD1F72"/>
    <w:rsid w:val="00BD42AF"/>
    <w:rsid w:val="00BD51DA"/>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30119"/>
    <w:rsid w:val="00C30752"/>
    <w:rsid w:val="00C30D5C"/>
    <w:rsid w:val="00C324AD"/>
    <w:rsid w:val="00C3489D"/>
    <w:rsid w:val="00C359A4"/>
    <w:rsid w:val="00C35BE3"/>
    <w:rsid w:val="00C36F28"/>
    <w:rsid w:val="00C376E4"/>
    <w:rsid w:val="00C424A1"/>
    <w:rsid w:val="00C436F7"/>
    <w:rsid w:val="00C4372C"/>
    <w:rsid w:val="00C45D21"/>
    <w:rsid w:val="00C46115"/>
    <w:rsid w:val="00C4651E"/>
    <w:rsid w:val="00C47141"/>
    <w:rsid w:val="00C50FA0"/>
    <w:rsid w:val="00C56554"/>
    <w:rsid w:val="00C60C46"/>
    <w:rsid w:val="00C6183A"/>
    <w:rsid w:val="00C6246C"/>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248"/>
    <w:rsid w:val="00C919D2"/>
    <w:rsid w:val="00C94AA5"/>
    <w:rsid w:val="00CA0BC4"/>
    <w:rsid w:val="00CA339B"/>
    <w:rsid w:val="00CA39AE"/>
    <w:rsid w:val="00CA3D49"/>
    <w:rsid w:val="00CA40B5"/>
    <w:rsid w:val="00CA45CE"/>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5095"/>
    <w:rsid w:val="00CD7C87"/>
    <w:rsid w:val="00CE0896"/>
    <w:rsid w:val="00CE0DBE"/>
    <w:rsid w:val="00CE0E6B"/>
    <w:rsid w:val="00CE1B12"/>
    <w:rsid w:val="00CE7481"/>
    <w:rsid w:val="00CE7977"/>
    <w:rsid w:val="00CF00BC"/>
    <w:rsid w:val="00CF148B"/>
    <w:rsid w:val="00CF2C8B"/>
    <w:rsid w:val="00CF4445"/>
    <w:rsid w:val="00CF4FAE"/>
    <w:rsid w:val="00CF6612"/>
    <w:rsid w:val="00CF70C7"/>
    <w:rsid w:val="00D00DCB"/>
    <w:rsid w:val="00D03E6A"/>
    <w:rsid w:val="00D05634"/>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6DB9"/>
    <w:rsid w:val="00D31089"/>
    <w:rsid w:val="00D3259B"/>
    <w:rsid w:val="00D342F3"/>
    <w:rsid w:val="00D40E3B"/>
    <w:rsid w:val="00D4201B"/>
    <w:rsid w:val="00D425BA"/>
    <w:rsid w:val="00D42EC7"/>
    <w:rsid w:val="00D43380"/>
    <w:rsid w:val="00D45420"/>
    <w:rsid w:val="00D46273"/>
    <w:rsid w:val="00D51A0B"/>
    <w:rsid w:val="00D528C4"/>
    <w:rsid w:val="00D5454C"/>
    <w:rsid w:val="00D57285"/>
    <w:rsid w:val="00D5745D"/>
    <w:rsid w:val="00D57568"/>
    <w:rsid w:val="00D63140"/>
    <w:rsid w:val="00D6585E"/>
    <w:rsid w:val="00D73A1E"/>
    <w:rsid w:val="00D82643"/>
    <w:rsid w:val="00D826B0"/>
    <w:rsid w:val="00D8342F"/>
    <w:rsid w:val="00D84F5A"/>
    <w:rsid w:val="00D907B8"/>
    <w:rsid w:val="00D91DCE"/>
    <w:rsid w:val="00D9586A"/>
    <w:rsid w:val="00D959FE"/>
    <w:rsid w:val="00DA2789"/>
    <w:rsid w:val="00DA3892"/>
    <w:rsid w:val="00DA473D"/>
    <w:rsid w:val="00DB291A"/>
    <w:rsid w:val="00DC1DF1"/>
    <w:rsid w:val="00DC1EA1"/>
    <w:rsid w:val="00DC38A3"/>
    <w:rsid w:val="00DD0F2B"/>
    <w:rsid w:val="00DD20F1"/>
    <w:rsid w:val="00DD2F4D"/>
    <w:rsid w:val="00DD3259"/>
    <w:rsid w:val="00DD60D2"/>
    <w:rsid w:val="00DE0E46"/>
    <w:rsid w:val="00DE1604"/>
    <w:rsid w:val="00DE2BA7"/>
    <w:rsid w:val="00DE3B37"/>
    <w:rsid w:val="00DE46AE"/>
    <w:rsid w:val="00DF0431"/>
    <w:rsid w:val="00DF4854"/>
    <w:rsid w:val="00DF5E15"/>
    <w:rsid w:val="00DF706F"/>
    <w:rsid w:val="00DF747E"/>
    <w:rsid w:val="00E021B8"/>
    <w:rsid w:val="00E028F2"/>
    <w:rsid w:val="00E03629"/>
    <w:rsid w:val="00E05405"/>
    <w:rsid w:val="00E1146A"/>
    <w:rsid w:val="00E13A75"/>
    <w:rsid w:val="00E16B8F"/>
    <w:rsid w:val="00E2168A"/>
    <w:rsid w:val="00E23D0B"/>
    <w:rsid w:val="00E24014"/>
    <w:rsid w:val="00E274F6"/>
    <w:rsid w:val="00E27DC3"/>
    <w:rsid w:val="00E27F1B"/>
    <w:rsid w:val="00E301B8"/>
    <w:rsid w:val="00E31673"/>
    <w:rsid w:val="00E32147"/>
    <w:rsid w:val="00E325ED"/>
    <w:rsid w:val="00E344AB"/>
    <w:rsid w:val="00E34B6A"/>
    <w:rsid w:val="00E37122"/>
    <w:rsid w:val="00E417F0"/>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50B5"/>
    <w:rsid w:val="00E760E2"/>
    <w:rsid w:val="00E827FD"/>
    <w:rsid w:val="00E82BC7"/>
    <w:rsid w:val="00E83801"/>
    <w:rsid w:val="00E878D6"/>
    <w:rsid w:val="00E93783"/>
    <w:rsid w:val="00E94954"/>
    <w:rsid w:val="00EA046B"/>
    <w:rsid w:val="00EA1249"/>
    <w:rsid w:val="00EA18D1"/>
    <w:rsid w:val="00EA3F2F"/>
    <w:rsid w:val="00EA4649"/>
    <w:rsid w:val="00EA62D2"/>
    <w:rsid w:val="00EA659F"/>
    <w:rsid w:val="00EA6620"/>
    <w:rsid w:val="00EA6B57"/>
    <w:rsid w:val="00EB2F6B"/>
    <w:rsid w:val="00EB3B37"/>
    <w:rsid w:val="00EB5DBC"/>
    <w:rsid w:val="00EB6774"/>
    <w:rsid w:val="00EB777C"/>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303D"/>
    <w:rsid w:val="00EE3084"/>
    <w:rsid w:val="00EE3BE2"/>
    <w:rsid w:val="00EE41FB"/>
    <w:rsid w:val="00EE6747"/>
    <w:rsid w:val="00EE6C77"/>
    <w:rsid w:val="00EE7650"/>
    <w:rsid w:val="00EE7A59"/>
    <w:rsid w:val="00EF085F"/>
    <w:rsid w:val="00EF181D"/>
    <w:rsid w:val="00EF25B2"/>
    <w:rsid w:val="00EF3013"/>
    <w:rsid w:val="00EF35AA"/>
    <w:rsid w:val="00EF3841"/>
    <w:rsid w:val="00F05DD5"/>
    <w:rsid w:val="00F063C9"/>
    <w:rsid w:val="00F11508"/>
    <w:rsid w:val="00F138A6"/>
    <w:rsid w:val="00F176A3"/>
    <w:rsid w:val="00F24999"/>
    <w:rsid w:val="00F254F0"/>
    <w:rsid w:val="00F2716B"/>
    <w:rsid w:val="00F274D6"/>
    <w:rsid w:val="00F30A61"/>
    <w:rsid w:val="00F3264F"/>
    <w:rsid w:val="00F328D7"/>
    <w:rsid w:val="00F3407E"/>
    <w:rsid w:val="00F35770"/>
    <w:rsid w:val="00F37C71"/>
    <w:rsid w:val="00F400EB"/>
    <w:rsid w:val="00F42628"/>
    <w:rsid w:val="00F431FB"/>
    <w:rsid w:val="00F4450B"/>
    <w:rsid w:val="00F445A9"/>
    <w:rsid w:val="00F46C1A"/>
    <w:rsid w:val="00F5500E"/>
    <w:rsid w:val="00F558E5"/>
    <w:rsid w:val="00F579DA"/>
    <w:rsid w:val="00F579E0"/>
    <w:rsid w:val="00F62470"/>
    <w:rsid w:val="00F634B8"/>
    <w:rsid w:val="00F63FDB"/>
    <w:rsid w:val="00F641F8"/>
    <w:rsid w:val="00F65D9E"/>
    <w:rsid w:val="00F67AD8"/>
    <w:rsid w:val="00F70A08"/>
    <w:rsid w:val="00F70A3A"/>
    <w:rsid w:val="00F71A29"/>
    <w:rsid w:val="00F7218D"/>
    <w:rsid w:val="00F7227E"/>
    <w:rsid w:val="00F77310"/>
    <w:rsid w:val="00F7794F"/>
    <w:rsid w:val="00F80C68"/>
    <w:rsid w:val="00F81141"/>
    <w:rsid w:val="00F81A7C"/>
    <w:rsid w:val="00F84263"/>
    <w:rsid w:val="00F87DBE"/>
    <w:rsid w:val="00F9174A"/>
    <w:rsid w:val="00F91A74"/>
    <w:rsid w:val="00F945CB"/>
    <w:rsid w:val="00F94849"/>
    <w:rsid w:val="00F95EB1"/>
    <w:rsid w:val="00F96411"/>
    <w:rsid w:val="00FA1A29"/>
    <w:rsid w:val="00FA3A13"/>
    <w:rsid w:val="00FA40D0"/>
    <w:rsid w:val="00FA6D7B"/>
    <w:rsid w:val="00FA7582"/>
    <w:rsid w:val="00FB1799"/>
    <w:rsid w:val="00FB2425"/>
    <w:rsid w:val="00FB2D16"/>
    <w:rsid w:val="00FB6A1C"/>
    <w:rsid w:val="00FC1CD5"/>
    <w:rsid w:val="00FC208C"/>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3157"/>
    <w:rsid w:val="00FE3174"/>
    <w:rsid w:val="00FE3FBC"/>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s://www.reuters.com/markets/us/fed-prepares-stiffen-inflation-response-post-transitory-world-2021-12-15/" TargetMode="External"/><Relationship Id="rId2" Type="http://schemas.openxmlformats.org/officeDocument/2006/relationships/hyperlink" Target="https://www.forbes.com/sites/chuckjones/2021/12/31/sp-500-notches-70-all-time-highs-in-bidens-first-year/?sh=3271937de9d3" TargetMode="External"/><Relationship Id="rId1" Type="http://schemas.openxmlformats.org/officeDocument/2006/relationships/hyperlink" Target="https://www.reuters.com/markets/europe/global-markets-wrapup-3-2021-12-2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a:t>
            </a:r>
            <a:r>
              <a:rPr lang="en-US" sz="1000" b="1" baseline="0"/>
              <a:t> December</a:t>
            </a:r>
            <a:r>
              <a:rPr lang="en-US" sz="1000" b="1"/>
              <a:t> 31</a:t>
            </a:r>
            <a:r>
              <a:rPr lang="en-US" sz="1000" b="1" baseline="0"/>
              <a:t>, 2021</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326ACD62-F988-400D-828E-20566408A3E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A62-495B-AE0F-87BF74157864}"/>
                </c:ext>
              </c:extLst>
            </c:dLbl>
            <c:dLbl>
              <c:idx val="1"/>
              <c:tx>
                <c:rich>
                  <a:bodyPr/>
                  <a:lstStyle/>
                  <a:p>
                    <a:fld id="{30E6925F-091F-4403-8ED7-76260D0D15F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A62-495B-AE0F-87BF7415786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Sheet1!$B$2:$B$3</c:f>
              <c:numCache>
                <c:formatCode>0.0</c:formatCode>
                <c:ptCount val="2"/>
                <c:pt idx="0">
                  <c:v>4.5</c:v>
                </c:pt>
                <c:pt idx="1">
                  <c:v>28.7</c:v>
                </c:pt>
              </c:numCache>
            </c:numRef>
          </c:val>
          <c:extLst>
            <c:ext xmlns:c16="http://schemas.microsoft.com/office/drawing/2014/chart" uri="{C3380CC4-5D6E-409C-BE32-E72D297353CC}">
              <c16:uniqueId val="{00000000-A4FC-4D9A-A98B-3B5E56AD0ED1}"/>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CB065EF8-87FF-406C-86F9-F7E36CD5C4D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A62-495B-AE0F-87BF74157864}"/>
                </c:ext>
              </c:extLst>
            </c:dLbl>
            <c:dLbl>
              <c:idx val="1"/>
              <c:tx>
                <c:rich>
                  <a:bodyPr/>
                  <a:lstStyle/>
                  <a:p>
                    <a:fld id="{7FD6C474-4626-4B12-B524-262B86ED6B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A62-495B-AE0F-87BF74157864}"/>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Sheet1!$C$2:$C$3</c:f>
              <c:numCache>
                <c:formatCode>0.0</c:formatCode>
                <c:ptCount val="2"/>
                <c:pt idx="0" formatCode="General">
                  <c:v>5.0999999999999996</c:v>
                </c:pt>
                <c:pt idx="1">
                  <c:v>11.8</c:v>
                </c:pt>
              </c:numCache>
            </c:numRef>
          </c:val>
          <c:extLst>
            <c:ext xmlns:c16="http://schemas.microsoft.com/office/drawing/2014/chart" uri="{C3380CC4-5D6E-409C-BE32-E72D297353CC}">
              <c16:uniqueId val="{00000001-A4FC-4D9A-A98B-3B5E56AD0ED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747065B7-0CE9-4566-8A52-1FD0E460F6C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A62-495B-AE0F-87BF74157864}"/>
                </c:ext>
              </c:extLst>
            </c:dLbl>
            <c:dLbl>
              <c:idx val="1"/>
              <c:tx>
                <c:rich>
                  <a:bodyPr/>
                  <a:lstStyle/>
                  <a:p>
                    <a:fld id="{CB3DB36E-2D07-41AA-8335-5856E79768E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A62-495B-AE0F-87BF7415786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Sheet1!$D$2:$D$3</c:f>
              <c:numCache>
                <c:formatCode>0.0</c:formatCode>
                <c:ptCount val="2"/>
                <c:pt idx="0" formatCode="#,##0.0">
                  <c:v>1.9</c:v>
                </c:pt>
                <c:pt idx="1">
                  <c:v>-2.2000000000000002</c:v>
                </c:pt>
              </c:numCache>
            </c:numRef>
          </c:val>
          <c:extLst>
            <c:ext xmlns:c16="http://schemas.microsoft.com/office/drawing/2014/chart" uri="{C3380CC4-5D6E-409C-BE32-E72D297353CC}">
              <c16:uniqueId val="{00000002-A4FC-4D9A-A98B-3B5E56AD0ED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A62-495B-AE0F-87BF74157864}"/>
                </c:ext>
              </c:extLst>
            </c:dLbl>
            <c:dLbl>
              <c:idx val="1"/>
              <c:tx>
                <c:rich>
                  <a:bodyPr/>
                  <a:lstStyle/>
                  <a:p>
                    <a:fld id="{8E9B3BCE-0813-4D08-B31C-671D47140BF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A62-495B-AE0F-87BF7415786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Sheet1!$E$2:$E$3</c:f>
              <c:numCache>
                <c:formatCode>0.0</c:formatCode>
                <c:ptCount val="2"/>
                <c:pt idx="0">
                  <c:v>-0.3</c:v>
                </c:pt>
                <c:pt idx="1">
                  <c:v>-1.5</c:v>
                </c:pt>
              </c:numCache>
            </c:numRef>
          </c:val>
          <c:extLst>
            <c:ext xmlns:c16="http://schemas.microsoft.com/office/drawing/2014/chart" uri="{C3380CC4-5D6E-409C-BE32-E72D297353CC}">
              <c16:uniqueId val="{00000003-A4FC-4D9A-A98B-3B5E56AD0ED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C39CA410-5745-4D6D-B28C-BBD4825D8EE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A62-495B-AE0F-87BF74157864}"/>
                </c:ext>
              </c:extLst>
            </c:dLbl>
            <c:dLbl>
              <c:idx val="1"/>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A62-495B-AE0F-87BF74157864}"/>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Sheet1!$F$2:$F$3</c:f>
              <c:numCache>
                <c:formatCode>0.0</c:formatCode>
                <c:ptCount val="2"/>
                <c:pt idx="0">
                  <c:v>-0.1</c:v>
                </c:pt>
                <c:pt idx="1">
                  <c:v>-7</c:v>
                </c:pt>
              </c:numCache>
            </c:numRef>
          </c:val>
          <c:extLst>
            <c:ext xmlns:c16="http://schemas.microsoft.com/office/drawing/2014/chart" uri="{C3380CC4-5D6E-409C-BE32-E72D297353CC}">
              <c16:uniqueId val="{00000004-A4FC-4D9A-A98B-3B5E56AD0ED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326DDB0C-3561-4686-BFB7-54551270B53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A62-495B-AE0F-87BF74157864}"/>
                </c:ext>
              </c:extLst>
            </c:dLbl>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A62-495B-AE0F-87BF7415786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Sheet1!$G$2:$G$3</c:f>
              <c:numCache>
                <c:formatCode>0.0</c:formatCode>
                <c:ptCount val="2"/>
                <c:pt idx="0">
                  <c:v>1</c:v>
                </c:pt>
                <c:pt idx="1">
                  <c:v>-1.7</c:v>
                </c:pt>
              </c:numCache>
            </c:numRef>
          </c:val>
          <c:extLst>
            <c:ext xmlns:c16="http://schemas.microsoft.com/office/drawing/2014/chart" uri="{C3380CC4-5D6E-409C-BE32-E72D297353CC}">
              <c16:uniqueId val="{00000005-A4FC-4D9A-A98B-3B5E56AD0ED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December 30, 2021</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950C6988-A65C-45FD-B127-236F40947FC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D78-4B6F-8023-F55CE7D4B92F}"/>
                </c:ext>
              </c:extLst>
            </c:dLbl>
            <c:dLbl>
              <c:idx val="1"/>
              <c:tx>
                <c:rich>
                  <a:bodyPr/>
                  <a:lstStyle/>
                  <a:p>
                    <a:fld id="{C2694190-BD30-4E58-B484-6FE34B096AE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D78-4B6F-8023-F55CE7D4B92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Sheet1!$B$2:$B$3</c:f>
              <c:numCache>
                <c:formatCode>0.0</c:formatCode>
                <c:ptCount val="2"/>
                <c:pt idx="0">
                  <c:v>2.36</c:v>
                </c:pt>
                <c:pt idx="1">
                  <c:v>9.52</c:v>
                </c:pt>
              </c:numCache>
            </c:numRef>
          </c:val>
          <c:extLst>
            <c:ext xmlns:c16="http://schemas.microsoft.com/office/drawing/2014/chart" uri="{C3380CC4-5D6E-409C-BE32-E72D297353CC}">
              <c16:uniqueId val="{00000000-35CE-4C5E-B230-8024BB63E802}"/>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9AF2CAD1-31AD-4086-A66F-4D151E4603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D78-4B6F-8023-F55CE7D4B92F}"/>
                </c:ext>
              </c:extLst>
            </c:dLbl>
            <c:dLbl>
              <c:idx val="1"/>
              <c:tx>
                <c:rich>
                  <a:bodyPr/>
                  <a:lstStyle/>
                  <a:p>
                    <a:fld id="{0E09AEA7-B668-495A-A7F1-DBB626534FE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D78-4B6F-8023-F55CE7D4B92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Sheet1!$C$2:$C$3</c:f>
              <c:numCache>
                <c:formatCode>0.0</c:formatCode>
                <c:ptCount val="2"/>
                <c:pt idx="0">
                  <c:v>4</c:v>
                </c:pt>
                <c:pt idx="1">
                  <c:v>19</c:v>
                </c:pt>
              </c:numCache>
            </c:numRef>
          </c:val>
          <c:extLst>
            <c:ext xmlns:c16="http://schemas.microsoft.com/office/drawing/2014/chart" uri="{C3380CC4-5D6E-409C-BE32-E72D297353CC}">
              <c16:uniqueId val="{00000001-35CE-4C5E-B230-8024BB63E802}"/>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E9868C1D-A0B4-46AB-98BA-2642F7F731A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D78-4B6F-8023-F55CE7D4B92F}"/>
                </c:ext>
              </c:extLst>
            </c:dLbl>
            <c:dLbl>
              <c:idx val="1"/>
              <c:tx>
                <c:rich>
                  <a:bodyPr/>
                  <a:lstStyle/>
                  <a:p>
                    <a:fld id="{382BB44C-51A0-4AB1-BB2A-BC84116D607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D78-4B6F-8023-F55CE7D4B92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Sheet1!$D$2:$D$3</c:f>
              <c:numCache>
                <c:formatCode>0.0</c:formatCode>
                <c:ptCount val="2"/>
                <c:pt idx="0">
                  <c:v>-0.1</c:v>
                </c:pt>
                <c:pt idx="1">
                  <c:v>-4.7</c:v>
                </c:pt>
              </c:numCache>
            </c:numRef>
          </c:val>
          <c:extLst>
            <c:ext xmlns:c16="http://schemas.microsoft.com/office/drawing/2014/chart" uri="{C3380CC4-5D6E-409C-BE32-E72D297353CC}">
              <c16:uniqueId val="{00000002-35CE-4C5E-B230-8024BB63E802}"/>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7B37F0C1-84A5-43AB-A8C9-122D3A59F55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D78-4B6F-8023-F55CE7D4B92F}"/>
                </c:ext>
              </c:extLst>
            </c:dLbl>
            <c:dLbl>
              <c:idx val="1"/>
              <c:tx>
                <c:rich>
                  <a:bodyPr/>
                  <a:lstStyle/>
                  <a:p>
                    <a:fld id="{F8D9F80A-2570-4EAE-A3B2-FE4F976D952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D78-4B6F-8023-F55CE7D4B92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Sheet1!$E$2:$E$3</c:f>
              <c:numCache>
                <c:formatCode>0.0</c:formatCode>
                <c:ptCount val="2"/>
                <c:pt idx="0">
                  <c:v>9.6</c:v>
                </c:pt>
                <c:pt idx="1">
                  <c:v>41.3</c:v>
                </c:pt>
              </c:numCache>
            </c:numRef>
          </c:val>
          <c:extLst>
            <c:ext xmlns:c16="http://schemas.microsoft.com/office/drawing/2014/chart" uri="{C3380CC4-5D6E-409C-BE32-E72D297353CC}">
              <c16:uniqueId val="{00000003-35CE-4C5E-B230-8024BB63E802}"/>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53B30AD-48E2-4FBF-B0D1-9A981E5F4F0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D78-4B6F-8023-F55CE7D4B92F}"/>
                </c:ext>
              </c:extLst>
            </c:dLbl>
            <c:dLbl>
              <c:idx val="1"/>
              <c:tx>
                <c:rich>
                  <a:bodyPr/>
                  <a:lstStyle/>
                  <a:p>
                    <a:fld id="{522B92C9-5033-421D-8833-27AFA70FEE5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D78-4B6F-8023-F55CE7D4B92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Sheet1!$F$2:$F$3</c:f>
              <c:numCache>
                <c:formatCode>0.0</c:formatCode>
                <c:ptCount val="2"/>
                <c:pt idx="0">
                  <c:v>3.5</c:v>
                </c:pt>
                <c:pt idx="1">
                  <c:v>27.1</c:v>
                </c:pt>
              </c:numCache>
            </c:numRef>
          </c:val>
          <c:extLst>
            <c:ext xmlns:c16="http://schemas.microsoft.com/office/drawing/2014/chart" uri="{C3380CC4-5D6E-409C-BE32-E72D297353CC}">
              <c16:uniqueId val="{00000004-35CE-4C5E-B230-8024BB63E802}"/>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A87F7188-3A94-4D01-8D8A-35A0B089449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D78-4B6F-8023-F55CE7D4B92F}"/>
                </c:ext>
              </c:extLst>
            </c:dLbl>
            <c:dLbl>
              <c:idx val="1"/>
              <c:tx>
                <c:rich>
                  <a:bodyPr/>
                  <a:lstStyle/>
                  <a:p>
                    <a:fld id="{72F0FD1F-E0F4-4070-9EEE-80D8D926E49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D78-4B6F-8023-F55CE7D4B92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Dec-21</c:v>
                </c:pt>
                <c:pt idx="1">
                  <c:v>Year to Date</c:v>
                </c:pt>
              </c:strCache>
            </c:strRef>
          </c:cat>
          <c:val>
            <c:numRef>
              <c:f>Sheet1!$G$2:$G$3</c:f>
              <c:numCache>
                <c:formatCode>0.0</c:formatCode>
                <c:ptCount val="2"/>
                <c:pt idx="0">
                  <c:v>2.9</c:v>
                </c:pt>
                <c:pt idx="1">
                  <c:v>-4.3</c:v>
                </c:pt>
              </c:numCache>
            </c:numRef>
          </c:val>
          <c:extLst>
            <c:ext xmlns:c16="http://schemas.microsoft.com/office/drawing/2014/chart" uri="{C3380CC4-5D6E-409C-BE32-E72D297353CC}">
              <c16:uniqueId val="{00000005-35CE-4C5E-B230-8024BB63E802}"/>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69F3-7D87-47AC-88FF-556445AB8684}">
  <ds:schemaRefs>
    <ds:schemaRef ds:uri="http://schemas.openxmlformats.org/officeDocument/2006/bibliography"/>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24</cp:revision>
  <cp:lastPrinted>2019-11-05T19:19:00Z</cp:lastPrinted>
  <dcterms:created xsi:type="dcterms:W3CDTF">2022-01-07T23:06:00Z</dcterms:created>
  <dcterms:modified xsi:type="dcterms:W3CDTF">2022-01-12T00:22:00Z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