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67456"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1E8FFF20" w:rsidR="004B1C5E" w:rsidRDefault="004B1C5E" w:rsidP="00996FBD">
      <w:pPr>
        <w:spacing w:after="0"/>
        <w:ind w:left="-720" w:right="-720"/>
        <w:rPr>
          <w:rFonts w:ascii="Arial" w:hAnsi="Arial" w:cs="Arial"/>
          <w:b/>
          <w:color w:val="0070C0"/>
          <w:sz w:val="20"/>
          <w:szCs w:val="20"/>
        </w:rPr>
      </w:pPr>
    </w:p>
    <w:p w14:paraId="30C9EEB8" w14:textId="19ADEC90" w:rsidR="00996FBD" w:rsidRPr="00FB2425" w:rsidRDefault="002815AB" w:rsidP="006A6909">
      <w:pPr>
        <w:spacing w:after="0"/>
        <w:ind w:left="1440" w:right="-360"/>
        <w:rPr>
          <w:rFonts w:ascii="Arial" w:hAnsi="Arial" w:cs="Arial"/>
          <w:b/>
          <w:color w:val="037EBB"/>
          <w:szCs w:val="20"/>
        </w:rPr>
      </w:pPr>
      <w:r>
        <w:rPr>
          <w:noProof/>
        </w:rPr>
        <w:drawing>
          <wp:anchor distT="0" distB="0" distL="114300" distR="114300" simplePos="0" relativeHeight="251668480" behindDoc="0" locked="0" layoutInCell="1" allowOverlap="1" wp14:anchorId="7A6B6605" wp14:editId="578D0F9B">
            <wp:simplePos x="0" y="0"/>
            <wp:positionH relativeFrom="column">
              <wp:posOffset>933450</wp:posOffset>
            </wp:positionH>
            <wp:positionV relativeFrom="paragraph">
              <wp:posOffset>278130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A7E8D" w:rsidRPr="007D272C">
        <w:rPr>
          <w:rFonts w:ascii="Arial" w:hAnsi="Arial" w:cs="Arial"/>
          <w:b/>
          <w:noProof/>
          <w:color w:val="3B3838" w:themeColor="background2" w:themeShade="40"/>
          <w:sz w:val="21"/>
          <w:szCs w:val="20"/>
        </w:rPr>
        <w:drawing>
          <wp:anchor distT="0" distB="0" distL="114300" distR="114300" simplePos="0" relativeHeight="251665408" behindDoc="0" locked="0" layoutInCell="1" allowOverlap="1" wp14:anchorId="7008C652" wp14:editId="61EAD829">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00550B80" w:rsidRPr="007D272C">
        <w:rPr>
          <w:rFonts w:ascii="Arial" w:hAnsi="Arial" w:cs="Arial"/>
          <w:b/>
          <w:color w:val="037EBB"/>
          <w:sz w:val="24"/>
          <w:szCs w:val="20"/>
        </w:rPr>
        <w:t>Market Review</w:t>
      </w:r>
    </w:p>
    <w:p w14:paraId="25C02548" w14:textId="253834C5" w:rsidR="007D272C" w:rsidRDefault="008971E2" w:rsidP="00B00375">
      <w:pPr>
        <w:spacing w:after="0"/>
        <w:ind w:left="1440" w:right="-360"/>
        <w:rPr>
          <w:rFonts w:ascii="Arial" w:hAnsi="Arial" w:cs="Arial"/>
          <w:color w:val="767171" w:themeColor="background2" w:themeShade="80"/>
          <w:sz w:val="18"/>
          <w:szCs w:val="18"/>
        </w:rPr>
      </w:pPr>
      <w:r w:rsidRPr="003127F9">
        <w:rPr>
          <w:rFonts w:ascii="Arial" w:hAnsi="Arial" w:cs="Arial"/>
          <w:color w:val="767171" w:themeColor="background2" w:themeShade="80"/>
          <w:sz w:val="18"/>
          <w:szCs w:val="18"/>
        </w:rPr>
        <w:t xml:space="preserve">Source:  </w:t>
      </w:r>
      <w:r w:rsidR="00C6246C" w:rsidRPr="003127F9">
        <w:rPr>
          <w:rFonts w:ascii="Arial" w:hAnsi="Arial" w:cs="Arial"/>
          <w:color w:val="767171" w:themeColor="background2" w:themeShade="80"/>
          <w:sz w:val="18"/>
          <w:szCs w:val="18"/>
        </w:rPr>
        <w:t>Zephyr Style Advisor</w:t>
      </w:r>
    </w:p>
    <w:p w14:paraId="40DAA4AC" w14:textId="77777777" w:rsidR="00005D32" w:rsidRPr="00005D32" w:rsidRDefault="00005D32" w:rsidP="00005D32">
      <w:pPr>
        <w:spacing w:after="0"/>
        <w:ind w:left="1440" w:right="-360"/>
        <w:rPr>
          <w:rFonts w:ascii="Arial" w:hAnsi="Arial" w:cs="Arial"/>
          <w:bCs/>
          <w:color w:val="767171" w:themeColor="background2" w:themeShade="80"/>
          <w:sz w:val="16"/>
          <w:szCs w:val="16"/>
        </w:rPr>
      </w:pPr>
      <w:bookmarkStart w:id="0" w:name="_Hlk65576190"/>
      <w:r w:rsidRPr="00005D32">
        <w:rPr>
          <w:rFonts w:ascii="Arial" w:hAnsi="Arial" w:cs="Arial"/>
          <w:bCs/>
          <w:color w:val="767171" w:themeColor="background2" w:themeShade="80"/>
          <w:sz w:val="16"/>
          <w:szCs w:val="16"/>
        </w:rPr>
        <w:t>Indexes are unmanaged, do not incur management fees, costs and expenses and cannot be invested in directly.  Index performance assumes the reinvestment of dividends.</w:t>
      </w:r>
    </w:p>
    <w:bookmarkEnd w:id="0"/>
    <w:p w14:paraId="0D887F10" w14:textId="1CFD1FC6" w:rsidR="007D272C" w:rsidRPr="00525FA1" w:rsidRDefault="007D272C" w:rsidP="00005D32">
      <w:pPr>
        <w:spacing w:after="0"/>
        <w:ind w:right="-360"/>
        <w:rPr>
          <w:rFonts w:ascii="Arial" w:hAnsi="Arial" w:cs="Arial"/>
          <w:b/>
          <w:color w:val="3B3838" w:themeColor="background2" w:themeShade="40"/>
          <w:sz w:val="20"/>
          <w:szCs w:val="20"/>
        </w:rPr>
      </w:pPr>
    </w:p>
    <w:p w14:paraId="0DBC7CD2" w14:textId="0BC13D05" w:rsidR="008971E2" w:rsidRDefault="009F343D" w:rsidP="004E5C3D">
      <w:pPr>
        <w:autoSpaceDE w:val="0"/>
        <w:autoSpaceDN w:val="0"/>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The major stock indexes posted positive returns in February, despite heightened volatility over concerns of rising interest rates and inflation expectations at the end of the month</w:t>
      </w:r>
      <w:r w:rsidR="00135AE9">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w:t>
      </w:r>
      <w:r w:rsidR="00700C30">
        <w:rPr>
          <w:rFonts w:ascii="Arial" w:hAnsi="Arial" w:cs="Arial"/>
          <w:color w:val="3B3838" w:themeColor="background2" w:themeShade="40"/>
          <w:sz w:val="20"/>
          <w:szCs w:val="20"/>
        </w:rPr>
        <w:t>While r</w:t>
      </w:r>
      <w:r w:rsidR="00FE3174">
        <w:rPr>
          <w:rFonts w:ascii="Arial" w:hAnsi="Arial" w:cs="Arial"/>
          <w:color w:val="3B3838" w:themeColor="background2" w:themeShade="40"/>
          <w:sz w:val="20"/>
          <w:szCs w:val="20"/>
        </w:rPr>
        <w:t>ising rates are a potential concern as they increase borrowing costs and dampen corporate earnings</w:t>
      </w:r>
      <w:r w:rsidR="00700C30">
        <w:rPr>
          <w:rFonts w:ascii="Arial" w:hAnsi="Arial" w:cs="Arial"/>
          <w:color w:val="3B3838" w:themeColor="background2" w:themeShade="40"/>
          <w:sz w:val="20"/>
          <w:szCs w:val="20"/>
        </w:rPr>
        <w:t xml:space="preserve">, it should be also be seen as the light at the end of the tunnel as rates have been rising due to </w:t>
      </w:r>
      <w:r w:rsidR="00BC2A71">
        <w:rPr>
          <w:rFonts w:ascii="Arial" w:hAnsi="Arial" w:cs="Arial"/>
          <w:color w:val="3B3838" w:themeColor="background2" w:themeShade="40"/>
          <w:sz w:val="20"/>
          <w:szCs w:val="20"/>
        </w:rPr>
        <w:t>on</w:t>
      </w:r>
      <w:r w:rsidR="00700C30">
        <w:rPr>
          <w:rFonts w:ascii="Arial" w:hAnsi="Arial" w:cs="Arial"/>
          <w:color w:val="3B3838" w:themeColor="background2" w:themeShade="40"/>
          <w:sz w:val="20"/>
          <w:szCs w:val="20"/>
        </w:rPr>
        <w:t>going vaccinations, declining co</w:t>
      </w:r>
      <w:r w:rsidR="00BC2A71">
        <w:rPr>
          <w:rFonts w:ascii="Arial" w:hAnsi="Arial" w:cs="Arial"/>
          <w:color w:val="3B3838" w:themeColor="background2" w:themeShade="40"/>
          <w:sz w:val="20"/>
          <w:szCs w:val="20"/>
        </w:rPr>
        <w:t>ronavirus</w:t>
      </w:r>
      <w:r w:rsidR="00700C30">
        <w:rPr>
          <w:rFonts w:ascii="Arial" w:hAnsi="Arial" w:cs="Arial"/>
          <w:color w:val="3B3838" w:themeColor="background2" w:themeShade="40"/>
          <w:sz w:val="20"/>
          <w:szCs w:val="20"/>
        </w:rPr>
        <w:t xml:space="preserve"> cases and </w:t>
      </w:r>
      <w:r w:rsidR="00BC2A71">
        <w:rPr>
          <w:rFonts w:ascii="Arial" w:hAnsi="Arial" w:cs="Arial"/>
          <w:color w:val="3B3838" w:themeColor="background2" w:themeShade="40"/>
          <w:sz w:val="20"/>
          <w:szCs w:val="20"/>
        </w:rPr>
        <w:t>likely additional stimulus</w:t>
      </w:r>
      <w:r w:rsidR="00FE3174">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US stocks gained 2.8%</w:t>
      </w:r>
      <w:r w:rsidR="00FE3174">
        <w:rPr>
          <w:rFonts w:ascii="Arial" w:hAnsi="Arial" w:cs="Arial"/>
          <w:color w:val="3B3838" w:themeColor="background2" w:themeShade="40"/>
          <w:sz w:val="20"/>
          <w:szCs w:val="20"/>
        </w:rPr>
        <w:t xml:space="preserve"> for the month</w:t>
      </w:r>
      <w:r>
        <w:rPr>
          <w:rFonts w:ascii="Arial" w:hAnsi="Arial" w:cs="Arial"/>
          <w:color w:val="3B3838" w:themeColor="background2" w:themeShade="40"/>
          <w:sz w:val="20"/>
          <w:szCs w:val="20"/>
        </w:rPr>
        <w:t>.</w:t>
      </w:r>
      <w:r w:rsidR="00135AE9">
        <w:rPr>
          <w:rFonts w:ascii="Arial" w:hAnsi="Arial" w:cs="Arial"/>
          <w:color w:val="3B3838" w:themeColor="background2" w:themeShade="40"/>
          <w:sz w:val="20"/>
          <w:szCs w:val="20"/>
        </w:rPr>
        <w:t xml:space="preserve">  </w:t>
      </w:r>
      <w:r w:rsidR="00CF70C7">
        <w:rPr>
          <w:rFonts w:ascii="Arial" w:hAnsi="Arial" w:cs="Arial"/>
          <w:color w:val="3B3838" w:themeColor="background2" w:themeShade="40"/>
          <w:sz w:val="20"/>
          <w:szCs w:val="20"/>
        </w:rPr>
        <w:t>Small-cap stocks</w:t>
      </w:r>
      <w:r w:rsidR="00135AE9">
        <w:rPr>
          <w:rFonts w:ascii="Arial" w:hAnsi="Arial" w:cs="Arial"/>
          <w:color w:val="3B3838" w:themeColor="background2" w:themeShade="40"/>
          <w:sz w:val="20"/>
          <w:szCs w:val="20"/>
        </w:rPr>
        <w:t>,</w:t>
      </w:r>
      <w:r w:rsidR="00CF70C7">
        <w:rPr>
          <w:rFonts w:ascii="Arial" w:hAnsi="Arial" w:cs="Arial"/>
          <w:color w:val="3B3838" w:themeColor="background2" w:themeShade="40"/>
          <w:sz w:val="20"/>
          <w:szCs w:val="20"/>
        </w:rPr>
        <w:t xml:space="preserve"> which have led the market for the past several months, maintained their strength, with the Russell 2000 index</w:t>
      </w:r>
      <w:r w:rsidR="00781DE1">
        <w:rPr>
          <w:rFonts w:ascii="Arial" w:hAnsi="Arial" w:cs="Arial"/>
          <w:color w:val="3B3838" w:themeColor="background2" w:themeShade="40"/>
          <w:sz w:val="20"/>
          <w:szCs w:val="20"/>
        </w:rPr>
        <w:t xml:space="preserve"> </w:t>
      </w:r>
      <w:r w:rsidR="00CF70C7">
        <w:rPr>
          <w:rFonts w:ascii="Arial" w:hAnsi="Arial" w:cs="Arial"/>
          <w:color w:val="3B3838" w:themeColor="background2" w:themeShade="40"/>
          <w:sz w:val="20"/>
          <w:szCs w:val="20"/>
        </w:rPr>
        <w:t xml:space="preserve">gaining </w:t>
      </w:r>
      <w:r w:rsidR="00FE3174">
        <w:rPr>
          <w:rFonts w:ascii="Arial" w:hAnsi="Arial" w:cs="Arial"/>
          <w:color w:val="3B3838" w:themeColor="background2" w:themeShade="40"/>
          <w:sz w:val="20"/>
          <w:szCs w:val="20"/>
        </w:rPr>
        <w:t>6.2</w:t>
      </w:r>
      <w:r w:rsidR="00CF70C7">
        <w:rPr>
          <w:rFonts w:ascii="Arial" w:hAnsi="Arial" w:cs="Arial"/>
          <w:color w:val="3B3838" w:themeColor="background2" w:themeShade="40"/>
          <w:sz w:val="20"/>
          <w:szCs w:val="20"/>
        </w:rPr>
        <w:t xml:space="preserve">%.  </w:t>
      </w:r>
      <w:r w:rsidR="00FE3174">
        <w:rPr>
          <w:rFonts w:ascii="Arial" w:hAnsi="Arial" w:cs="Arial"/>
          <w:color w:val="3B3838" w:themeColor="background2" w:themeShade="40"/>
          <w:sz w:val="20"/>
          <w:szCs w:val="20"/>
        </w:rPr>
        <w:t>International stocks lagged US stocks with developed markets finishing ahead of emerging markets.</w:t>
      </w:r>
      <w:r w:rsidR="004B03CA">
        <w:rPr>
          <w:rFonts w:ascii="Arial" w:hAnsi="Arial" w:cs="Arial"/>
          <w:color w:val="3B3838" w:themeColor="background2" w:themeShade="40"/>
          <w:sz w:val="20"/>
          <w:szCs w:val="20"/>
        </w:rPr>
        <w:t xml:space="preserve"> </w:t>
      </w:r>
    </w:p>
    <w:p w14:paraId="3A31032F" w14:textId="2333EF58" w:rsidR="004E5C3D" w:rsidRDefault="004E5C3D" w:rsidP="004E5C3D">
      <w:pPr>
        <w:autoSpaceDE w:val="0"/>
        <w:autoSpaceDN w:val="0"/>
        <w:spacing w:after="0"/>
        <w:ind w:left="1440" w:right="-360"/>
        <w:rPr>
          <w:rFonts w:ascii="Arial" w:hAnsi="Arial" w:cs="Arial"/>
          <w:color w:val="3B3838" w:themeColor="background2" w:themeShade="40"/>
          <w:sz w:val="20"/>
          <w:szCs w:val="20"/>
        </w:rPr>
      </w:pPr>
    </w:p>
    <w:p w14:paraId="1A71BCF7" w14:textId="1FFA332F" w:rsidR="00ED1E59" w:rsidRDefault="00AA7966" w:rsidP="004E5C3D">
      <w:pPr>
        <w:autoSpaceDE w:val="0"/>
        <w:autoSpaceDN w:val="0"/>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Sector performance was mixed with </w:t>
      </w:r>
      <w:r w:rsidR="00FE3174">
        <w:rPr>
          <w:rFonts w:ascii="Arial" w:hAnsi="Arial" w:cs="Arial"/>
          <w:color w:val="3B3838" w:themeColor="background2" w:themeShade="40"/>
          <w:sz w:val="20"/>
          <w:szCs w:val="20"/>
        </w:rPr>
        <w:t>seven</w:t>
      </w:r>
      <w:r w:rsidR="004C74F0">
        <w:rPr>
          <w:rFonts w:ascii="Arial" w:hAnsi="Arial" w:cs="Arial"/>
          <w:color w:val="3B3838" w:themeColor="background2" w:themeShade="40"/>
          <w:sz w:val="20"/>
          <w:szCs w:val="20"/>
        </w:rPr>
        <w:t xml:space="preserve"> out of eleven sectors with positive returns.  E</w:t>
      </w:r>
      <w:r>
        <w:rPr>
          <w:rFonts w:ascii="Arial" w:hAnsi="Arial" w:cs="Arial"/>
          <w:color w:val="3B3838" w:themeColor="background2" w:themeShade="40"/>
          <w:sz w:val="20"/>
          <w:szCs w:val="20"/>
        </w:rPr>
        <w:t>nergy</w:t>
      </w:r>
      <w:r w:rsidR="004C74F0">
        <w:rPr>
          <w:rFonts w:ascii="Arial" w:hAnsi="Arial" w:cs="Arial"/>
          <w:color w:val="3B3838" w:themeColor="background2" w:themeShade="40"/>
          <w:sz w:val="20"/>
          <w:szCs w:val="20"/>
        </w:rPr>
        <w:t xml:space="preserve"> was the best performing sector</w:t>
      </w:r>
      <w:r w:rsidR="005D1638">
        <w:rPr>
          <w:rFonts w:ascii="Arial" w:hAnsi="Arial" w:cs="Arial"/>
          <w:color w:val="3B3838" w:themeColor="background2" w:themeShade="40"/>
          <w:sz w:val="20"/>
          <w:szCs w:val="20"/>
        </w:rPr>
        <w:t xml:space="preserve"> led by higher oil prices</w:t>
      </w:r>
      <w:r w:rsidR="00135AE9">
        <w:rPr>
          <w:rFonts w:ascii="Arial" w:hAnsi="Arial" w:cs="Arial"/>
          <w:color w:val="3B3838" w:themeColor="background2" w:themeShade="40"/>
          <w:sz w:val="20"/>
          <w:szCs w:val="20"/>
        </w:rPr>
        <w:t>,</w:t>
      </w:r>
      <w:r w:rsidR="004C74F0">
        <w:rPr>
          <w:rFonts w:ascii="Arial" w:hAnsi="Arial" w:cs="Arial"/>
          <w:color w:val="3B3838" w:themeColor="background2" w:themeShade="40"/>
          <w:sz w:val="20"/>
          <w:szCs w:val="20"/>
        </w:rPr>
        <w:t xml:space="preserve"> while </w:t>
      </w:r>
      <w:r w:rsidR="005D1638">
        <w:rPr>
          <w:rFonts w:ascii="Arial" w:hAnsi="Arial" w:cs="Arial"/>
          <w:color w:val="3B3838" w:themeColor="background2" w:themeShade="40"/>
          <w:sz w:val="20"/>
          <w:szCs w:val="20"/>
        </w:rPr>
        <w:t>u</w:t>
      </w:r>
      <w:r w:rsidR="00FE3174">
        <w:rPr>
          <w:rFonts w:ascii="Arial" w:hAnsi="Arial" w:cs="Arial"/>
          <w:color w:val="3B3838" w:themeColor="background2" w:themeShade="40"/>
          <w:sz w:val="20"/>
          <w:szCs w:val="20"/>
        </w:rPr>
        <w:t xml:space="preserve">tilities </w:t>
      </w:r>
      <w:r w:rsidR="004C74F0">
        <w:rPr>
          <w:rFonts w:ascii="Arial" w:hAnsi="Arial" w:cs="Arial"/>
          <w:color w:val="3B3838" w:themeColor="background2" w:themeShade="40"/>
          <w:sz w:val="20"/>
          <w:szCs w:val="20"/>
        </w:rPr>
        <w:t>was the worst.</w:t>
      </w:r>
      <w:r w:rsidR="005D1638">
        <w:rPr>
          <w:rFonts w:ascii="Arial" w:hAnsi="Arial" w:cs="Arial"/>
          <w:color w:val="3B3838" w:themeColor="background2" w:themeShade="40"/>
          <w:sz w:val="20"/>
          <w:szCs w:val="20"/>
        </w:rPr>
        <w:t xml:space="preserve">  Across style</w:t>
      </w:r>
      <w:r w:rsidR="00FF593B">
        <w:rPr>
          <w:rFonts w:ascii="Arial" w:hAnsi="Arial" w:cs="Arial"/>
          <w:color w:val="3B3838" w:themeColor="background2" w:themeShade="40"/>
          <w:sz w:val="20"/>
          <w:szCs w:val="20"/>
        </w:rPr>
        <w:t>s</w:t>
      </w:r>
      <w:r w:rsidR="005D1638">
        <w:rPr>
          <w:rFonts w:ascii="Arial" w:hAnsi="Arial" w:cs="Arial"/>
          <w:color w:val="3B3838" w:themeColor="background2" w:themeShade="40"/>
          <w:sz w:val="20"/>
          <w:szCs w:val="20"/>
        </w:rPr>
        <w:t>, value stocks</w:t>
      </w:r>
      <w:r w:rsidR="00FF593B">
        <w:rPr>
          <w:rFonts w:ascii="Arial" w:hAnsi="Arial" w:cs="Arial"/>
          <w:color w:val="3B3838" w:themeColor="background2" w:themeShade="40"/>
          <w:sz w:val="20"/>
          <w:szCs w:val="20"/>
        </w:rPr>
        <w:t>,</w:t>
      </w:r>
      <w:r w:rsidR="005D1638">
        <w:rPr>
          <w:rFonts w:ascii="Arial" w:hAnsi="Arial" w:cs="Arial"/>
          <w:color w:val="3B3838" w:themeColor="background2" w:themeShade="40"/>
          <w:sz w:val="20"/>
          <w:szCs w:val="20"/>
        </w:rPr>
        <w:t xml:space="preserve"> which tend to more economically sensitive and include sectors like energy and financials</w:t>
      </w:r>
      <w:r w:rsidR="00FF593B">
        <w:rPr>
          <w:rFonts w:ascii="Arial" w:hAnsi="Arial" w:cs="Arial"/>
          <w:color w:val="3B3838" w:themeColor="background2" w:themeShade="40"/>
          <w:sz w:val="20"/>
          <w:szCs w:val="20"/>
        </w:rPr>
        <w:t>,</w:t>
      </w:r>
      <w:r w:rsidR="005D1638">
        <w:rPr>
          <w:rFonts w:ascii="Arial" w:hAnsi="Arial" w:cs="Arial"/>
          <w:color w:val="3B3838" w:themeColor="background2" w:themeShade="40"/>
          <w:sz w:val="20"/>
          <w:szCs w:val="20"/>
        </w:rPr>
        <w:t xml:space="preserve"> have outperformed growth stocks</w:t>
      </w:r>
      <w:r w:rsidR="00FF593B">
        <w:rPr>
          <w:rFonts w:ascii="Arial" w:hAnsi="Arial" w:cs="Arial"/>
          <w:color w:val="3B3838" w:themeColor="background2" w:themeShade="40"/>
          <w:sz w:val="20"/>
          <w:szCs w:val="20"/>
        </w:rPr>
        <w:t>,</w:t>
      </w:r>
      <w:r w:rsidR="00BC2A71">
        <w:rPr>
          <w:rFonts w:ascii="Arial" w:hAnsi="Arial" w:cs="Arial"/>
          <w:color w:val="3B3838" w:themeColor="background2" w:themeShade="40"/>
          <w:sz w:val="20"/>
          <w:szCs w:val="20"/>
        </w:rPr>
        <w:t xml:space="preserve"> which include sectors like technology</w:t>
      </w:r>
      <w:r w:rsidR="00FF593B">
        <w:rPr>
          <w:rFonts w:ascii="Arial" w:hAnsi="Arial" w:cs="Arial"/>
          <w:color w:val="3B3838" w:themeColor="background2" w:themeShade="40"/>
          <w:sz w:val="20"/>
          <w:szCs w:val="20"/>
        </w:rPr>
        <w:t>,</w:t>
      </w:r>
      <w:r w:rsidR="005D1638">
        <w:rPr>
          <w:rFonts w:ascii="Arial" w:hAnsi="Arial" w:cs="Arial"/>
          <w:color w:val="3B3838" w:themeColor="background2" w:themeShade="40"/>
          <w:sz w:val="20"/>
          <w:szCs w:val="20"/>
        </w:rPr>
        <w:t xml:space="preserve"> for the month and year.</w:t>
      </w:r>
      <w:r w:rsidR="00700C30">
        <w:rPr>
          <w:rFonts w:ascii="Arial" w:hAnsi="Arial" w:cs="Arial"/>
          <w:color w:val="3B3838" w:themeColor="background2" w:themeShade="40"/>
          <w:sz w:val="20"/>
          <w:szCs w:val="20"/>
        </w:rPr>
        <w:t xml:space="preserve">  This trend has benefited dividend stocks which has outperformed the broad</w:t>
      </w:r>
      <w:r w:rsidR="00BC2A71">
        <w:rPr>
          <w:rFonts w:ascii="Arial" w:hAnsi="Arial" w:cs="Arial"/>
          <w:color w:val="3B3838" w:themeColor="background2" w:themeShade="40"/>
          <w:sz w:val="20"/>
          <w:szCs w:val="20"/>
        </w:rPr>
        <w:t xml:space="preserve"> stock</w:t>
      </w:r>
      <w:r w:rsidR="00700C30">
        <w:rPr>
          <w:rFonts w:ascii="Arial" w:hAnsi="Arial" w:cs="Arial"/>
          <w:color w:val="3B3838" w:themeColor="background2" w:themeShade="40"/>
          <w:sz w:val="20"/>
          <w:szCs w:val="20"/>
        </w:rPr>
        <w:t xml:space="preserve"> markets for the month</w:t>
      </w:r>
      <w:r w:rsidR="00BC2A71">
        <w:rPr>
          <w:rFonts w:ascii="Arial" w:hAnsi="Arial" w:cs="Arial"/>
          <w:color w:val="3B3838" w:themeColor="background2" w:themeShade="40"/>
          <w:sz w:val="20"/>
          <w:szCs w:val="20"/>
        </w:rPr>
        <w:t xml:space="preserve"> and year.</w:t>
      </w:r>
    </w:p>
    <w:p w14:paraId="4A80D9E1" w14:textId="1559AC20" w:rsidR="00CB53FD" w:rsidRDefault="00E2168A" w:rsidP="008971E2">
      <w:pPr>
        <w:autoSpaceDE w:val="0"/>
        <w:autoSpaceDN w:val="0"/>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 </w:t>
      </w:r>
    </w:p>
    <w:p w14:paraId="384AC8D1" w14:textId="0F4EAFC7" w:rsidR="00C35BE3" w:rsidRDefault="005D1638" w:rsidP="008971E2">
      <w:pPr>
        <w:autoSpaceDE w:val="0"/>
        <w:autoSpaceDN w:val="0"/>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The major bond indexes had another negative month as interest rates rose</w:t>
      </w:r>
      <w:r w:rsidR="00700C30">
        <w:rPr>
          <w:rFonts w:ascii="Arial" w:hAnsi="Arial" w:cs="Arial"/>
          <w:color w:val="3B3838" w:themeColor="background2" w:themeShade="40"/>
          <w:sz w:val="20"/>
          <w:szCs w:val="20"/>
        </w:rPr>
        <w:t xml:space="preserve"> sharply</w:t>
      </w:r>
      <w:r>
        <w:rPr>
          <w:rFonts w:ascii="Arial" w:hAnsi="Arial" w:cs="Arial"/>
          <w:color w:val="3B3838" w:themeColor="background2" w:themeShade="40"/>
          <w:sz w:val="20"/>
          <w:szCs w:val="20"/>
        </w:rPr>
        <w:t xml:space="preserve">.  The yield on the 10-year Treasury note </w:t>
      </w:r>
      <w:r w:rsidR="00700C30">
        <w:rPr>
          <w:rFonts w:ascii="Arial" w:hAnsi="Arial" w:cs="Arial"/>
          <w:color w:val="3B3838" w:themeColor="background2" w:themeShade="40"/>
          <w:sz w:val="20"/>
          <w:szCs w:val="20"/>
        </w:rPr>
        <w:t xml:space="preserve">ended the month at 1.44%, up from 1.09% at the start of the month.  </w:t>
      </w:r>
      <w:r w:rsidR="003B0F64">
        <w:rPr>
          <w:rFonts w:ascii="Arial" w:hAnsi="Arial" w:cs="Arial"/>
          <w:color w:val="3B3838" w:themeColor="background2" w:themeShade="40"/>
          <w:sz w:val="20"/>
          <w:szCs w:val="20"/>
        </w:rPr>
        <w:t>While most bonds struggled, high</w:t>
      </w:r>
      <w:r w:rsidR="00781DE1">
        <w:rPr>
          <w:rFonts w:ascii="Arial" w:hAnsi="Arial" w:cs="Arial"/>
          <w:color w:val="3B3838" w:themeColor="background2" w:themeShade="40"/>
          <w:sz w:val="20"/>
          <w:szCs w:val="20"/>
        </w:rPr>
        <w:t>-</w:t>
      </w:r>
      <w:r w:rsidR="003B0F64">
        <w:rPr>
          <w:rFonts w:ascii="Arial" w:hAnsi="Arial" w:cs="Arial"/>
          <w:color w:val="3B3838" w:themeColor="background2" w:themeShade="40"/>
          <w:sz w:val="20"/>
          <w:szCs w:val="20"/>
        </w:rPr>
        <w:t xml:space="preserve">yield bonds posted </w:t>
      </w:r>
      <w:r w:rsidR="00BC2A71">
        <w:rPr>
          <w:rFonts w:ascii="Arial" w:hAnsi="Arial" w:cs="Arial"/>
          <w:color w:val="3B3838" w:themeColor="background2" w:themeShade="40"/>
          <w:sz w:val="20"/>
          <w:szCs w:val="20"/>
        </w:rPr>
        <w:t xml:space="preserve">small </w:t>
      </w:r>
      <w:r w:rsidR="003B0F64">
        <w:rPr>
          <w:rFonts w:ascii="Arial" w:hAnsi="Arial" w:cs="Arial"/>
          <w:color w:val="3B3838" w:themeColor="background2" w:themeShade="40"/>
          <w:sz w:val="20"/>
          <w:szCs w:val="20"/>
        </w:rPr>
        <w:t xml:space="preserve">positive returns.  </w:t>
      </w:r>
    </w:p>
    <w:p w14:paraId="0949655D" w14:textId="77777777" w:rsidR="00BC2A71" w:rsidRDefault="00BC2A71" w:rsidP="008971E2">
      <w:pPr>
        <w:autoSpaceDE w:val="0"/>
        <w:autoSpaceDN w:val="0"/>
        <w:spacing w:after="0"/>
        <w:ind w:left="1440" w:right="-360"/>
        <w:rPr>
          <w:rFonts w:ascii="Arial" w:hAnsi="Arial" w:cs="Arial"/>
          <w:color w:val="3B3838" w:themeColor="background2" w:themeShade="40"/>
          <w:sz w:val="20"/>
          <w:szCs w:val="20"/>
        </w:rPr>
      </w:pPr>
    </w:p>
    <w:p w14:paraId="5A9A5E18" w14:textId="04726D49" w:rsidR="00D014C6" w:rsidRPr="00D014C6" w:rsidRDefault="00D014C6" w:rsidP="00D014C6">
      <w:pPr>
        <w:autoSpaceDE w:val="0"/>
        <w:autoSpaceDN w:val="0"/>
        <w:spacing w:after="0"/>
        <w:ind w:left="720" w:right="-360"/>
        <w:rPr>
          <w:rFonts w:ascii="Arial" w:hAnsi="Arial" w:cs="Arial"/>
          <w:color w:val="7F7F7F" w:themeColor="text1" w:themeTint="80"/>
          <w:sz w:val="18"/>
          <w:szCs w:val="18"/>
        </w:rPr>
      </w:pPr>
      <w:r w:rsidRPr="00D014C6">
        <w:rPr>
          <w:rFonts w:ascii="Arial" w:hAnsi="Arial" w:cs="Arial"/>
          <w:color w:val="7F7F7F" w:themeColor="text1" w:themeTint="80"/>
          <w:sz w:val="18"/>
          <w:szCs w:val="18"/>
        </w:rPr>
        <w:lastRenderedPageBreak/>
        <w:t>Source:  Zephyr Style Advisor</w:t>
      </w:r>
    </w:p>
    <w:p w14:paraId="60E29E89" w14:textId="0566193F" w:rsidR="00D014C6" w:rsidRPr="00005D32" w:rsidRDefault="00D014C6" w:rsidP="00D014C6">
      <w:pPr>
        <w:spacing w:after="0"/>
        <w:ind w:left="720" w:right="-360"/>
        <w:rPr>
          <w:rFonts w:ascii="Arial" w:hAnsi="Arial" w:cs="Arial"/>
          <w:bCs/>
          <w:color w:val="767171" w:themeColor="background2" w:themeShade="80"/>
          <w:sz w:val="16"/>
          <w:szCs w:val="16"/>
        </w:rPr>
      </w:pPr>
      <w:r w:rsidRPr="00005D32">
        <w:rPr>
          <w:rFonts w:ascii="Arial" w:hAnsi="Arial" w:cs="Arial"/>
          <w:bCs/>
          <w:color w:val="767171" w:themeColor="background2" w:themeShade="80"/>
          <w:sz w:val="16"/>
          <w:szCs w:val="16"/>
        </w:rPr>
        <w:t>Indexes are unmanaged, do not incur management fees, costs and expenses and cannot be invested in directly.  Index</w:t>
      </w:r>
      <w:r>
        <w:rPr>
          <w:rFonts w:ascii="Arial" w:hAnsi="Arial" w:cs="Arial"/>
          <w:bCs/>
          <w:color w:val="767171" w:themeColor="background2" w:themeShade="80"/>
          <w:sz w:val="16"/>
          <w:szCs w:val="16"/>
        </w:rPr>
        <w:t xml:space="preserve"> </w:t>
      </w:r>
      <w:r w:rsidRPr="00005D32">
        <w:rPr>
          <w:rFonts w:ascii="Arial" w:hAnsi="Arial" w:cs="Arial"/>
          <w:bCs/>
          <w:color w:val="767171" w:themeColor="background2" w:themeShade="80"/>
          <w:sz w:val="16"/>
          <w:szCs w:val="16"/>
        </w:rPr>
        <w:t>performance assumes the reinvestment of dividends.</w:t>
      </w:r>
    </w:p>
    <w:p w14:paraId="21A0C995" w14:textId="77777777" w:rsidR="00D014C6" w:rsidRDefault="00D014C6" w:rsidP="007243EB">
      <w:pPr>
        <w:autoSpaceDE w:val="0"/>
        <w:autoSpaceDN w:val="0"/>
        <w:spacing w:after="0"/>
        <w:ind w:right="-360"/>
        <w:rPr>
          <w:rFonts w:ascii="Arial" w:hAnsi="Arial" w:cs="Arial"/>
          <w:color w:val="3B3838" w:themeColor="background2" w:themeShade="40"/>
          <w:sz w:val="20"/>
          <w:szCs w:val="20"/>
        </w:rPr>
      </w:pPr>
    </w:p>
    <w:p w14:paraId="1FC782EC" w14:textId="4932D32F" w:rsidR="00B0334A" w:rsidRDefault="00401A1E" w:rsidP="007243EB">
      <w:pPr>
        <w:autoSpaceDE w:val="0"/>
        <w:autoSpaceDN w:val="0"/>
        <w:spacing w:after="0"/>
        <w:ind w:left="72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Gold </w:t>
      </w:r>
      <w:r w:rsidR="00E2168A">
        <w:rPr>
          <w:rFonts w:ascii="Arial" w:hAnsi="Arial" w:cs="Arial"/>
          <w:color w:val="3B3838" w:themeColor="background2" w:themeShade="40"/>
          <w:sz w:val="20"/>
          <w:szCs w:val="20"/>
        </w:rPr>
        <w:t>fell</w:t>
      </w:r>
      <w:r w:rsidR="006144FA">
        <w:rPr>
          <w:rFonts w:ascii="Arial" w:hAnsi="Arial" w:cs="Arial"/>
          <w:color w:val="3B3838" w:themeColor="background2" w:themeShade="40"/>
          <w:sz w:val="20"/>
          <w:szCs w:val="20"/>
        </w:rPr>
        <w:t xml:space="preserve"> </w:t>
      </w:r>
      <w:r w:rsidR="00E2168A">
        <w:rPr>
          <w:rFonts w:ascii="Arial" w:hAnsi="Arial" w:cs="Arial"/>
          <w:color w:val="3B3838" w:themeColor="background2" w:themeShade="40"/>
          <w:sz w:val="20"/>
          <w:szCs w:val="20"/>
        </w:rPr>
        <w:t>-</w:t>
      </w:r>
      <w:r w:rsidR="00BC2A71">
        <w:rPr>
          <w:rFonts w:ascii="Arial" w:hAnsi="Arial" w:cs="Arial"/>
          <w:color w:val="3B3838" w:themeColor="background2" w:themeShade="40"/>
          <w:sz w:val="20"/>
          <w:szCs w:val="20"/>
        </w:rPr>
        <w:t>6.6</w:t>
      </w:r>
      <w:r w:rsidR="006144FA">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w:t>
      </w:r>
      <w:r w:rsidR="00E2168A">
        <w:rPr>
          <w:rFonts w:ascii="Arial" w:hAnsi="Arial" w:cs="Arial"/>
          <w:color w:val="3B3838" w:themeColor="background2" w:themeShade="40"/>
          <w:sz w:val="20"/>
          <w:szCs w:val="20"/>
        </w:rPr>
        <w:t>as the</w:t>
      </w:r>
      <w:r w:rsidR="00114CA7">
        <w:rPr>
          <w:rFonts w:ascii="Arial" w:hAnsi="Arial" w:cs="Arial"/>
          <w:color w:val="3B3838" w:themeColor="background2" w:themeShade="40"/>
          <w:sz w:val="20"/>
          <w:szCs w:val="20"/>
        </w:rPr>
        <w:t xml:space="preserve"> global economic recovery showed improvement</w:t>
      </w:r>
      <w:r w:rsidR="00135AE9">
        <w:rPr>
          <w:rFonts w:ascii="Arial" w:hAnsi="Arial" w:cs="Arial"/>
          <w:color w:val="3B3838" w:themeColor="background2" w:themeShade="40"/>
          <w:sz w:val="20"/>
          <w:szCs w:val="20"/>
        </w:rPr>
        <w:t>,</w:t>
      </w:r>
      <w:r w:rsidR="00114CA7">
        <w:rPr>
          <w:rFonts w:ascii="Arial" w:hAnsi="Arial" w:cs="Arial"/>
          <w:color w:val="3B3838" w:themeColor="background2" w:themeShade="40"/>
          <w:sz w:val="20"/>
          <w:szCs w:val="20"/>
        </w:rPr>
        <w:t xml:space="preserve"> and the US dollar rose. </w:t>
      </w:r>
      <w:r w:rsidR="00DD2F4D">
        <w:rPr>
          <w:rFonts w:ascii="Arial" w:hAnsi="Arial" w:cs="Arial"/>
          <w:color w:val="3B3838" w:themeColor="background2" w:themeShade="40"/>
          <w:sz w:val="20"/>
          <w:szCs w:val="20"/>
        </w:rPr>
        <w:t xml:space="preserve"> </w:t>
      </w:r>
      <w:r w:rsidR="00E2168A">
        <w:rPr>
          <w:rFonts w:ascii="Arial" w:hAnsi="Arial" w:cs="Arial"/>
          <w:color w:val="3B3838" w:themeColor="background2" w:themeShade="40"/>
          <w:sz w:val="20"/>
          <w:szCs w:val="20"/>
        </w:rPr>
        <w:t>C</w:t>
      </w:r>
      <w:r w:rsidR="00943357">
        <w:rPr>
          <w:rFonts w:ascii="Arial" w:hAnsi="Arial" w:cs="Arial"/>
          <w:color w:val="3B3838" w:themeColor="background2" w:themeShade="40"/>
          <w:sz w:val="20"/>
          <w:szCs w:val="20"/>
        </w:rPr>
        <w:t>ommoditie</w:t>
      </w:r>
      <w:r w:rsidR="006144FA">
        <w:rPr>
          <w:rFonts w:ascii="Arial" w:hAnsi="Arial" w:cs="Arial"/>
          <w:color w:val="3B3838" w:themeColor="background2" w:themeShade="40"/>
          <w:sz w:val="20"/>
          <w:szCs w:val="20"/>
        </w:rPr>
        <w:t xml:space="preserve">s </w:t>
      </w:r>
      <w:r w:rsidR="00114CA7">
        <w:rPr>
          <w:rFonts w:ascii="Arial" w:hAnsi="Arial" w:cs="Arial"/>
          <w:color w:val="3B3838" w:themeColor="background2" w:themeShade="40"/>
          <w:sz w:val="20"/>
          <w:szCs w:val="20"/>
        </w:rPr>
        <w:t xml:space="preserve">gained as oil rebounded after being crushed </w:t>
      </w:r>
      <w:r w:rsidR="009F44E7">
        <w:rPr>
          <w:rFonts w:ascii="Arial" w:hAnsi="Arial" w:cs="Arial"/>
          <w:color w:val="3B3838" w:themeColor="background2" w:themeShade="40"/>
          <w:sz w:val="20"/>
          <w:szCs w:val="20"/>
        </w:rPr>
        <w:t xml:space="preserve">by weak demand </w:t>
      </w:r>
      <w:r w:rsidR="00114CA7">
        <w:rPr>
          <w:rFonts w:ascii="Arial" w:hAnsi="Arial" w:cs="Arial"/>
          <w:color w:val="3B3838" w:themeColor="background2" w:themeShade="40"/>
          <w:sz w:val="20"/>
          <w:szCs w:val="20"/>
        </w:rPr>
        <w:t xml:space="preserve">in 2020.  </w:t>
      </w:r>
    </w:p>
    <w:p w14:paraId="43DBFAF8" w14:textId="77777777" w:rsidR="00BC2A71" w:rsidRDefault="00BC2A71" w:rsidP="00D014C6">
      <w:pPr>
        <w:autoSpaceDE w:val="0"/>
        <w:autoSpaceDN w:val="0"/>
        <w:spacing w:after="0"/>
        <w:ind w:left="720" w:right="-360"/>
        <w:rPr>
          <w:rFonts w:ascii="Arial" w:hAnsi="Arial" w:cs="Arial"/>
          <w:color w:val="3B3838" w:themeColor="background2" w:themeShade="40"/>
          <w:sz w:val="20"/>
          <w:szCs w:val="20"/>
        </w:rPr>
      </w:pPr>
    </w:p>
    <w:p w14:paraId="5EA6DAA3" w14:textId="7ADB2309" w:rsidR="00B0334A" w:rsidRDefault="00B0334A" w:rsidP="00D014C6">
      <w:pPr>
        <w:autoSpaceDE w:val="0"/>
        <w:autoSpaceDN w:val="0"/>
        <w:spacing w:after="0"/>
        <w:ind w:left="720" w:right="-360"/>
        <w:rPr>
          <w:rFonts w:ascii="Arial" w:hAnsi="Arial" w:cs="Arial"/>
          <w:color w:val="3B3838" w:themeColor="background2" w:themeShade="40"/>
          <w:sz w:val="20"/>
          <w:szCs w:val="20"/>
        </w:rPr>
      </w:pPr>
      <w:r w:rsidRPr="00B5372B">
        <w:rPr>
          <w:rFonts w:ascii="Arial" w:hAnsi="Arial" w:cs="Arial"/>
          <w:color w:val="3B3838" w:themeColor="background2" w:themeShade="40"/>
          <w:sz w:val="20"/>
          <w:szCs w:val="20"/>
        </w:rPr>
        <w:t xml:space="preserve">Relative to a globally balanced (60/40) </w:t>
      </w:r>
      <w:r>
        <w:rPr>
          <w:rFonts w:ascii="Arial" w:hAnsi="Arial" w:cs="Arial"/>
          <w:color w:val="3B3838" w:themeColor="background2" w:themeShade="40"/>
          <w:sz w:val="20"/>
          <w:szCs w:val="20"/>
        </w:rPr>
        <w:t>equity</w:t>
      </w:r>
      <w:r w:rsidRPr="00B5372B">
        <w:rPr>
          <w:rFonts w:ascii="Arial" w:hAnsi="Arial" w:cs="Arial"/>
          <w:color w:val="3B3838" w:themeColor="background2" w:themeShade="40"/>
          <w:sz w:val="20"/>
          <w:szCs w:val="20"/>
        </w:rPr>
        <w:t xml:space="preserve">/bond index, </w:t>
      </w:r>
      <w:r>
        <w:rPr>
          <w:rFonts w:ascii="Arial" w:hAnsi="Arial" w:cs="Arial"/>
          <w:color w:val="3B3838" w:themeColor="background2" w:themeShade="40"/>
          <w:sz w:val="20"/>
          <w:szCs w:val="20"/>
        </w:rPr>
        <w:t>allocations to commodities, US REITS and global equities helped, while global bonds and gold hurt for the month</w:t>
      </w:r>
      <w:r w:rsidR="004C74F0">
        <w:rPr>
          <w:rFonts w:ascii="Arial" w:hAnsi="Arial" w:cs="Arial"/>
          <w:color w:val="3B3838" w:themeColor="background2" w:themeShade="40"/>
          <w:sz w:val="20"/>
          <w:szCs w:val="20"/>
        </w:rPr>
        <w:t>.</w:t>
      </w:r>
    </w:p>
    <w:p w14:paraId="3AA660C4" w14:textId="77777777" w:rsidR="009F44E7" w:rsidRDefault="009F44E7" w:rsidP="00481713">
      <w:pPr>
        <w:autoSpaceDE w:val="0"/>
        <w:autoSpaceDN w:val="0"/>
        <w:spacing w:after="0"/>
        <w:ind w:left="720" w:right="-360"/>
        <w:rPr>
          <w:rFonts w:ascii="Arial" w:hAnsi="Arial" w:cs="Arial"/>
          <w:color w:val="3B3838" w:themeColor="background2" w:themeShade="40"/>
          <w:sz w:val="20"/>
          <w:szCs w:val="20"/>
        </w:rPr>
      </w:pPr>
    </w:p>
    <w:p w14:paraId="171C767B" w14:textId="77777777" w:rsidR="009F44E7" w:rsidRPr="009F44E7" w:rsidRDefault="009F44E7" w:rsidP="009F44E7">
      <w:pPr>
        <w:autoSpaceDE w:val="0"/>
        <w:autoSpaceDN w:val="0"/>
        <w:spacing w:after="0"/>
        <w:ind w:left="720" w:right="-360"/>
        <w:rPr>
          <w:rFonts w:ascii="Arial" w:hAnsi="Arial" w:cs="Arial"/>
          <w:color w:val="3B3838" w:themeColor="background2" w:themeShade="40"/>
          <w:sz w:val="20"/>
          <w:szCs w:val="20"/>
        </w:rPr>
      </w:pPr>
    </w:p>
    <w:p w14:paraId="6C5F2398" w14:textId="76692E54" w:rsidR="004B5EEA" w:rsidRPr="00C359A4" w:rsidRDefault="00AA7966" w:rsidP="00005D32">
      <w:pPr>
        <w:autoSpaceDE w:val="0"/>
        <w:autoSpaceDN w:val="0"/>
        <w:spacing w:after="0"/>
        <w:ind w:left="720" w:right="-360"/>
        <w:rPr>
          <w:rFonts w:ascii="Arial" w:hAnsi="Arial" w:cs="Arial"/>
          <w:color w:val="3B3838" w:themeColor="background2" w:themeShade="40"/>
          <w:sz w:val="18"/>
          <w:szCs w:val="18"/>
        </w:rPr>
      </w:pPr>
      <w:r>
        <w:rPr>
          <w:noProof/>
        </w:rPr>
        <w:drawing>
          <wp:anchor distT="0" distB="0" distL="114300" distR="114300" simplePos="0" relativeHeight="251681792" behindDoc="0" locked="0" layoutInCell="1" allowOverlap="1" wp14:anchorId="28C54110" wp14:editId="120E1323">
            <wp:simplePos x="0" y="0"/>
            <wp:positionH relativeFrom="margin">
              <wp:posOffset>482600</wp:posOffset>
            </wp:positionH>
            <wp:positionV relativeFrom="page">
              <wp:posOffset>1149350</wp:posOffset>
            </wp:positionV>
            <wp:extent cx="5321935" cy="2609850"/>
            <wp:effectExtent l="0" t="0" r="12065"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118F804" w14:textId="1FDB61D3" w:rsidR="00996FBD" w:rsidRPr="0040163B" w:rsidRDefault="000D25A4" w:rsidP="000D25A4">
      <w:pPr>
        <w:spacing w:after="120"/>
        <w:ind w:left="-720" w:right="-720"/>
        <w:rPr>
          <w:rFonts w:ascii="Arial" w:hAnsi="Arial" w:cs="Arial"/>
          <w:color w:val="343433"/>
          <w:sz w:val="21"/>
        </w:rPr>
      </w:pPr>
      <w:r>
        <w:rPr>
          <w:rFonts w:ascii="Arial" w:hAnsi="Arial" w:cs="Arial"/>
          <w:color w:val="343433"/>
          <w:sz w:val="21"/>
        </w:rPr>
        <w:t xml:space="preserve">  </w:t>
      </w:r>
      <w:r w:rsidR="004B5EEA">
        <w:rPr>
          <w:rFonts w:ascii="Arial" w:hAnsi="Arial" w:cs="Arial"/>
          <w:color w:val="343433"/>
          <w:sz w:val="21"/>
        </w:rPr>
        <w:t xml:space="preserve"> </w:t>
      </w:r>
      <w:r w:rsidR="00930F1A">
        <w:rPr>
          <w:rFonts w:ascii="Arial" w:hAnsi="Arial" w:cs="Arial"/>
          <w:color w:val="343433"/>
          <w:sz w:val="21"/>
        </w:rPr>
        <w:t>INDEX INFORMATION</w:t>
      </w: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7073"/>
      </w:tblGrid>
      <w:tr w:rsidR="003A27B5" w:rsidRPr="00567CF8" w14:paraId="5DE4BB2F" w14:textId="77777777" w:rsidTr="00EE41FB">
        <w:trPr>
          <w:trHeight w:val="264"/>
        </w:trPr>
        <w:tc>
          <w:tcPr>
            <w:tcW w:w="1654" w:type="dxa"/>
            <w:tcBorders>
              <w:top w:val="nil"/>
              <w:left w:val="nil"/>
              <w:bottom w:val="nil"/>
              <w:right w:val="nil"/>
            </w:tcBorders>
            <w:shd w:val="clear" w:color="auto" w:fill="auto"/>
            <w:noWrap/>
            <w:vAlign w:val="bottom"/>
            <w:hideMark/>
          </w:tcPr>
          <w:p w14:paraId="562E447D" w14:textId="77777777" w:rsidR="003A27B5" w:rsidRPr="00567CF8" w:rsidRDefault="003A27B5" w:rsidP="003A27B5">
            <w:pPr>
              <w:spacing w:after="0" w:line="240" w:lineRule="auto"/>
              <w:rPr>
                <w:rFonts w:ascii="Arial" w:hAnsi="Arial" w:cs="Arial"/>
                <w:b/>
                <w:bCs/>
                <w:color w:val="000000"/>
                <w:sz w:val="18"/>
                <w:szCs w:val="18"/>
              </w:rPr>
            </w:pPr>
            <w:bookmarkStart w:id="1"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48064727" w14:textId="77777777" w:rsidR="003A27B5" w:rsidRPr="00567CF8" w:rsidRDefault="003A27B5" w:rsidP="003A27B5">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tcBorders>
              <w:top w:val="nil"/>
              <w:left w:val="nil"/>
              <w:bottom w:val="nil"/>
              <w:right w:val="nil"/>
            </w:tcBorders>
            <w:shd w:val="clear" w:color="auto" w:fill="auto"/>
            <w:noWrap/>
            <w:vAlign w:val="bottom"/>
            <w:hideMark/>
          </w:tcPr>
          <w:p w14:paraId="33E4718B" w14:textId="77777777" w:rsidR="003A27B5" w:rsidRPr="00567CF8" w:rsidRDefault="003A27B5" w:rsidP="003A27B5">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3A27B5" w:rsidRPr="00567CF8" w14:paraId="67EF2B2B" w14:textId="77777777" w:rsidTr="00EE41FB">
        <w:trPr>
          <w:trHeight w:val="636"/>
        </w:trPr>
        <w:tc>
          <w:tcPr>
            <w:tcW w:w="1654" w:type="dxa"/>
            <w:tcBorders>
              <w:top w:val="nil"/>
              <w:left w:val="nil"/>
              <w:bottom w:val="nil"/>
              <w:right w:val="nil"/>
            </w:tcBorders>
            <w:shd w:val="clear" w:color="auto" w:fill="auto"/>
            <w:hideMark/>
          </w:tcPr>
          <w:p w14:paraId="2AEDE42D"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03574D9F"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S&amp;P 500</w:t>
            </w:r>
          </w:p>
        </w:tc>
        <w:tc>
          <w:tcPr>
            <w:tcW w:w="7073" w:type="dxa"/>
            <w:tcBorders>
              <w:top w:val="nil"/>
              <w:left w:val="nil"/>
              <w:bottom w:val="nil"/>
              <w:right w:val="nil"/>
            </w:tcBorders>
            <w:shd w:val="clear" w:color="auto" w:fill="auto"/>
            <w:hideMark/>
          </w:tcPr>
          <w:p w14:paraId="474973E0"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tc>
      </w:tr>
      <w:tr w:rsidR="003A27B5" w:rsidRPr="00567CF8" w14:paraId="532159EA" w14:textId="77777777" w:rsidTr="00EE41FB">
        <w:trPr>
          <w:trHeight w:val="384"/>
        </w:trPr>
        <w:tc>
          <w:tcPr>
            <w:tcW w:w="1654" w:type="dxa"/>
            <w:tcBorders>
              <w:top w:val="nil"/>
              <w:left w:val="nil"/>
              <w:bottom w:val="nil"/>
              <w:right w:val="nil"/>
            </w:tcBorders>
            <w:shd w:val="clear" w:color="auto" w:fill="auto"/>
            <w:hideMark/>
          </w:tcPr>
          <w:p w14:paraId="5D5805CF"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14E3B357"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 xml:space="preserve">MSCI ACWI </w:t>
            </w:r>
          </w:p>
        </w:tc>
        <w:tc>
          <w:tcPr>
            <w:tcW w:w="7073" w:type="dxa"/>
            <w:tcBorders>
              <w:top w:val="nil"/>
              <w:left w:val="nil"/>
              <w:bottom w:val="nil"/>
              <w:right w:val="nil"/>
            </w:tcBorders>
            <w:shd w:val="clear" w:color="auto" w:fill="auto"/>
            <w:hideMark/>
          </w:tcPr>
          <w:p w14:paraId="7E63BB9C"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large- and mid-cap equity performance of developed and emerging markets.  Represents approximately 85% of the global equity investment universe. </w:t>
            </w:r>
          </w:p>
        </w:tc>
      </w:tr>
      <w:tr w:rsidR="003A27B5" w:rsidRPr="00567CF8" w14:paraId="4D26B038" w14:textId="77777777" w:rsidTr="00EE41FB">
        <w:trPr>
          <w:trHeight w:val="537"/>
        </w:trPr>
        <w:tc>
          <w:tcPr>
            <w:tcW w:w="1654" w:type="dxa"/>
            <w:tcBorders>
              <w:top w:val="nil"/>
              <w:left w:val="nil"/>
              <w:bottom w:val="nil"/>
              <w:right w:val="nil"/>
            </w:tcBorders>
            <w:shd w:val="clear" w:color="auto" w:fill="auto"/>
            <w:hideMark/>
          </w:tcPr>
          <w:p w14:paraId="418344CB"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hideMark/>
          </w:tcPr>
          <w:p w14:paraId="63F2F0F7"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MSCI EAFE</w:t>
            </w:r>
          </w:p>
        </w:tc>
        <w:tc>
          <w:tcPr>
            <w:tcW w:w="7073" w:type="dxa"/>
            <w:tcBorders>
              <w:top w:val="nil"/>
              <w:left w:val="nil"/>
              <w:bottom w:val="nil"/>
              <w:right w:val="nil"/>
            </w:tcBorders>
            <w:shd w:val="clear" w:color="auto" w:fill="auto"/>
            <w:hideMark/>
          </w:tcPr>
          <w:p w14:paraId="7A133009"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measures the equity performance of countries considered to represent developed markets, excluding the U.S. and Canada.</w:t>
            </w:r>
          </w:p>
        </w:tc>
      </w:tr>
      <w:tr w:rsidR="003A27B5" w:rsidRPr="00567CF8" w14:paraId="488B9689" w14:textId="77777777" w:rsidTr="00EE41FB">
        <w:trPr>
          <w:trHeight w:val="546"/>
        </w:trPr>
        <w:tc>
          <w:tcPr>
            <w:tcW w:w="1654" w:type="dxa"/>
            <w:tcBorders>
              <w:top w:val="nil"/>
              <w:left w:val="nil"/>
              <w:bottom w:val="nil"/>
              <w:right w:val="nil"/>
            </w:tcBorders>
            <w:shd w:val="clear" w:color="auto" w:fill="auto"/>
            <w:hideMark/>
          </w:tcPr>
          <w:p w14:paraId="6043445C" w14:textId="7572467B"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 xml:space="preserve">Emerging Markets </w:t>
            </w:r>
            <w:r w:rsidR="00737093" w:rsidRPr="00567CF8">
              <w:rPr>
                <w:rFonts w:ascii="Arial" w:hAnsi="Arial" w:cs="Arial"/>
                <w:color w:val="000000"/>
                <w:sz w:val="18"/>
                <w:szCs w:val="18"/>
              </w:rPr>
              <w:t xml:space="preserve">(EM) </w:t>
            </w:r>
            <w:r w:rsidRPr="00567CF8">
              <w:rPr>
                <w:rFonts w:ascii="Arial" w:hAnsi="Arial" w:cs="Arial"/>
                <w:color w:val="000000"/>
                <w:sz w:val="18"/>
                <w:szCs w:val="18"/>
              </w:rPr>
              <w:t>Equity</w:t>
            </w:r>
          </w:p>
        </w:tc>
        <w:tc>
          <w:tcPr>
            <w:tcW w:w="1929" w:type="dxa"/>
            <w:tcBorders>
              <w:top w:val="nil"/>
              <w:left w:val="nil"/>
              <w:bottom w:val="nil"/>
              <w:right w:val="nil"/>
            </w:tcBorders>
            <w:shd w:val="clear" w:color="auto" w:fill="auto"/>
            <w:hideMark/>
          </w:tcPr>
          <w:p w14:paraId="0FA26C78"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MSCI Emerging Markets</w:t>
            </w:r>
          </w:p>
        </w:tc>
        <w:tc>
          <w:tcPr>
            <w:tcW w:w="7073" w:type="dxa"/>
            <w:tcBorders>
              <w:top w:val="nil"/>
              <w:left w:val="nil"/>
              <w:bottom w:val="nil"/>
              <w:right w:val="nil"/>
            </w:tcBorders>
            <w:shd w:val="clear" w:color="auto" w:fill="auto"/>
            <w:hideMark/>
          </w:tcPr>
          <w:p w14:paraId="6527F269"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equity market performance of countries considered to represent emerging markets. </w:t>
            </w:r>
          </w:p>
        </w:tc>
      </w:tr>
      <w:tr w:rsidR="005E4FA5" w:rsidRPr="00567CF8" w14:paraId="2C0289D1" w14:textId="77777777" w:rsidTr="00EE41FB">
        <w:trPr>
          <w:trHeight w:val="438"/>
        </w:trPr>
        <w:tc>
          <w:tcPr>
            <w:tcW w:w="1654" w:type="dxa"/>
            <w:tcBorders>
              <w:top w:val="nil"/>
              <w:left w:val="nil"/>
              <w:bottom w:val="nil"/>
              <w:right w:val="nil"/>
            </w:tcBorders>
            <w:shd w:val="clear" w:color="auto" w:fill="auto"/>
          </w:tcPr>
          <w:p w14:paraId="68030D90" w14:textId="69A71694" w:rsidR="005E4FA5" w:rsidRPr="00B67D7C" w:rsidRDefault="005E4FA5" w:rsidP="00AB6BC5">
            <w:pPr>
              <w:spacing w:after="0" w:line="240" w:lineRule="auto"/>
              <w:rPr>
                <w:rFonts w:ascii="Arial" w:hAnsi="Arial" w:cs="Arial"/>
                <w:color w:val="000000"/>
                <w:sz w:val="18"/>
                <w:szCs w:val="18"/>
              </w:rPr>
            </w:pPr>
            <w:r w:rsidRPr="00B67D7C">
              <w:rPr>
                <w:rFonts w:ascii="Arial" w:hAnsi="Arial" w:cs="Arial"/>
                <w:color w:val="000000"/>
                <w:sz w:val="18"/>
                <w:szCs w:val="18"/>
              </w:rPr>
              <w:t>China Equity</w:t>
            </w:r>
          </w:p>
        </w:tc>
        <w:tc>
          <w:tcPr>
            <w:tcW w:w="1929" w:type="dxa"/>
            <w:tcBorders>
              <w:top w:val="nil"/>
              <w:left w:val="nil"/>
              <w:bottom w:val="nil"/>
              <w:right w:val="nil"/>
            </w:tcBorders>
            <w:shd w:val="clear" w:color="auto" w:fill="auto"/>
          </w:tcPr>
          <w:p w14:paraId="582C34A3" w14:textId="4C431EE5" w:rsidR="005E4FA5" w:rsidRPr="00B67D7C" w:rsidRDefault="005E4FA5" w:rsidP="00AB6BC5">
            <w:pPr>
              <w:spacing w:after="0" w:line="240" w:lineRule="auto"/>
              <w:rPr>
                <w:rFonts w:ascii="Arial" w:hAnsi="Arial" w:cs="Arial"/>
                <w:color w:val="000000"/>
                <w:sz w:val="18"/>
                <w:szCs w:val="18"/>
              </w:rPr>
            </w:pPr>
            <w:r w:rsidRPr="00B67D7C">
              <w:rPr>
                <w:rFonts w:ascii="Arial" w:hAnsi="Arial" w:cs="Arial"/>
                <w:color w:val="000000"/>
                <w:sz w:val="18"/>
                <w:szCs w:val="18"/>
              </w:rPr>
              <w:t>MSCI China</w:t>
            </w:r>
          </w:p>
        </w:tc>
        <w:tc>
          <w:tcPr>
            <w:tcW w:w="7073" w:type="dxa"/>
            <w:tcBorders>
              <w:top w:val="nil"/>
              <w:left w:val="nil"/>
              <w:bottom w:val="nil"/>
              <w:right w:val="nil"/>
            </w:tcBorders>
            <w:shd w:val="clear" w:color="auto" w:fill="auto"/>
          </w:tcPr>
          <w:p w14:paraId="7C452B95" w14:textId="77777777" w:rsidR="003127F9" w:rsidRPr="00B67D7C" w:rsidRDefault="003127F9" w:rsidP="003127F9">
            <w:pPr>
              <w:spacing w:after="0" w:line="240" w:lineRule="auto"/>
              <w:rPr>
                <w:rFonts w:ascii="Arial" w:hAnsi="Arial" w:cs="Arial"/>
                <w:color w:val="000000"/>
                <w:sz w:val="18"/>
                <w:szCs w:val="20"/>
              </w:rPr>
            </w:pPr>
            <w:r w:rsidRPr="00B67D7C">
              <w:rPr>
                <w:rFonts w:ascii="Arial" w:hAnsi="Arial" w:cs="Arial"/>
                <w:color w:val="000000"/>
                <w:sz w:val="18"/>
                <w:szCs w:val="20"/>
              </w:rPr>
              <w:t>measures the performance of small-cap equities in developed market countries around the world, excluding the U.S. and Canada. The index covers approximately 14% of the market cap in each country.</w:t>
            </w:r>
          </w:p>
          <w:p w14:paraId="32EC3D90" w14:textId="2334DF78" w:rsidR="005E4FA5" w:rsidRPr="005E4FA5" w:rsidRDefault="005E4FA5" w:rsidP="00AB6BC5">
            <w:pPr>
              <w:spacing w:after="0" w:line="240" w:lineRule="auto"/>
              <w:rPr>
                <w:rFonts w:ascii="Arial" w:hAnsi="Arial" w:cs="Arial"/>
                <w:color w:val="000000"/>
                <w:sz w:val="18"/>
                <w:szCs w:val="18"/>
                <w:highlight w:val="yellow"/>
              </w:rPr>
            </w:pPr>
          </w:p>
        </w:tc>
      </w:tr>
      <w:tr w:rsidR="003A7A06" w:rsidRPr="00567CF8" w14:paraId="3C33FD9A" w14:textId="77777777" w:rsidTr="00EE41FB">
        <w:trPr>
          <w:trHeight w:val="438"/>
        </w:trPr>
        <w:tc>
          <w:tcPr>
            <w:tcW w:w="1654" w:type="dxa"/>
            <w:tcBorders>
              <w:top w:val="nil"/>
              <w:left w:val="nil"/>
              <w:bottom w:val="nil"/>
              <w:right w:val="nil"/>
            </w:tcBorders>
            <w:shd w:val="clear" w:color="auto" w:fill="auto"/>
          </w:tcPr>
          <w:p w14:paraId="5B7065BE" w14:textId="77777777" w:rsidR="003A7A06" w:rsidRDefault="003A7A06" w:rsidP="003A7A06">
            <w:pPr>
              <w:spacing w:after="0" w:line="240" w:lineRule="auto"/>
              <w:rPr>
                <w:rFonts w:ascii="Arial" w:hAnsi="Arial" w:cs="Arial"/>
                <w:color w:val="000000"/>
                <w:sz w:val="18"/>
                <w:szCs w:val="18"/>
              </w:rPr>
            </w:pPr>
            <w:r>
              <w:rPr>
                <w:rFonts w:ascii="Arial" w:hAnsi="Arial" w:cs="Arial"/>
                <w:color w:val="000000"/>
                <w:sz w:val="18"/>
                <w:szCs w:val="18"/>
              </w:rPr>
              <w:t>US Small Cap Equity</w:t>
            </w:r>
          </w:p>
          <w:p w14:paraId="01FC05BD" w14:textId="77777777" w:rsidR="003A7A06" w:rsidRDefault="003A7A06" w:rsidP="003A7A06">
            <w:pPr>
              <w:spacing w:after="0" w:line="240" w:lineRule="auto"/>
              <w:rPr>
                <w:rFonts w:ascii="Arial" w:hAnsi="Arial" w:cs="Arial"/>
                <w:color w:val="000000"/>
                <w:sz w:val="18"/>
                <w:szCs w:val="18"/>
              </w:rPr>
            </w:pPr>
          </w:p>
          <w:p w14:paraId="7A4FA1AA" w14:textId="6D471706" w:rsidR="003A7A06" w:rsidRPr="003127F9" w:rsidRDefault="003A7A06" w:rsidP="003A7A06">
            <w:pPr>
              <w:spacing w:after="0" w:line="240" w:lineRule="auto"/>
              <w:rPr>
                <w:rFonts w:ascii="Arial" w:hAnsi="Arial" w:cs="Arial"/>
                <w:color w:val="000000"/>
                <w:sz w:val="18"/>
                <w:szCs w:val="18"/>
              </w:rPr>
            </w:pPr>
            <w:r>
              <w:rPr>
                <w:rFonts w:ascii="Arial" w:hAnsi="Arial" w:cs="Arial"/>
                <w:color w:val="000000"/>
                <w:sz w:val="18"/>
                <w:szCs w:val="18"/>
              </w:rPr>
              <w:t>US Equity</w:t>
            </w:r>
          </w:p>
        </w:tc>
        <w:tc>
          <w:tcPr>
            <w:tcW w:w="1929" w:type="dxa"/>
            <w:tcBorders>
              <w:top w:val="nil"/>
              <w:left w:val="nil"/>
              <w:bottom w:val="nil"/>
              <w:right w:val="nil"/>
            </w:tcBorders>
            <w:shd w:val="clear" w:color="auto" w:fill="auto"/>
          </w:tcPr>
          <w:p w14:paraId="6C63B475" w14:textId="480EECA2" w:rsidR="003A7A06" w:rsidRDefault="003A7A06" w:rsidP="003A7A06">
            <w:pPr>
              <w:spacing w:after="0" w:line="240" w:lineRule="auto"/>
              <w:rPr>
                <w:rFonts w:ascii="Arial" w:hAnsi="Arial" w:cs="Arial"/>
                <w:color w:val="000000"/>
                <w:sz w:val="18"/>
                <w:szCs w:val="18"/>
              </w:rPr>
            </w:pPr>
            <w:r>
              <w:rPr>
                <w:rFonts w:ascii="Arial" w:hAnsi="Arial" w:cs="Arial"/>
                <w:color w:val="000000"/>
                <w:sz w:val="18"/>
                <w:szCs w:val="18"/>
              </w:rPr>
              <w:t>Russell 2000</w:t>
            </w:r>
          </w:p>
          <w:p w14:paraId="7F98CDB4" w14:textId="24185DD7" w:rsidR="003A7A06" w:rsidRDefault="003A7A06" w:rsidP="003A7A06">
            <w:pPr>
              <w:spacing w:after="0" w:line="240" w:lineRule="auto"/>
              <w:rPr>
                <w:rFonts w:ascii="Arial" w:hAnsi="Arial" w:cs="Arial"/>
                <w:color w:val="000000"/>
                <w:sz w:val="18"/>
                <w:szCs w:val="18"/>
              </w:rPr>
            </w:pPr>
          </w:p>
          <w:p w14:paraId="55D4C6DD" w14:textId="5EDDEA3E" w:rsidR="003A7A06" w:rsidRDefault="003A7A06" w:rsidP="003A7A06">
            <w:pPr>
              <w:spacing w:after="0" w:line="240" w:lineRule="auto"/>
              <w:rPr>
                <w:rFonts w:ascii="Arial" w:hAnsi="Arial" w:cs="Arial"/>
                <w:color w:val="000000"/>
                <w:sz w:val="18"/>
                <w:szCs w:val="18"/>
              </w:rPr>
            </w:pPr>
          </w:p>
          <w:p w14:paraId="02704430" w14:textId="07471E2E" w:rsidR="003A7A06" w:rsidRDefault="003A7A06" w:rsidP="003A7A06">
            <w:pPr>
              <w:spacing w:after="0" w:line="240" w:lineRule="auto"/>
              <w:rPr>
                <w:rFonts w:ascii="Arial" w:hAnsi="Arial" w:cs="Arial"/>
                <w:color w:val="000000"/>
                <w:sz w:val="18"/>
                <w:szCs w:val="18"/>
              </w:rPr>
            </w:pPr>
            <w:r>
              <w:rPr>
                <w:rFonts w:ascii="Arial" w:hAnsi="Arial" w:cs="Arial"/>
                <w:color w:val="000000"/>
                <w:sz w:val="18"/>
                <w:szCs w:val="18"/>
              </w:rPr>
              <w:t>Nasdaq 100</w:t>
            </w:r>
          </w:p>
          <w:p w14:paraId="5BF9E13B" w14:textId="5B4B21FC" w:rsidR="003A7A06" w:rsidRPr="003127F9" w:rsidRDefault="003A7A06" w:rsidP="003A7A06">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tcPr>
          <w:p w14:paraId="20B8E2FE" w14:textId="77777777" w:rsidR="003A7A06" w:rsidRDefault="003A7A06" w:rsidP="003A7A06">
            <w:pPr>
              <w:spacing w:after="0" w:line="240" w:lineRule="auto"/>
              <w:rPr>
                <w:rFonts w:ascii="Arial" w:hAnsi="Arial" w:cs="Arial"/>
                <w:color w:val="000000"/>
                <w:sz w:val="18"/>
                <w:szCs w:val="20"/>
              </w:rPr>
            </w:pPr>
            <w:r w:rsidRPr="007D1EED">
              <w:rPr>
                <w:rFonts w:ascii="Arial" w:hAnsi="Arial" w:cs="Arial"/>
                <w:color w:val="000000"/>
                <w:sz w:val="18"/>
                <w:szCs w:val="20"/>
              </w:rPr>
              <w:t>measures those companies in the Russell 2000 Index considered to represent the small-cap segment of the US equity market.</w:t>
            </w:r>
            <w:r w:rsidRPr="00B67D7C">
              <w:rPr>
                <w:rFonts w:ascii="Arial" w:hAnsi="Arial" w:cs="Arial"/>
                <w:color w:val="000000"/>
                <w:sz w:val="18"/>
                <w:szCs w:val="20"/>
              </w:rPr>
              <w:t xml:space="preserve"> </w:t>
            </w:r>
          </w:p>
          <w:p w14:paraId="6FE8E1A5" w14:textId="77777777" w:rsidR="003A7A06" w:rsidRDefault="003A7A06" w:rsidP="003A7A06">
            <w:pPr>
              <w:spacing w:after="0" w:line="240" w:lineRule="auto"/>
              <w:rPr>
                <w:rFonts w:ascii="Arial" w:hAnsi="Arial" w:cs="Arial"/>
                <w:color w:val="000000"/>
                <w:sz w:val="18"/>
                <w:szCs w:val="20"/>
              </w:rPr>
            </w:pPr>
          </w:p>
          <w:p w14:paraId="542559B2" w14:textId="062700B4" w:rsidR="003A7A06" w:rsidRPr="00B67D7C" w:rsidRDefault="003A7A06" w:rsidP="003A7A06">
            <w:pPr>
              <w:spacing w:after="0" w:line="240" w:lineRule="auto"/>
              <w:rPr>
                <w:rFonts w:ascii="Arial" w:hAnsi="Arial" w:cs="Arial"/>
                <w:color w:val="000000"/>
                <w:sz w:val="18"/>
                <w:szCs w:val="20"/>
              </w:rPr>
            </w:pPr>
            <w:r>
              <w:rPr>
                <w:rFonts w:ascii="Arial" w:hAnsi="Arial" w:cs="Arial"/>
                <w:color w:val="000000"/>
                <w:sz w:val="18"/>
                <w:szCs w:val="20"/>
              </w:rPr>
              <w:t xml:space="preserve">measures companies across major industry groups including computer hardware and software, telecommunications, retail/wholesale trade and biotechnology. </w:t>
            </w:r>
          </w:p>
          <w:p w14:paraId="1C42729F" w14:textId="77777777" w:rsidR="003A7A06" w:rsidRPr="003127F9" w:rsidRDefault="003A7A06" w:rsidP="003A7A06">
            <w:pPr>
              <w:spacing w:after="0" w:line="240" w:lineRule="auto"/>
              <w:rPr>
                <w:rFonts w:ascii="Arial" w:hAnsi="Arial" w:cs="Arial"/>
                <w:color w:val="000000"/>
                <w:sz w:val="18"/>
                <w:szCs w:val="20"/>
              </w:rPr>
            </w:pPr>
          </w:p>
        </w:tc>
      </w:tr>
      <w:tr w:rsidR="003A7A06" w:rsidRPr="00567CF8" w14:paraId="57621AEB" w14:textId="77777777" w:rsidTr="00EE41FB">
        <w:trPr>
          <w:trHeight w:val="438"/>
        </w:trPr>
        <w:tc>
          <w:tcPr>
            <w:tcW w:w="1654" w:type="dxa"/>
            <w:tcBorders>
              <w:top w:val="nil"/>
              <w:left w:val="nil"/>
              <w:bottom w:val="nil"/>
              <w:right w:val="nil"/>
            </w:tcBorders>
            <w:shd w:val="clear" w:color="auto" w:fill="auto"/>
          </w:tcPr>
          <w:p w14:paraId="116458CE" w14:textId="71C5497A" w:rsidR="003A7A06" w:rsidRPr="00B67D7C" w:rsidRDefault="003A7A06" w:rsidP="003A7A06">
            <w:pPr>
              <w:spacing w:after="0" w:line="240" w:lineRule="auto"/>
              <w:rPr>
                <w:rFonts w:ascii="Arial" w:hAnsi="Arial" w:cs="Arial"/>
                <w:color w:val="000000"/>
                <w:sz w:val="18"/>
                <w:szCs w:val="18"/>
              </w:rPr>
            </w:pPr>
            <w:r w:rsidRPr="008E54FB">
              <w:rPr>
                <w:rFonts w:ascii="Arial" w:hAnsi="Arial" w:cs="Arial"/>
                <w:color w:val="000000"/>
                <w:sz w:val="18"/>
                <w:szCs w:val="18"/>
              </w:rPr>
              <w:t xml:space="preserve">Sector </w:t>
            </w:r>
            <w:r w:rsidR="004C74F0">
              <w:rPr>
                <w:rFonts w:ascii="Arial" w:hAnsi="Arial" w:cs="Arial"/>
                <w:color w:val="000000"/>
                <w:sz w:val="18"/>
                <w:szCs w:val="18"/>
              </w:rPr>
              <w:t>–</w:t>
            </w:r>
            <w:r w:rsidRPr="008E54FB">
              <w:rPr>
                <w:rFonts w:ascii="Arial" w:hAnsi="Arial" w:cs="Arial"/>
                <w:color w:val="000000"/>
                <w:sz w:val="18"/>
                <w:szCs w:val="18"/>
              </w:rPr>
              <w:t xml:space="preserve"> </w:t>
            </w:r>
            <w:r w:rsidR="00911BF3">
              <w:rPr>
                <w:rFonts w:ascii="Arial" w:hAnsi="Arial" w:cs="Arial"/>
                <w:color w:val="000000"/>
                <w:sz w:val="18"/>
                <w:szCs w:val="18"/>
              </w:rPr>
              <w:t>Utilities</w:t>
            </w:r>
          </w:p>
        </w:tc>
        <w:tc>
          <w:tcPr>
            <w:tcW w:w="1929" w:type="dxa"/>
            <w:tcBorders>
              <w:top w:val="nil"/>
              <w:left w:val="nil"/>
              <w:bottom w:val="nil"/>
              <w:right w:val="nil"/>
            </w:tcBorders>
            <w:shd w:val="clear" w:color="auto" w:fill="auto"/>
          </w:tcPr>
          <w:p w14:paraId="5563C040" w14:textId="77777777" w:rsidR="00216342" w:rsidRPr="00216342" w:rsidRDefault="00216342" w:rsidP="00216342">
            <w:pPr>
              <w:spacing w:after="0" w:line="240" w:lineRule="auto"/>
              <w:rPr>
                <w:rFonts w:ascii="Arial" w:hAnsi="Arial" w:cs="Arial"/>
                <w:color w:val="000000"/>
                <w:sz w:val="18"/>
                <w:szCs w:val="18"/>
              </w:rPr>
            </w:pPr>
            <w:r w:rsidRPr="00216342">
              <w:rPr>
                <w:rFonts w:ascii="Arial" w:hAnsi="Arial" w:cs="Arial"/>
                <w:color w:val="000000"/>
                <w:sz w:val="18"/>
                <w:szCs w:val="18"/>
              </w:rPr>
              <w:t xml:space="preserve">S&amp;P 500 Sector Utilities </w:t>
            </w:r>
          </w:p>
          <w:p w14:paraId="51AF8AD6" w14:textId="0A2C2E34" w:rsidR="003A7A06" w:rsidRPr="00B67D7C" w:rsidRDefault="003A7A06" w:rsidP="003A7A06">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tcPr>
          <w:p w14:paraId="566E0FD4" w14:textId="70950A64" w:rsidR="003A7A06" w:rsidRPr="004C74F0" w:rsidRDefault="00216342" w:rsidP="003A7A06">
            <w:pPr>
              <w:spacing w:after="0" w:line="240" w:lineRule="auto"/>
              <w:rPr>
                <w:rFonts w:ascii="Arial" w:hAnsi="Arial" w:cs="Arial"/>
                <w:color w:val="000000"/>
                <w:sz w:val="18"/>
                <w:szCs w:val="18"/>
                <w:highlight w:val="yellow"/>
              </w:rPr>
            </w:pPr>
            <w:r w:rsidRPr="00216342">
              <w:rPr>
                <w:rFonts w:ascii="Arial" w:hAnsi="Arial" w:cs="Arial"/>
                <w:color w:val="000000"/>
                <w:sz w:val="18"/>
                <w:szCs w:val="18"/>
              </w:rPr>
              <w:lastRenderedPageBreak/>
              <w:t xml:space="preserve">measures the performance of companies that product, generate, transmit or distribute electricity, water or natural gas, and also includes power producers &amp; energy traders </w:t>
            </w:r>
            <w:r w:rsidRPr="00216342">
              <w:rPr>
                <w:rFonts w:ascii="Arial" w:hAnsi="Arial" w:cs="Arial"/>
                <w:color w:val="000000"/>
                <w:sz w:val="18"/>
                <w:szCs w:val="18"/>
              </w:rPr>
              <w:lastRenderedPageBreak/>
              <w:t>and companies that engage in generation and distribution of electricity using renewable sources</w:t>
            </w:r>
            <w:r w:rsidR="004C74F0" w:rsidRPr="004C74F0">
              <w:rPr>
                <w:rFonts w:ascii="Arial" w:hAnsi="Arial" w:cs="Arial"/>
                <w:color w:val="000000"/>
                <w:sz w:val="18"/>
                <w:szCs w:val="18"/>
              </w:rPr>
              <w:t>.</w:t>
            </w:r>
            <w:r w:rsidR="004C74F0" w:rsidRPr="004C74F0">
              <w:rPr>
                <w:rFonts w:ascii="Arial" w:hAnsi="Arial" w:cs="Arial"/>
                <w:color w:val="000000"/>
                <w:sz w:val="18"/>
                <w:szCs w:val="18"/>
                <w:highlight w:val="yellow"/>
              </w:rPr>
              <w:t xml:space="preserve"> </w:t>
            </w:r>
          </w:p>
        </w:tc>
      </w:tr>
      <w:tr w:rsidR="003A7A06" w:rsidRPr="00567CF8" w14:paraId="63536980" w14:textId="77777777" w:rsidTr="00EE41FB">
        <w:trPr>
          <w:trHeight w:val="438"/>
        </w:trPr>
        <w:tc>
          <w:tcPr>
            <w:tcW w:w="1654" w:type="dxa"/>
            <w:tcBorders>
              <w:top w:val="nil"/>
              <w:left w:val="nil"/>
              <w:bottom w:val="nil"/>
              <w:right w:val="nil"/>
            </w:tcBorders>
            <w:shd w:val="clear" w:color="auto" w:fill="auto"/>
            <w:hideMark/>
          </w:tcPr>
          <w:p w14:paraId="540C4448" w14:textId="77777777" w:rsidR="00E05405" w:rsidRDefault="00E05405" w:rsidP="003A7A06">
            <w:pPr>
              <w:spacing w:after="0" w:line="240" w:lineRule="auto"/>
              <w:rPr>
                <w:rFonts w:ascii="Arial" w:hAnsi="Arial" w:cs="Arial"/>
                <w:color w:val="000000"/>
                <w:sz w:val="18"/>
                <w:szCs w:val="18"/>
              </w:rPr>
            </w:pPr>
          </w:p>
          <w:p w14:paraId="3F28862A" w14:textId="464A8059" w:rsidR="003A7A06"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 xml:space="preserve">Sector </w:t>
            </w:r>
            <w:r w:rsidR="003B0F64">
              <w:rPr>
                <w:rFonts w:ascii="Arial" w:hAnsi="Arial" w:cs="Arial"/>
                <w:color w:val="000000"/>
                <w:sz w:val="18"/>
                <w:szCs w:val="18"/>
              </w:rPr>
              <w:t>–</w:t>
            </w:r>
            <w:r w:rsidRPr="00567CF8">
              <w:rPr>
                <w:rFonts w:ascii="Arial" w:hAnsi="Arial" w:cs="Arial"/>
                <w:color w:val="000000"/>
                <w:sz w:val="18"/>
                <w:szCs w:val="18"/>
              </w:rPr>
              <w:t xml:space="preserve"> Energy</w:t>
            </w:r>
          </w:p>
          <w:p w14:paraId="051797CB" w14:textId="77777777" w:rsidR="003B0F64" w:rsidRDefault="003B0F64" w:rsidP="003A7A06">
            <w:pPr>
              <w:spacing w:after="0" w:line="240" w:lineRule="auto"/>
              <w:rPr>
                <w:rFonts w:ascii="Arial" w:hAnsi="Arial" w:cs="Arial"/>
                <w:color w:val="000000"/>
                <w:sz w:val="18"/>
                <w:szCs w:val="18"/>
              </w:rPr>
            </w:pPr>
          </w:p>
          <w:p w14:paraId="73740D36" w14:textId="77777777" w:rsidR="003B0F64" w:rsidRDefault="003B0F64" w:rsidP="003A7A06">
            <w:pPr>
              <w:spacing w:after="0" w:line="240" w:lineRule="auto"/>
              <w:rPr>
                <w:rFonts w:ascii="Arial" w:hAnsi="Arial" w:cs="Arial"/>
                <w:color w:val="000000"/>
                <w:sz w:val="18"/>
                <w:szCs w:val="18"/>
              </w:rPr>
            </w:pPr>
          </w:p>
          <w:tbl>
            <w:tblPr>
              <w:tblW w:w="11860" w:type="dxa"/>
              <w:tblLayout w:type="fixed"/>
              <w:tblLook w:val="04A0" w:firstRow="1" w:lastRow="0" w:firstColumn="1" w:lastColumn="0" w:noHBand="0" w:noVBand="1"/>
            </w:tblPr>
            <w:tblGrid>
              <w:gridCol w:w="1700"/>
              <w:gridCol w:w="2440"/>
              <w:gridCol w:w="7720"/>
            </w:tblGrid>
            <w:tr w:rsidR="003B0F64" w:rsidRPr="003B0F64" w14:paraId="6CB7A17E" w14:textId="77777777" w:rsidTr="003B0F64">
              <w:trPr>
                <w:trHeight w:val="750"/>
              </w:trPr>
              <w:tc>
                <w:tcPr>
                  <w:tcW w:w="1700" w:type="dxa"/>
                  <w:tcBorders>
                    <w:top w:val="nil"/>
                    <w:left w:val="nil"/>
                    <w:bottom w:val="nil"/>
                    <w:right w:val="nil"/>
                  </w:tcBorders>
                  <w:shd w:val="clear" w:color="auto" w:fill="auto"/>
                  <w:hideMark/>
                </w:tcPr>
                <w:p w14:paraId="5439B7F7" w14:textId="77777777" w:rsidR="003B0F64" w:rsidRPr="003B0F64" w:rsidRDefault="003B0F64" w:rsidP="003B0F64">
                  <w:pPr>
                    <w:spacing w:after="0" w:line="240" w:lineRule="auto"/>
                    <w:rPr>
                      <w:rFonts w:ascii="Arial" w:hAnsi="Arial" w:cs="Arial"/>
                      <w:color w:val="000000"/>
                      <w:sz w:val="20"/>
                      <w:szCs w:val="20"/>
                    </w:rPr>
                  </w:pPr>
                  <w:r w:rsidRPr="00005D32">
                    <w:rPr>
                      <w:rFonts w:ascii="Arial" w:hAnsi="Arial" w:cs="Arial"/>
                      <w:color w:val="000000"/>
                      <w:sz w:val="18"/>
                      <w:szCs w:val="20"/>
                    </w:rPr>
                    <w:t>US Municipal</w:t>
                  </w:r>
                </w:p>
              </w:tc>
              <w:tc>
                <w:tcPr>
                  <w:tcW w:w="2440" w:type="dxa"/>
                  <w:tcBorders>
                    <w:top w:val="nil"/>
                    <w:left w:val="nil"/>
                    <w:bottom w:val="nil"/>
                    <w:right w:val="nil"/>
                  </w:tcBorders>
                  <w:shd w:val="clear" w:color="auto" w:fill="auto"/>
                  <w:hideMark/>
                </w:tcPr>
                <w:p w14:paraId="45535CB1" w14:textId="3ECC7505" w:rsidR="003B0F64" w:rsidRPr="003B0F64" w:rsidRDefault="003B0F64" w:rsidP="003B0F64">
                  <w:pPr>
                    <w:spacing w:after="0" w:line="240" w:lineRule="auto"/>
                    <w:rPr>
                      <w:rFonts w:ascii="Arial" w:hAnsi="Arial" w:cs="Arial"/>
                      <w:color w:val="000000"/>
                      <w:sz w:val="20"/>
                      <w:szCs w:val="20"/>
                    </w:rPr>
                  </w:pPr>
                  <w:r w:rsidRPr="003B0F64">
                    <w:rPr>
                      <w:rFonts w:ascii="Arial" w:hAnsi="Arial" w:cs="Arial"/>
                      <w:color w:val="000000"/>
                      <w:sz w:val="20"/>
                      <w:szCs w:val="20"/>
                    </w:rPr>
                    <w:t>Barclays US Municipal</w:t>
                  </w:r>
                </w:p>
              </w:tc>
              <w:tc>
                <w:tcPr>
                  <w:tcW w:w="7720" w:type="dxa"/>
                  <w:tcBorders>
                    <w:top w:val="nil"/>
                    <w:left w:val="nil"/>
                    <w:bottom w:val="nil"/>
                    <w:right w:val="nil"/>
                  </w:tcBorders>
                  <w:shd w:val="clear" w:color="auto" w:fill="auto"/>
                  <w:hideMark/>
                </w:tcPr>
                <w:p w14:paraId="2A17C39A" w14:textId="77777777" w:rsidR="003B0F64" w:rsidRPr="003B0F64" w:rsidRDefault="003B0F64" w:rsidP="003B0F64">
                  <w:pPr>
                    <w:spacing w:after="0" w:line="240" w:lineRule="auto"/>
                    <w:rPr>
                      <w:rFonts w:ascii="Arial" w:hAnsi="Arial" w:cs="Arial"/>
                      <w:color w:val="000000"/>
                      <w:sz w:val="20"/>
                      <w:szCs w:val="20"/>
                    </w:rPr>
                  </w:pPr>
                  <w:r w:rsidRPr="003B0F64">
                    <w:rPr>
                      <w:rFonts w:ascii="Arial" w:hAnsi="Arial" w:cs="Arial"/>
                      <w:color w:val="000000"/>
                      <w:sz w:val="20"/>
                      <w:szCs w:val="20"/>
                    </w:rPr>
                    <w:t>measures the performance of the USD-denominated long-term tax-exempt bond market.  The index has four main sectors:  state and local general obligation bonds, revenue bonds, insured bonds, and pre-refunded bonds.</w:t>
                  </w:r>
                </w:p>
              </w:tc>
            </w:tr>
          </w:tbl>
          <w:p w14:paraId="2E1AF14B" w14:textId="7526FAE5" w:rsidR="003B0F64" w:rsidRPr="00567CF8" w:rsidRDefault="003B0F64" w:rsidP="003A7A06">
            <w:pPr>
              <w:spacing w:after="0" w:line="240" w:lineRule="auto"/>
              <w:rPr>
                <w:rFonts w:ascii="Arial" w:hAnsi="Arial" w:cs="Arial"/>
                <w:color w:val="000000"/>
                <w:sz w:val="18"/>
                <w:szCs w:val="18"/>
              </w:rPr>
            </w:pPr>
          </w:p>
        </w:tc>
        <w:tc>
          <w:tcPr>
            <w:tcW w:w="1929" w:type="dxa"/>
            <w:tcBorders>
              <w:top w:val="nil"/>
              <w:left w:val="nil"/>
              <w:bottom w:val="nil"/>
              <w:right w:val="nil"/>
            </w:tcBorders>
            <w:shd w:val="clear" w:color="auto" w:fill="auto"/>
            <w:hideMark/>
          </w:tcPr>
          <w:p w14:paraId="3E0CD515" w14:textId="77777777" w:rsidR="00E05405" w:rsidRDefault="00E05405" w:rsidP="003A7A06">
            <w:pPr>
              <w:spacing w:after="0" w:line="240" w:lineRule="auto"/>
              <w:rPr>
                <w:rFonts w:ascii="Arial" w:hAnsi="Arial" w:cs="Arial"/>
                <w:color w:val="000000"/>
                <w:sz w:val="18"/>
                <w:szCs w:val="18"/>
              </w:rPr>
            </w:pPr>
          </w:p>
          <w:p w14:paraId="648300E3" w14:textId="77777777" w:rsidR="003A7A06"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S&amp;P 500 Sector Energy</w:t>
            </w:r>
          </w:p>
          <w:p w14:paraId="0D702FFF" w14:textId="77777777" w:rsidR="003B0F64" w:rsidRDefault="003B0F64" w:rsidP="003A7A06">
            <w:pPr>
              <w:spacing w:after="0" w:line="240" w:lineRule="auto"/>
              <w:rPr>
                <w:rFonts w:ascii="Arial" w:hAnsi="Arial" w:cs="Arial"/>
                <w:color w:val="000000"/>
                <w:sz w:val="18"/>
                <w:szCs w:val="18"/>
              </w:rPr>
            </w:pPr>
          </w:p>
          <w:p w14:paraId="5AA796D2" w14:textId="0F500F86" w:rsidR="003B0F64" w:rsidRPr="00567CF8" w:rsidRDefault="003B0F64" w:rsidP="003A7A06">
            <w:pPr>
              <w:spacing w:after="0" w:line="240" w:lineRule="auto"/>
              <w:rPr>
                <w:rFonts w:ascii="Arial" w:hAnsi="Arial" w:cs="Arial"/>
                <w:color w:val="000000"/>
                <w:sz w:val="18"/>
                <w:szCs w:val="18"/>
              </w:rPr>
            </w:pPr>
            <w:r w:rsidRPr="003B0F64">
              <w:rPr>
                <w:rFonts w:ascii="Arial" w:hAnsi="Arial" w:cs="Arial"/>
                <w:color w:val="000000"/>
                <w:sz w:val="18"/>
                <w:szCs w:val="18"/>
              </w:rPr>
              <w:t>Barclays US Municipal</w:t>
            </w:r>
          </w:p>
        </w:tc>
        <w:tc>
          <w:tcPr>
            <w:tcW w:w="7073" w:type="dxa"/>
            <w:tcBorders>
              <w:top w:val="nil"/>
              <w:left w:val="nil"/>
              <w:bottom w:val="nil"/>
              <w:right w:val="nil"/>
            </w:tcBorders>
            <w:shd w:val="clear" w:color="auto" w:fill="auto"/>
            <w:hideMark/>
          </w:tcPr>
          <w:p w14:paraId="6D19A1E2" w14:textId="77777777" w:rsidR="00E05405" w:rsidRDefault="00E05405" w:rsidP="003A7A06">
            <w:pPr>
              <w:spacing w:after="0" w:line="240" w:lineRule="auto"/>
              <w:rPr>
                <w:rFonts w:ascii="Arial" w:hAnsi="Arial" w:cs="Arial"/>
                <w:color w:val="000000"/>
                <w:sz w:val="18"/>
                <w:szCs w:val="18"/>
              </w:rPr>
            </w:pPr>
          </w:p>
          <w:p w14:paraId="3ED476FA" w14:textId="398F4B54" w:rsidR="003A7A06"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companies involved in the development and production of crude oil, natural gas and provide drilling and other energy-related services.</w:t>
            </w:r>
          </w:p>
          <w:p w14:paraId="4949A3D1" w14:textId="291E5BA6" w:rsidR="003B0F64" w:rsidRDefault="003B0F64" w:rsidP="003A7A06">
            <w:pPr>
              <w:spacing w:after="0" w:line="240" w:lineRule="auto"/>
              <w:rPr>
                <w:rFonts w:ascii="Arial" w:hAnsi="Arial" w:cs="Arial"/>
                <w:color w:val="000000"/>
                <w:sz w:val="18"/>
                <w:szCs w:val="18"/>
              </w:rPr>
            </w:pPr>
          </w:p>
          <w:p w14:paraId="0CAEB72A" w14:textId="7E22F52A" w:rsidR="003B0F64" w:rsidRDefault="003B0F64" w:rsidP="003A7A06">
            <w:pPr>
              <w:spacing w:after="0" w:line="240" w:lineRule="auto"/>
              <w:rPr>
                <w:rFonts w:ascii="Arial" w:hAnsi="Arial" w:cs="Arial"/>
                <w:color w:val="000000"/>
                <w:sz w:val="18"/>
                <w:szCs w:val="18"/>
              </w:rPr>
            </w:pPr>
            <w:r w:rsidRPr="003B0F64">
              <w:rPr>
                <w:rFonts w:ascii="Arial" w:hAnsi="Arial" w:cs="Arial"/>
                <w:color w:val="000000"/>
                <w:sz w:val="18"/>
                <w:szCs w:val="18"/>
              </w:rPr>
              <w:t>measures the performance of the USD-denominated long-term tax-exempt bond market.  The index has four main sectors:  state and local general obligation bonds, revenue bonds, insured bonds, and pre-refunded bonds.</w:t>
            </w:r>
          </w:p>
          <w:p w14:paraId="6A51E88D" w14:textId="60EEA8F4" w:rsidR="003A7A06" w:rsidRPr="00567CF8" w:rsidRDefault="003A7A06" w:rsidP="003A7A06">
            <w:pPr>
              <w:spacing w:after="0" w:line="240" w:lineRule="auto"/>
              <w:rPr>
                <w:rFonts w:ascii="Arial" w:hAnsi="Arial" w:cs="Arial"/>
                <w:color w:val="000000"/>
                <w:sz w:val="18"/>
                <w:szCs w:val="18"/>
              </w:rPr>
            </w:pPr>
          </w:p>
        </w:tc>
      </w:tr>
      <w:tr w:rsidR="003A7A06" w:rsidRPr="00567CF8" w14:paraId="7BEE14E7" w14:textId="77777777" w:rsidTr="00EE41FB">
        <w:trPr>
          <w:trHeight w:val="1791"/>
        </w:trPr>
        <w:tc>
          <w:tcPr>
            <w:tcW w:w="10656" w:type="dxa"/>
            <w:gridSpan w:val="3"/>
            <w:tcBorders>
              <w:top w:val="nil"/>
              <w:left w:val="nil"/>
              <w:right w:val="nil"/>
            </w:tcBorders>
            <w:shd w:val="clear" w:color="auto" w:fill="auto"/>
          </w:tcPr>
          <w:tbl>
            <w:tblPr>
              <w:tblW w:w="10440" w:type="dxa"/>
              <w:tblLayout w:type="fixed"/>
              <w:tblLook w:val="04A0" w:firstRow="1" w:lastRow="0" w:firstColumn="1" w:lastColumn="0" w:noHBand="0" w:noVBand="1"/>
            </w:tblPr>
            <w:tblGrid>
              <w:gridCol w:w="1517"/>
              <w:gridCol w:w="1980"/>
              <w:gridCol w:w="6943"/>
            </w:tblGrid>
            <w:tr w:rsidR="003A7A06" w:rsidRPr="00567CF8" w14:paraId="37C5DBC0" w14:textId="77777777" w:rsidTr="006C463E">
              <w:trPr>
                <w:trHeight w:val="636"/>
              </w:trPr>
              <w:tc>
                <w:tcPr>
                  <w:tcW w:w="1517" w:type="dxa"/>
                  <w:tcBorders>
                    <w:top w:val="nil"/>
                    <w:left w:val="nil"/>
                    <w:bottom w:val="nil"/>
                    <w:right w:val="nil"/>
                  </w:tcBorders>
                  <w:shd w:val="clear" w:color="auto" w:fill="auto"/>
                </w:tcPr>
                <w:p w14:paraId="468C2ADD" w14:textId="77777777" w:rsidR="003A7A06" w:rsidRPr="003127F9" w:rsidRDefault="003A7A06" w:rsidP="003A7A06">
                  <w:pPr>
                    <w:spacing w:after="0" w:line="240" w:lineRule="auto"/>
                    <w:rPr>
                      <w:rFonts w:ascii="Arial" w:hAnsi="Arial" w:cs="Arial"/>
                      <w:color w:val="000000"/>
                      <w:sz w:val="18"/>
                      <w:szCs w:val="18"/>
                    </w:rPr>
                  </w:pPr>
                </w:p>
                <w:p w14:paraId="6ECED413" w14:textId="3667C8B9" w:rsidR="003A7A06" w:rsidRPr="003127F9" w:rsidRDefault="003A7A06" w:rsidP="003A7A06">
                  <w:pPr>
                    <w:spacing w:after="0" w:line="240" w:lineRule="auto"/>
                    <w:rPr>
                      <w:rFonts w:ascii="Arial" w:hAnsi="Arial" w:cs="Arial"/>
                      <w:color w:val="000000"/>
                      <w:sz w:val="18"/>
                      <w:szCs w:val="18"/>
                    </w:rPr>
                  </w:pPr>
                  <w:r w:rsidRPr="003127F9">
                    <w:rPr>
                      <w:rFonts w:ascii="Arial" w:hAnsi="Arial" w:cs="Arial"/>
                      <w:color w:val="000000"/>
                      <w:sz w:val="18"/>
                      <w:szCs w:val="18"/>
                    </w:rPr>
                    <w:t>Global Fixed Income</w:t>
                  </w:r>
                </w:p>
              </w:tc>
              <w:tc>
                <w:tcPr>
                  <w:tcW w:w="1980" w:type="dxa"/>
                  <w:tcBorders>
                    <w:top w:val="nil"/>
                    <w:left w:val="nil"/>
                    <w:bottom w:val="nil"/>
                    <w:right w:val="nil"/>
                  </w:tcBorders>
                  <w:shd w:val="clear" w:color="auto" w:fill="auto"/>
                </w:tcPr>
                <w:p w14:paraId="0FAABE2A" w14:textId="77144D84" w:rsidR="003A7A06" w:rsidRPr="003127F9" w:rsidRDefault="003A7A06" w:rsidP="003A7A06">
                  <w:pPr>
                    <w:spacing w:after="0" w:line="240" w:lineRule="auto"/>
                    <w:rPr>
                      <w:rFonts w:ascii="Arial" w:hAnsi="Arial" w:cs="Arial"/>
                      <w:color w:val="000000"/>
                      <w:sz w:val="18"/>
                      <w:szCs w:val="18"/>
                    </w:rPr>
                  </w:pPr>
                </w:p>
                <w:p w14:paraId="244DFC0B" w14:textId="32DB77DA" w:rsidR="003A7A06" w:rsidRPr="003127F9"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Bloomberg</w:t>
                  </w:r>
                  <w:r w:rsidRPr="003127F9">
                    <w:rPr>
                      <w:rFonts w:ascii="Arial" w:hAnsi="Arial" w:cs="Arial"/>
                      <w:color w:val="000000"/>
                      <w:sz w:val="18"/>
                      <w:szCs w:val="18"/>
                    </w:rPr>
                    <w:t xml:space="preserve"> Barclays Global Aggregate</w:t>
                  </w:r>
                </w:p>
              </w:tc>
              <w:tc>
                <w:tcPr>
                  <w:tcW w:w="6943" w:type="dxa"/>
                  <w:tcBorders>
                    <w:top w:val="nil"/>
                    <w:left w:val="nil"/>
                    <w:bottom w:val="nil"/>
                    <w:right w:val="nil"/>
                  </w:tcBorders>
                  <w:shd w:val="clear" w:color="auto" w:fill="auto"/>
                </w:tcPr>
                <w:p w14:paraId="51360ED6" w14:textId="45ED596B" w:rsidR="003A7A06" w:rsidRPr="00567CF8" w:rsidRDefault="003A7A06" w:rsidP="003A7A06">
                  <w:pPr>
                    <w:spacing w:after="0" w:line="240" w:lineRule="auto"/>
                    <w:rPr>
                      <w:rFonts w:ascii="Arial" w:hAnsi="Arial" w:cs="Arial"/>
                      <w:color w:val="000000"/>
                      <w:sz w:val="18"/>
                      <w:szCs w:val="18"/>
                    </w:rPr>
                  </w:pPr>
                </w:p>
                <w:p w14:paraId="2C6D0FE4" w14:textId="77777777" w:rsidR="003A7A06"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global, investment-grade debt from 24 local currency markets.  This benchmark includes treasury, government-related, corporate and securitized fixed-rate bonds from both developed and emerging markets issuers</w:t>
                  </w:r>
                  <w:r>
                    <w:rPr>
                      <w:rFonts w:ascii="Arial" w:hAnsi="Arial" w:cs="Arial"/>
                      <w:color w:val="000000"/>
                      <w:sz w:val="18"/>
                      <w:szCs w:val="18"/>
                    </w:rPr>
                    <w:t>.</w:t>
                  </w:r>
                </w:p>
                <w:p w14:paraId="2CF1152B" w14:textId="77E52298" w:rsidR="003A7A06" w:rsidRPr="00567CF8" w:rsidRDefault="003A7A06" w:rsidP="003A7A06">
                  <w:pPr>
                    <w:spacing w:after="0" w:line="240" w:lineRule="auto"/>
                    <w:rPr>
                      <w:rFonts w:ascii="Arial" w:hAnsi="Arial" w:cs="Arial"/>
                      <w:color w:val="000000"/>
                      <w:sz w:val="18"/>
                      <w:szCs w:val="18"/>
                    </w:rPr>
                  </w:pPr>
                </w:p>
              </w:tc>
            </w:tr>
            <w:tr w:rsidR="003A7A06" w:rsidRPr="00567CF8" w14:paraId="46D074A2" w14:textId="77777777" w:rsidTr="006C463E">
              <w:trPr>
                <w:trHeight w:val="780"/>
              </w:trPr>
              <w:tc>
                <w:tcPr>
                  <w:tcW w:w="1517" w:type="dxa"/>
                  <w:tcBorders>
                    <w:top w:val="nil"/>
                    <w:left w:val="nil"/>
                    <w:bottom w:val="nil"/>
                    <w:right w:val="nil"/>
                  </w:tcBorders>
                  <w:shd w:val="clear" w:color="auto" w:fill="auto"/>
                </w:tcPr>
                <w:p w14:paraId="14F9A8D4" w14:textId="623FACF5"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US Fixed Income</w:t>
                  </w:r>
                </w:p>
              </w:tc>
              <w:tc>
                <w:tcPr>
                  <w:tcW w:w="1980" w:type="dxa"/>
                  <w:tcBorders>
                    <w:top w:val="nil"/>
                    <w:left w:val="nil"/>
                    <w:bottom w:val="nil"/>
                    <w:right w:val="nil"/>
                  </w:tcBorders>
                  <w:shd w:val="clear" w:color="auto" w:fill="auto"/>
                </w:tcPr>
                <w:p w14:paraId="48CE82AA" w14:textId="591CDC52"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Bloomberg Barclays US Aggregate</w:t>
                  </w:r>
                </w:p>
              </w:tc>
              <w:tc>
                <w:tcPr>
                  <w:tcW w:w="6943" w:type="dxa"/>
                  <w:tcBorders>
                    <w:top w:val="nil"/>
                    <w:left w:val="nil"/>
                    <w:bottom w:val="nil"/>
                    <w:right w:val="nil"/>
                  </w:tcBorders>
                  <w:shd w:val="clear" w:color="auto" w:fill="auto"/>
                </w:tcPr>
                <w:p w14:paraId="3D758CAA" w14:textId="77777777"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measures the performance of USD-denominated, non-investment-grade, fixed-rate taxable corporate bonds. "High-yield" securities have the middle rating from Moody's, Fitch or S&amp;P of Ba1/BB+/BB+ or below.  Index excludes emerging market debt.</w:t>
                  </w:r>
                </w:p>
                <w:p w14:paraId="35778FB2" w14:textId="4E11FB85" w:rsidR="003A7A06" w:rsidRPr="006C7478" w:rsidRDefault="003A7A06" w:rsidP="003A7A06">
                  <w:pPr>
                    <w:spacing w:after="0" w:line="240" w:lineRule="auto"/>
                    <w:rPr>
                      <w:rFonts w:ascii="Arial" w:hAnsi="Arial" w:cs="Arial"/>
                      <w:color w:val="000000"/>
                      <w:sz w:val="18"/>
                      <w:szCs w:val="18"/>
                      <w:highlight w:val="yellow"/>
                    </w:rPr>
                  </w:pPr>
                </w:p>
              </w:tc>
            </w:tr>
            <w:tr w:rsidR="003A7A06" w:rsidRPr="00567CF8" w14:paraId="3CB26B11" w14:textId="77777777" w:rsidTr="006C463E">
              <w:trPr>
                <w:trHeight w:val="780"/>
              </w:trPr>
              <w:tc>
                <w:tcPr>
                  <w:tcW w:w="1517" w:type="dxa"/>
                  <w:tcBorders>
                    <w:top w:val="nil"/>
                    <w:left w:val="nil"/>
                    <w:bottom w:val="nil"/>
                    <w:right w:val="nil"/>
                  </w:tcBorders>
                  <w:shd w:val="clear" w:color="auto" w:fill="auto"/>
                </w:tcPr>
                <w:p w14:paraId="123DDB3A" w14:textId="43999EE8"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US High Yield Corporate Credit</w:t>
                  </w:r>
                </w:p>
              </w:tc>
              <w:tc>
                <w:tcPr>
                  <w:tcW w:w="1980" w:type="dxa"/>
                  <w:tcBorders>
                    <w:top w:val="nil"/>
                    <w:left w:val="nil"/>
                    <w:bottom w:val="nil"/>
                    <w:right w:val="nil"/>
                  </w:tcBorders>
                  <w:shd w:val="clear" w:color="auto" w:fill="auto"/>
                </w:tcPr>
                <w:p w14:paraId="6A0FFF02" w14:textId="0FDF145F"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Bloomberg Barclays Corporate High Yield</w:t>
                  </w:r>
                </w:p>
              </w:tc>
              <w:tc>
                <w:tcPr>
                  <w:tcW w:w="6943" w:type="dxa"/>
                  <w:tcBorders>
                    <w:top w:val="nil"/>
                    <w:left w:val="nil"/>
                    <w:bottom w:val="nil"/>
                    <w:right w:val="nil"/>
                  </w:tcBorders>
                  <w:shd w:val="clear" w:color="auto" w:fill="auto"/>
                </w:tcPr>
                <w:p w14:paraId="78009896" w14:textId="77777777" w:rsidR="003A7A06" w:rsidRPr="00B67D7C" w:rsidRDefault="003A7A06" w:rsidP="003A7A06">
                  <w:pPr>
                    <w:spacing w:after="0" w:line="240" w:lineRule="auto"/>
                    <w:rPr>
                      <w:rFonts w:ascii="Arial" w:hAnsi="Arial" w:cs="Arial"/>
                      <w:color w:val="000000"/>
                      <w:sz w:val="18"/>
                      <w:szCs w:val="20"/>
                    </w:rPr>
                  </w:pPr>
                  <w:r w:rsidRPr="00B67D7C">
                    <w:rPr>
                      <w:rFonts w:ascii="Arial" w:hAnsi="Arial" w:cs="Arial"/>
                      <w:color w:val="000000"/>
                      <w:sz w:val="18"/>
                      <w:szCs w:val="20"/>
                    </w:rPr>
                    <w:t>measures the performance of the investment-grade, fixed-rate, taxable corporate bond market. Includes USD-denominated securities publicly issued by US and non-US industrial, utility and financial issuers that meet specified maturity, liquidity and quality requirements.</w:t>
                  </w:r>
                </w:p>
                <w:p w14:paraId="02B6DFC0" w14:textId="22EAF31D" w:rsidR="003A7A06" w:rsidRPr="006C208B" w:rsidRDefault="003A7A06" w:rsidP="003A7A06">
                  <w:pPr>
                    <w:spacing w:after="0" w:line="240" w:lineRule="auto"/>
                    <w:rPr>
                      <w:rFonts w:ascii="Arial" w:hAnsi="Arial" w:cs="Arial"/>
                      <w:color w:val="000000"/>
                      <w:sz w:val="18"/>
                      <w:szCs w:val="18"/>
                      <w:highlight w:val="yellow"/>
                    </w:rPr>
                  </w:pPr>
                </w:p>
              </w:tc>
            </w:tr>
            <w:tr w:rsidR="003A7A06" w:rsidRPr="00567CF8" w14:paraId="62D76522" w14:textId="77777777" w:rsidTr="006C463E">
              <w:trPr>
                <w:trHeight w:val="780"/>
              </w:trPr>
              <w:tc>
                <w:tcPr>
                  <w:tcW w:w="1517" w:type="dxa"/>
                  <w:tcBorders>
                    <w:top w:val="nil"/>
                    <w:left w:val="nil"/>
                    <w:bottom w:val="nil"/>
                    <w:right w:val="nil"/>
                  </w:tcBorders>
                  <w:shd w:val="clear" w:color="auto" w:fill="auto"/>
                </w:tcPr>
                <w:p w14:paraId="23C24C5D" w14:textId="439C632F"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US Long Treasuries</w:t>
                  </w:r>
                </w:p>
              </w:tc>
              <w:tc>
                <w:tcPr>
                  <w:tcW w:w="1980" w:type="dxa"/>
                  <w:tcBorders>
                    <w:top w:val="nil"/>
                    <w:left w:val="nil"/>
                    <w:bottom w:val="nil"/>
                    <w:right w:val="nil"/>
                  </w:tcBorders>
                  <w:shd w:val="clear" w:color="auto" w:fill="auto"/>
                </w:tcPr>
                <w:p w14:paraId="6FF84674" w14:textId="53F0A27C"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Bloomberg Barclays US Treasury Long</w:t>
                  </w:r>
                </w:p>
              </w:tc>
              <w:tc>
                <w:tcPr>
                  <w:tcW w:w="6943" w:type="dxa"/>
                  <w:tcBorders>
                    <w:top w:val="nil"/>
                    <w:left w:val="nil"/>
                    <w:bottom w:val="nil"/>
                    <w:right w:val="nil"/>
                  </w:tcBorders>
                  <w:shd w:val="clear" w:color="auto" w:fill="auto"/>
                </w:tcPr>
                <w:p w14:paraId="6E4A9B5A" w14:textId="77777777" w:rsidR="003A7A06" w:rsidRPr="00B67D7C" w:rsidRDefault="003A7A06" w:rsidP="003A7A06">
                  <w:pPr>
                    <w:spacing w:after="0" w:line="240" w:lineRule="auto"/>
                    <w:rPr>
                      <w:rFonts w:ascii="Arial" w:hAnsi="Arial" w:cs="Arial"/>
                      <w:color w:val="000000"/>
                      <w:sz w:val="18"/>
                      <w:szCs w:val="20"/>
                    </w:rPr>
                  </w:pPr>
                  <w:r w:rsidRPr="00B67D7C">
                    <w:rPr>
                      <w:rFonts w:ascii="Arial" w:hAnsi="Arial" w:cs="Arial"/>
                      <w:color w:val="000000"/>
                      <w:sz w:val="18"/>
                      <w:szCs w:val="20"/>
                    </w:rPr>
                    <w:t>measures the performance of US Treasury and US Agency markets.  The index includes USD-denominated fixed-rate, nominal US Treasuries and US agency debentures (securities issued by the US government-owned or sponsored entities), and explicitly guaranteed by the US government.</w:t>
                  </w:r>
                </w:p>
                <w:p w14:paraId="22B3B299" w14:textId="2A7D5230" w:rsidR="003A7A06" w:rsidRPr="006C208B" w:rsidRDefault="003A7A06" w:rsidP="003A7A06">
                  <w:pPr>
                    <w:spacing w:after="0" w:line="240" w:lineRule="auto"/>
                    <w:rPr>
                      <w:rFonts w:ascii="Arial" w:hAnsi="Arial" w:cs="Arial"/>
                      <w:color w:val="000000"/>
                      <w:sz w:val="18"/>
                      <w:szCs w:val="18"/>
                      <w:highlight w:val="yellow"/>
                    </w:rPr>
                  </w:pPr>
                </w:p>
              </w:tc>
            </w:tr>
            <w:tr w:rsidR="003A7A06" w:rsidRPr="00567CF8" w14:paraId="5EB239BF" w14:textId="77777777" w:rsidTr="006C463E">
              <w:trPr>
                <w:trHeight w:val="780"/>
              </w:trPr>
              <w:tc>
                <w:tcPr>
                  <w:tcW w:w="1517" w:type="dxa"/>
                  <w:tcBorders>
                    <w:top w:val="nil"/>
                    <w:left w:val="nil"/>
                    <w:bottom w:val="nil"/>
                    <w:right w:val="nil"/>
                  </w:tcBorders>
                  <w:shd w:val="clear" w:color="auto" w:fill="auto"/>
                </w:tcPr>
                <w:p w14:paraId="3C8C3961" w14:textId="77777777" w:rsidR="003A7A06" w:rsidRPr="003127F9" w:rsidRDefault="003A7A06" w:rsidP="003A7A06">
                  <w:pPr>
                    <w:spacing w:after="0" w:line="240" w:lineRule="auto"/>
                    <w:rPr>
                      <w:rFonts w:ascii="Arial" w:hAnsi="Arial" w:cs="Arial"/>
                      <w:color w:val="000000"/>
                      <w:sz w:val="18"/>
                      <w:szCs w:val="18"/>
                    </w:rPr>
                  </w:pPr>
                  <w:r w:rsidRPr="003127F9">
                    <w:rPr>
                      <w:rFonts w:ascii="Arial" w:hAnsi="Arial" w:cs="Arial"/>
                      <w:color w:val="000000"/>
                      <w:sz w:val="18"/>
                      <w:szCs w:val="18"/>
                    </w:rPr>
                    <w:t>Emerging Markets Fixed Income</w:t>
                  </w:r>
                </w:p>
              </w:tc>
              <w:tc>
                <w:tcPr>
                  <w:tcW w:w="1980" w:type="dxa"/>
                  <w:tcBorders>
                    <w:top w:val="nil"/>
                    <w:left w:val="nil"/>
                    <w:bottom w:val="nil"/>
                    <w:right w:val="nil"/>
                  </w:tcBorders>
                  <w:shd w:val="clear" w:color="auto" w:fill="auto"/>
                </w:tcPr>
                <w:p w14:paraId="6A8215E7" w14:textId="06F6C310" w:rsidR="003A7A06" w:rsidRPr="003127F9"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Bloomberg</w:t>
                  </w:r>
                  <w:r w:rsidRPr="003127F9">
                    <w:rPr>
                      <w:rFonts w:ascii="Arial" w:hAnsi="Arial" w:cs="Arial"/>
                      <w:color w:val="000000"/>
                      <w:sz w:val="18"/>
                      <w:szCs w:val="18"/>
                    </w:rPr>
                    <w:t xml:space="preserve"> Barclays Emerging Markets USD Aggregate</w:t>
                  </w:r>
                </w:p>
              </w:tc>
              <w:tc>
                <w:tcPr>
                  <w:tcW w:w="6943" w:type="dxa"/>
                  <w:tcBorders>
                    <w:top w:val="nil"/>
                    <w:left w:val="nil"/>
                    <w:bottom w:val="nil"/>
                    <w:right w:val="nil"/>
                  </w:tcBorders>
                  <w:shd w:val="clear" w:color="auto" w:fill="auto"/>
                </w:tcPr>
                <w:p w14:paraId="1B8F2CB1"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hard-currency emerging markets debt including fixed and floating-rate USD-denominated debt issued from sovereign, quasi-sovereign, and corporate emerging markets debt.  </w:t>
                  </w:r>
                </w:p>
              </w:tc>
            </w:tr>
            <w:tr w:rsidR="003A7A06" w:rsidRPr="00567CF8" w14:paraId="47279D76" w14:textId="77777777" w:rsidTr="006C463E">
              <w:trPr>
                <w:trHeight w:val="780"/>
              </w:trPr>
              <w:tc>
                <w:tcPr>
                  <w:tcW w:w="1517" w:type="dxa"/>
                  <w:tcBorders>
                    <w:top w:val="nil"/>
                    <w:left w:val="nil"/>
                    <w:bottom w:val="nil"/>
                    <w:right w:val="nil"/>
                  </w:tcBorders>
                  <w:shd w:val="clear" w:color="auto" w:fill="auto"/>
                </w:tcPr>
                <w:p w14:paraId="765E3E1C"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International Fixed Income</w:t>
                  </w:r>
                </w:p>
              </w:tc>
              <w:tc>
                <w:tcPr>
                  <w:tcW w:w="1980" w:type="dxa"/>
                  <w:tcBorders>
                    <w:top w:val="nil"/>
                    <w:left w:val="nil"/>
                    <w:bottom w:val="nil"/>
                    <w:right w:val="nil"/>
                  </w:tcBorders>
                  <w:shd w:val="clear" w:color="auto" w:fill="auto"/>
                </w:tcPr>
                <w:p w14:paraId="18819D54"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Bloomberg Barclays Global Aggregate ex-USD</w:t>
                  </w:r>
                </w:p>
              </w:tc>
              <w:tc>
                <w:tcPr>
                  <w:tcW w:w="6943" w:type="dxa"/>
                  <w:tcBorders>
                    <w:top w:val="nil"/>
                    <w:left w:val="nil"/>
                    <w:bottom w:val="nil"/>
                    <w:right w:val="nil"/>
                  </w:tcBorders>
                  <w:shd w:val="clear" w:color="auto" w:fill="auto"/>
                </w:tcPr>
                <w:p w14:paraId="3F7D5B62"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investment-grade debt from 24 local currency markets.  This multi-currency index includes treasury, government-related, corporate and securitized fixed-rate bonds from both developed and emerging markets issuers.  It excludes bonds issued in USD.</w:t>
                  </w:r>
                </w:p>
              </w:tc>
            </w:tr>
            <w:tr w:rsidR="003A7A06" w:rsidRPr="00567CF8" w14:paraId="40B597AD" w14:textId="77777777" w:rsidTr="006C463E">
              <w:trPr>
                <w:trHeight w:val="537"/>
              </w:trPr>
              <w:tc>
                <w:tcPr>
                  <w:tcW w:w="1517" w:type="dxa"/>
                  <w:tcBorders>
                    <w:top w:val="nil"/>
                    <w:left w:val="nil"/>
                    <w:bottom w:val="nil"/>
                    <w:right w:val="nil"/>
                  </w:tcBorders>
                  <w:shd w:val="clear" w:color="auto" w:fill="auto"/>
                </w:tcPr>
                <w:p w14:paraId="55D0900F"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Commodities</w:t>
                  </w:r>
                </w:p>
              </w:tc>
              <w:tc>
                <w:tcPr>
                  <w:tcW w:w="1980" w:type="dxa"/>
                  <w:tcBorders>
                    <w:top w:val="nil"/>
                    <w:left w:val="nil"/>
                    <w:bottom w:val="nil"/>
                    <w:right w:val="nil"/>
                  </w:tcBorders>
                  <w:shd w:val="clear" w:color="auto" w:fill="auto"/>
                </w:tcPr>
                <w:p w14:paraId="3D336145"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 xml:space="preserve">Bloomberg Commodity </w:t>
                  </w:r>
                </w:p>
              </w:tc>
              <w:tc>
                <w:tcPr>
                  <w:tcW w:w="6943" w:type="dxa"/>
                  <w:tcBorders>
                    <w:top w:val="nil"/>
                    <w:left w:val="nil"/>
                    <w:bottom w:val="nil"/>
                    <w:right w:val="nil"/>
                  </w:tcBorders>
                  <w:shd w:val="clear" w:color="auto" w:fill="auto"/>
                </w:tcPr>
                <w:p w14:paraId="77277B64"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a broadly diversified exposure to physical commodities via futures contracts.  </w:t>
                  </w:r>
                </w:p>
              </w:tc>
            </w:tr>
            <w:tr w:rsidR="003A7A06" w:rsidRPr="00567CF8" w14:paraId="2BC2C05A" w14:textId="77777777" w:rsidTr="006C463E">
              <w:trPr>
                <w:trHeight w:val="447"/>
              </w:trPr>
              <w:tc>
                <w:tcPr>
                  <w:tcW w:w="1517" w:type="dxa"/>
                  <w:tcBorders>
                    <w:top w:val="nil"/>
                    <w:left w:val="nil"/>
                    <w:bottom w:val="nil"/>
                    <w:right w:val="nil"/>
                  </w:tcBorders>
                  <w:shd w:val="clear" w:color="auto" w:fill="auto"/>
                </w:tcPr>
                <w:p w14:paraId="11889481" w14:textId="49A7ECFC"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Gold</w:t>
                  </w:r>
                </w:p>
              </w:tc>
              <w:tc>
                <w:tcPr>
                  <w:tcW w:w="1980" w:type="dxa"/>
                  <w:tcBorders>
                    <w:top w:val="nil"/>
                    <w:left w:val="nil"/>
                    <w:bottom w:val="nil"/>
                    <w:right w:val="nil"/>
                  </w:tcBorders>
                  <w:shd w:val="clear" w:color="auto" w:fill="auto"/>
                </w:tcPr>
                <w:p w14:paraId="3FB5C55F"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Bloomberg Sub Gold</w:t>
                  </w:r>
                </w:p>
              </w:tc>
              <w:tc>
                <w:tcPr>
                  <w:tcW w:w="6943" w:type="dxa"/>
                  <w:tcBorders>
                    <w:top w:val="nil"/>
                    <w:left w:val="nil"/>
                    <w:bottom w:val="nil"/>
                    <w:right w:val="nil"/>
                  </w:tcBorders>
                  <w:shd w:val="clear" w:color="auto" w:fill="auto"/>
                </w:tcPr>
                <w:p w14:paraId="3B61A34E"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futures contract on Gold and is quoted in USD.</w:t>
                  </w:r>
                </w:p>
              </w:tc>
            </w:tr>
            <w:tr w:rsidR="003A7A06" w:rsidRPr="00567CF8" w14:paraId="03B6F7B3" w14:textId="77777777" w:rsidTr="006C463E">
              <w:trPr>
                <w:trHeight w:val="1014"/>
              </w:trPr>
              <w:tc>
                <w:tcPr>
                  <w:tcW w:w="1517" w:type="dxa"/>
                  <w:tcBorders>
                    <w:top w:val="nil"/>
                    <w:left w:val="nil"/>
                    <w:bottom w:val="nil"/>
                    <w:right w:val="nil"/>
                  </w:tcBorders>
                  <w:shd w:val="clear" w:color="auto" w:fill="auto"/>
                </w:tcPr>
                <w:p w14:paraId="695A0E71" w14:textId="67C264BC"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US REIT</w:t>
                  </w:r>
                </w:p>
              </w:tc>
              <w:tc>
                <w:tcPr>
                  <w:tcW w:w="1980" w:type="dxa"/>
                  <w:tcBorders>
                    <w:top w:val="nil"/>
                    <w:left w:val="nil"/>
                    <w:bottom w:val="nil"/>
                    <w:right w:val="nil"/>
                  </w:tcBorders>
                  <w:shd w:val="clear" w:color="auto" w:fill="auto"/>
                </w:tcPr>
                <w:p w14:paraId="3EE8E569" w14:textId="17683796"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 xml:space="preserve">FTSE NAREIT All Equity REITs </w:t>
                  </w:r>
                </w:p>
              </w:tc>
              <w:tc>
                <w:tcPr>
                  <w:tcW w:w="6943" w:type="dxa"/>
                  <w:tcBorders>
                    <w:top w:val="nil"/>
                    <w:left w:val="nil"/>
                    <w:bottom w:val="nil"/>
                    <w:right w:val="nil"/>
                  </w:tcBorders>
                  <w:shd w:val="clear" w:color="auto" w:fill="auto"/>
                </w:tcPr>
                <w:p w14:paraId="4DB477CC" w14:textId="15B951D7" w:rsidR="00930F1A" w:rsidRDefault="003A7A06" w:rsidP="00B85A78">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p w14:paraId="7306AE37" w14:textId="77777777" w:rsidR="00930F1A" w:rsidRDefault="00930F1A" w:rsidP="003A7A06">
                  <w:pPr>
                    <w:spacing w:after="0" w:line="240" w:lineRule="auto"/>
                    <w:rPr>
                      <w:rFonts w:ascii="Arial" w:hAnsi="Arial" w:cs="Arial"/>
                      <w:color w:val="000000"/>
                      <w:sz w:val="18"/>
                      <w:szCs w:val="18"/>
                    </w:rPr>
                  </w:pPr>
                </w:p>
                <w:p w14:paraId="1E516D96" w14:textId="77777777" w:rsidR="00930F1A" w:rsidRDefault="00930F1A" w:rsidP="003A7A06">
                  <w:pPr>
                    <w:spacing w:after="0" w:line="240" w:lineRule="auto"/>
                    <w:rPr>
                      <w:rFonts w:ascii="Arial" w:hAnsi="Arial" w:cs="Arial"/>
                      <w:color w:val="000000"/>
                      <w:sz w:val="18"/>
                      <w:szCs w:val="18"/>
                    </w:rPr>
                  </w:pPr>
                </w:p>
                <w:p w14:paraId="6E5106CA" w14:textId="77777777" w:rsidR="00B85A78" w:rsidRDefault="00B85A78" w:rsidP="003A7A06">
                  <w:pPr>
                    <w:spacing w:after="0" w:line="240" w:lineRule="auto"/>
                    <w:rPr>
                      <w:rFonts w:ascii="Arial" w:hAnsi="Arial" w:cs="Arial"/>
                      <w:color w:val="000000"/>
                      <w:sz w:val="18"/>
                      <w:szCs w:val="18"/>
                    </w:rPr>
                  </w:pPr>
                </w:p>
                <w:p w14:paraId="4C5F131B" w14:textId="77777777" w:rsidR="00B85A78" w:rsidRDefault="00B85A78" w:rsidP="003A7A06">
                  <w:pPr>
                    <w:spacing w:after="0" w:line="240" w:lineRule="auto"/>
                    <w:rPr>
                      <w:rFonts w:ascii="Arial" w:hAnsi="Arial" w:cs="Arial"/>
                      <w:color w:val="000000"/>
                      <w:sz w:val="18"/>
                      <w:szCs w:val="18"/>
                    </w:rPr>
                  </w:pPr>
                </w:p>
                <w:p w14:paraId="49F34B72" w14:textId="77777777" w:rsidR="00B85A78" w:rsidRDefault="00B85A78" w:rsidP="003A7A06">
                  <w:pPr>
                    <w:spacing w:after="0" w:line="240" w:lineRule="auto"/>
                    <w:rPr>
                      <w:rFonts w:ascii="Arial" w:hAnsi="Arial" w:cs="Arial"/>
                      <w:color w:val="000000"/>
                      <w:sz w:val="18"/>
                      <w:szCs w:val="18"/>
                    </w:rPr>
                  </w:pPr>
                </w:p>
                <w:p w14:paraId="0B9B70DB" w14:textId="77777777" w:rsidR="00B85A78" w:rsidRDefault="00B85A78" w:rsidP="003A7A06">
                  <w:pPr>
                    <w:spacing w:after="0" w:line="240" w:lineRule="auto"/>
                    <w:rPr>
                      <w:rFonts w:ascii="Arial" w:hAnsi="Arial" w:cs="Arial"/>
                      <w:color w:val="000000"/>
                      <w:sz w:val="18"/>
                      <w:szCs w:val="18"/>
                    </w:rPr>
                  </w:pPr>
                </w:p>
                <w:p w14:paraId="2B276AE9" w14:textId="77777777" w:rsidR="00B85A78" w:rsidRDefault="00B85A78" w:rsidP="003A7A06">
                  <w:pPr>
                    <w:spacing w:after="0" w:line="240" w:lineRule="auto"/>
                    <w:rPr>
                      <w:rFonts w:ascii="Arial" w:hAnsi="Arial" w:cs="Arial"/>
                      <w:color w:val="000000"/>
                      <w:sz w:val="18"/>
                      <w:szCs w:val="18"/>
                    </w:rPr>
                  </w:pPr>
                </w:p>
                <w:p w14:paraId="1EC3CE67" w14:textId="77777777" w:rsidR="00B85A78" w:rsidRDefault="00B85A78" w:rsidP="003A7A06">
                  <w:pPr>
                    <w:spacing w:after="0" w:line="240" w:lineRule="auto"/>
                    <w:rPr>
                      <w:rFonts w:ascii="Arial" w:hAnsi="Arial" w:cs="Arial"/>
                      <w:color w:val="000000"/>
                      <w:sz w:val="18"/>
                      <w:szCs w:val="18"/>
                    </w:rPr>
                  </w:pPr>
                </w:p>
                <w:p w14:paraId="09B0C198" w14:textId="77777777" w:rsidR="00B85A78" w:rsidRDefault="00B85A78" w:rsidP="003A7A06">
                  <w:pPr>
                    <w:spacing w:after="0" w:line="240" w:lineRule="auto"/>
                    <w:rPr>
                      <w:rFonts w:ascii="Arial" w:hAnsi="Arial" w:cs="Arial"/>
                      <w:color w:val="000000"/>
                      <w:sz w:val="18"/>
                      <w:szCs w:val="18"/>
                    </w:rPr>
                  </w:pPr>
                </w:p>
                <w:p w14:paraId="51F8B587" w14:textId="77777777" w:rsidR="00B85A78" w:rsidRDefault="00B85A78" w:rsidP="003A7A06">
                  <w:pPr>
                    <w:spacing w:after="0" w:line="240" w:lineRule="auto"/>
                    <w:rPr>
                      <w:rFonts w:ascii="Arial" w:hAnsi="Arial" w:cs="Arial"/>
                      <w:color w:val="000000"/>
                      <w:sz w:val="18"/>
                      <w:szCs w:val="18"/>
                    </w:rPr>
                  </w:pPr>
                </w:p>
                <w:p w14:paraId="6667F5DF" w14:textId="77777777" w:rsidR="00B85A78" w:rsidRDefault="00B85A78" w:rsidP="003A7A06">
                  <w:pPr>
                    <w:spacing w:after="0" w:line="240" w:lineRule="auto"/>
                    <w:rPr>
                      <w:rFonts w:ascii="Arial" w:hAnsi="Arial" w:cs="Arial"/>
                      <w:color w:val="000000"/>
                      <w:sz w:val="18"/>
                      <w:szCs w:val="18"/>
                    </w:rPr>
                  </w:pPr>
                </w:p>
                <w:p w14:paraId="4F492330" w14:textId="77777777" w:rsidR="00B85A78" w:rsidRDefault="00B85A78" w:rsidP="003A7A06">
                  <w:pPr>
                    <w:spacing w:after="0" w:line="240" w:lineRule="auto"/>
                    <w:rPr>
                      <w:rFonts w:ascii="Arial" w:hAnsi="Arial" w:cs="Arial"/>
                      <w:color w:val="000000"/>
                      <w:sz w:val="18"/>
                      <w:szCs w:val="18"/>
                    </w:rPr>
                  </w:pPr>
                </w:p>
                <w:p w14:paraId="4A5E4BC5" w14:textId="77777777" w:rsidR="00B85A78" w:rsidRDefault="00B85A78" w:rsidP="003A7A06">
                  <w:pPr>
                    <w:spacing w:after="0" w:line="240" w:lineRule="auto"/>
                    <w:rPr>
                      <w:rFonts w:ascii="Arial" w:hAnsi="Arial" w:cs="Arial"/>
                      <w:color w:val="000000"/>
                      <w:sz w:val="18"/>
                      <w:szCs w:val="18"/>
                    </w:rPr>
                  </w:pPr>
                </w:p>
                <w:p w14:paraId="3BF6F6F3" w14:textId="77777777" w:rsidR="00B85A78" w:rsidRDefault="00B85A78" w:rsidP="003A7A06">
                  <w:pPr>
                    <w:spacing w:after="0" w:line="240" w:lineRule="auto"/>
                    <w:rPr>
                      <w:rFonts w:ascii="Arial" w:hAnsi="Arial" w:cs="Arial"/>
                      <w:color w:val="000000"/>
                      <w:sz w:val="18"/>
                      <w:szCs w:val="18"/>
                    </w:rPr>
                  </w:pPr>
                </w:p>
                <w:p w14:paraId="404916EA" w14:textId="77777777" w:rsidR="00B85A78" w:rsidRDefault="00B85A78" w:rsidP="003A7A06">
                  <w:pPr>
                    <w:spacing w:after="0" w:line="240" w:lineRule="auto"/>
                    <w:rPr>
                      <w:rFonts w:ascii="Arial" w:hAnsi="Arial" w:cs="Arial"/>
                      <w:color w:val="000000"/>
                      <w:sz w:val="18"/>
                      <w:szCs w:val="18"/>
                    </w:rPr>
                  </w:pPr>
                </w:p>
                <w:p w14:paraId="6EFD7501" w14:textId="77777777" w:rsidR="00B85A78" w:rsidRDefault="00B85A78" w:rsidP="003A7A06">
                  <w:pPr>
                    <w:spacing w:after="0" w:line="240" w:lineRule="auto"/>
                    <w:rPr>
                      <w:rFonts w:ascii="Arial" w:hAnsi="Arial" w:cs="Arial"/>
                      <w:color w:val="000000"/>
                      <w:sz w:val="18"/>
                      <w:szCs w:val="18"/>
                    </w:rPr>
                  </w:pPr>
                </w:p>
                <w:p w14:paraId="7017CCA1" w14:textId="77777777" w:rsidR="00B85A78" w:rsidRDefault="00B85A78" w:rsidP="003A7A06">
                  <w:pPr>
                    <w:spacing w:after="0" w:line="240" w:lineRule="auto"/>
                    <w:rPr>
                      <w:rFonts w:ascii="Arial" w:hAnsi="Arial" w:cs="Arial"/>
                      <w:color w:val="000000"/>
                      <w:sz w:val="18"/>
                      <w:szCs w:val="18"/>
                    </w:rPr>
                  </w:pPr>
                </w:p>
                <w:p w14:paraId="4175D238" w14:textId="77777777" w:rsidR="00B85A78" w:rsidRDefault="00B85A78" w:rsidP="003A7A06">
                  <w:pPr>
                    <w:spacing w:after="0" w:line="240" w:lineRule="auto"/>
                    <w:rPr>
                      <w:rFonts w:ascii="Arial" w:hAnsi="Arial" w:cs="Arial"/>
                      <w:color w:val="000000"/>
                      <w:sz w:val="18"/>
                      <w:szCs w:val="18"/>
                    </w:rPr>
                  </w:pPr>
                </w:p>
                <w:p w14:paraId="28E460BD" w14:textId="77777777" w:rsidR="00B85A78" w:rsidRDefault="00B85A78" w:rsidP="003A7A06">
                  <w:pPr>
                    <w:spacing w:after="0" w:line="240" w:lineRule="auto"/>
                    <w:rPr>
                      <w:rFonts w:ascii="Arial" w:hAnsi="Arial" w:cs="Arial"/>
                      <w:color w:val="000000"/>
                      <w:sz w:val="18"/>
                      <w:szCs w:val="18"/>
                    </w:rPr>
                  </w:pPr>
                </w:p>
                <w:p w14:paraId="69D552CD" w14:textId="77777777" w:rsidR="00B85A78" w:rsidRDefault="00B85A78" w:rsidP="003A7A06">
                  <w:pPr>
                    <w:spacing w:after="0" w:line="240" w:lineRule="auto"/>
                    <w:rPr>
                      <w:rFonts w:ascii="Arial" w:hAnsi="Arial" w:cs="Arial"/>
                      <w:color w:val="000000"/>
                      <w:sz w:val="18"/>
                      <w:szCs w:val="18"/>
                    </w:rPr>
                  </w:pPr>
                </w:p>
                <w:p w14:paraId="3A26A69E" w14:textId="77777777" w:rsidR="00B85A78" w:rsidRDefault="00B85A78" w:rsidP="003A7A06">
                  <w:pPr>
                    <w:spacing w:after="0" w:line="240" w:lineRule="auto"/>
                    <w:rPr>
                      <w:rFonts w:ascii="Arial" w:hAnsi="Arial" w:cs="Arial"/>
                      <w:color w:val="000000"/>
                      <w:sz w:val="18"/>
                      <w:szCs w:val="18"/>
                    </w:rPr>
                  </w:pPr>
                </w:p>
                <w:p w14:paraId="6C8DCAE0" w14:textId="77777777" w:rsidR="00B85A78" w:rsidRDefault="00B85A78" w:rsidP="003A7A06">
                  <w:pPr>
                    <w:spacing w:after="0" w:line="240" w:lineRule="auto"/>
                    <w:rPr>
                      <w:rFonts w:ascii="Arial" w:hAnsi="Arial" w:cs="Arial"/>
                      <w:color w:val="000000"/>
                      <w:sz w:val="18"/>
                      <w:szCs w:val="18"/>
                    </w:rPr>
                  </w:pPr>
                </w:p>
                <w:p w14:paraId="01F85E50" w14:textId="77777777" w:rsidR="00B85A78" w:rsidRDefault="00B85A78" w:rsidP="003A7A06">
                  <w:pPr>
                    <w:spacing w:after="0" w:line="240" w:lineRule="auto"/>
                    <w:rPr>
                      <w:rFonts w:ascii="Arial" w:hAnsi="Arial" w:cs="Arial"/>
                      <w:color w:val="000000"/>
                      <w:sz w:val="18"/>
                      <w:szCs w:val="18"/>
                    </w:rPr>
                  </w:pPr>
                </w:p>
                <w:p w14:paraId="6143DE60" w14:textId="16ACE5CB" w:rsidR="00B85A78" w:rsidRPr="00567CF8" w:rsidRDefault="00B85A78" w:rsidP="003A7A06">
                  <w:pPr>
                    <w:spacing w:after="0" w:line="240" w:lineRule="auto"/>
                    <w:rPr>
                      <w:rFonts w:ascii="Arial" w:hAnsi="Arial" w:cs="Arial"/>
                      <w:color w:val="000000"/>
                      <w:sz w:val="18"/>
                      <w:szCs w:val="18"/>
                    </w:rPr>
                  </w:pPr>
                </w:p>
              </w:tc>
            </w:tr>
          </w:tbl>
          <w:p w14:paraId="00C76158" w14:textId="6CC8F080" w:rsidR="003A7A06" w:rsidRPr="00523F4E" w:rsidRDefault="003A7A06" w:rsidP="003A7A06">
            <w:pPr>
              <w:spacing w:after="160"/>
              <w:ind w:left="-720" w:right="-720"/>
              <w:rPr>
                <w:rFonts w:ascii="Arial" w:hAnsi="Arial" w:cs="Arial"/>
                <w:color w:val="343433"/>
                <w:sz w:val="16"/>
                <w:szCs w:val="16"/>
              </w:rPr>
            </w:pPr>
          </w:p>
        </w:tc>
      </w:tr>
    </w:tbl>
    <w:bookmarkEnd w:id="1"/>
    <w:p w14:paraId="640A84B7" w14:textId="73BF5496" w:rsidR="003A27B5" w:rsidRPr="0040163B" w:rsidRDefault="00832863" w:rsidP="00FE7F0D">
      <w:pPr>
        <w:spacing w:after="160"/>
        <w:ind w:right="-720"/>
        <w:rPr>
          <w:rFonts w:ascii="Arial" w:hAnsi="Arial" w:cs="Arial"/>
          <w:color w:val="343433"/>
          <w:sz w:val="16"/>
          <w:szCs w:val="16"/>
        </w:rPr>
      </w:pPr>
      <w:r>
        <w:rPr>
          <w:rFonts w:ascii="Arial" w:hAnsi="Arial" w:cs="Arial"/>
          <w:noProof/>
          <w:color w:val="343433"/>
          <w:sz w:val="16"/>
          <w:szCs w:val="16"/>
        </w:rPr>
        <w:lastRenderedPageBreak/>
        <mc:AlternateContent>
          <mc:Choice Requires="wpg">
            <w:drawing>
              <wp:anchor distT="0" distB="0" distL="114300" distR="114300" simplePos="0" relativeHeight="251679744" behindDoc="0" locked="0" layoutInCell="1" allowOverlap="1" wp14:anchorId="35A1F3A9" wp14:editId="06431400">
                <wp:simplePos x="0" y="0"/>
                <wp:positionH relativeFrom="margin">
                  <wp:align>center</wp:align>
                </wp:positionH>
                <wp:positionV relativeFrom="paragraph">
                  <wp:posOffset>3727450</wp:posOffset>
                </wp:positionV>
                <wp:extent cx="6927850" cy="3371850"/>
                <wp:effectExtent l="0" t="0" r="6350" b="0"/>
                <wp:wrapNone/>
                <wp:docPr id="3" name="Group 3"/>
                <wp:cNvGraphicFramePr/>
                <a:graphic xmlns:a="http://schemas.openxmlformats.org/drawingml/2006/main">
                  <a:graphicData uri="http://schemas.microsoft.com/office/word/2010/wordprocessingGroup">
                    <wpg:wgp>
                      <wpg:cNvGrpSpPr/>
                      <wpg:grpSpPr>
                        <a:xfrm>
                          <a:off x="0" y="0"/>
                          <a:ext cx="6927850" cy="337185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8638" y="319560"/>
                              <a:ext cx="1303507" cy="1945482"/>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777777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11215" y="50335"/>
                            <a:ext cx="5417820" cy="2473328"/>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02B8BB41" w14:textId="77777777" w:rsidR="00930F1A" w:rsidRPr="00930F1A" w:rsidRDefault="00930F1A"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sidRPr="00930F1A">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3F44CE9" w14:textId="77777777" w:rsidR="00930F1A" w:rsidRPr="00930F1A" w:rsidRDefault="00930F1A"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sidRPr="00930F1A">
                                <w:rPr>
                                  <w:rFonts w:ascii="Arial" w:hAnsi="Arial" w:cs="Arial"/>
                                  <w:b/>
                                  <w:bCs/>
                                  <w:sz w:val="16"/>
                                  <w:szCs w:val="16"/>
                                </w:rPr>
                                <w:t>Investing involves risk, including the possible loss of principal. Past performance does not guarantee future results.</w:t>
                              </w:r>
                              <w:r w:rsidRPr="00930F1A">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w:t>
                              </w:r>
                              <w:r w:rsidRPr="00930F1A">
                                <w:rPr>
                                  <w:sz w:val="16"/>
                                  <w:szCs w:val="16"/>
                                </w:rPr>
                                <w:t xml:space="preserve"> </w:t>
                              </w:r>
                              <w:r w:rsidRPr="00930F1A">
                                <w:rPr>
                                  <w:rFonts w:ascii="Arial" w:hAnsi="Arial" w:cs="Arial"/>
                                  <w:sz w:val="16"/>
                                  <w:szCs w:val="16"/>
                                </w:rPr>
                                <w:t>Actual client results will vary based on investment selection, timing, market conditions, and tax situation. It is not possible to invest directly in an index.</w:t>
                              </w:r>
                            </w:p>
                            <w:p w14:paraId="4E374523" w14:textId="77777777" w:rsidR="00930F1A" w:rsidRPr="00930F1A" w:rsidRDefault="00930F1A"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sidRPr="00930F1A">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9642CEB" w14:textId="1109B2CB" w:rsidR="00930F1A" w:rsidRPr="00930F1A" w:rsidRDefault="00930F1A"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sidRPr="00930F1A">
                                <w:rPr>
                                  <w:rFonts w:ascii="Arial" w:hAnsi="Arial" w:cs="Arial"/>
                                  <w:sz w:val="16"/>
                                  <w:szCs w:val="16"/>
                                </w:rPr>
                                <w:t>AssetMark, Inc. is an investment adviser registered with the U.S. Securities and Exchange Commission.</w:t>
                              </w:r>
                              <w:r w:rsidR="00B85A78" w:rsidRPr="00B85A78">
                                <w:rPr>
                                  <w:rFonts w:ascii="Arial" w:hAnsi="Arial" w:cs="Arial"/>
                                  <w:sz w:val="16"/>
                                  <w:szCs w:val="16"/>
                                </w:rPr>
                                <w:t xml:space="preserve"> AssetMark and third-party service providers are separate and unaffiliated companies. Each party is responsible for their own content and services.  </w:t>
                              </w:r>
                            </w:p>
                            <w:p w14:paraId="531BFC6D" w14:textId="77777777" w:rsidR="00930F1A" w:rsidRPr="00930F1A" w:rsidRDefault="00930F1A"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sidRPr="00930F1A">
                                <w:rPr>
                                  <w:rFonts w:ascii="Arial" w:hAnsi="Arial" w:cs="Arial"/>
                                  <w:sz w:val="16"/>
                                  <w:szCs w:val="16"/>
                                </w:rPr>
                                <w:t xml:space="preserve">©2021 AssetMark, Inc. All rights reserved. </w:t>
                              </w:r>
                            </w:p>
                            <w:p w14:paraId="73AFBF41" w14:textId="13D3FCF2" w:rsidR="00930F1A" w:rsidRPr="00930F1A" w:rsidRDefault="006C2264"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102115</w:t>
                              </w:r>
                              <w:r w:rsidR="00930F1A" w:rsidRPr="00930F1A">
                                <w:rPr>
                                  <w:rFonts w:ascii="Arial" w:hAnsi="Arial" w:cs="Arial"/>
                                  <w:sz w:val="16"/>
                                  <w:szCs w:val="16"/>
                                </w:rPr>
                                <w:t xml:space="preserve"> | C2</w:t>
                              </w:r>
                              <w:r>
                                <w:rPr>
                                  <w:rFonts w:ascii="Arial" w:hAnsi="Arial" w:cs="Arial"/>
                                  <w:sz w:val="16"/>
                                  <w:szCs w:val="16"/>
                                </w:rPr>
                                <w:t>1-17393</w:t>
                              </w:r>
                              <w:r w:rsidR="00930F1A" w:rsidRPr="00930F1A">
                                <w:rPr>
                                  <w:rFonts w:ascii="Arial" w:hAnsi="Arial" w:cs="Arial"/>
                                  <w:sz w:val="16"/>
                                  <w:szCs w:val="16"/>
                                </w:rPr>
                                <w:t xml:space="preserve"> | </w:t>
                              </w:r>
                              <w:r>
                                <w:rPr>
                                  <w:rFonts w:ascii="Arial" w:hAnsi="Arial" w:cs="Arial"/>
                                  <w:sz w:val="16"/>
                                  <w:szCs w:val="16"/>
                                </w:rPr>
                                <w:t>03</w:t>
                              </w:r>
                              <w:r w:rsidR="00930F1A" w:rsidRPr="00930F1A">
                                <w:rPr>
                                  <w:rFonts w:ascii="Arial" w:hAnsi="Arial" w:cs="Arial"/>
                                  <w:sz w:val="16"/>
                                  <w:szCs w:val="16"/>
                                </w:rPr>
                                <w:t xml:space="preserve">/2021 | EXP </w:t>
                              </w:r>
                              <w:r>
                                <w:rPr>
                                  <w:rFonts w:ascii="Arial" w:hAnsi="Arial" w:cs="Arial"/>
                                  <w:sz w:val="16"/>
                                  <w:szCs w:val="16"/>
                                </w:rPr>
                                <w:t>03</w:t>
                              </w:r>
                              <w:r w:rsidR="00930F1A" w:rsidRPr="00930F1A">
                                <w:rPr>
                                  <w:rFonts w:ascii="Arial" w:hAnsi="Arial" w:cs="Arial"/>
                                  <w:sz w:val="16"/>
                                  <w:szCs w:val="16"/>
                                </w:rPr>
                                <w:t>/</w:t>
                              </w:r>
                              <w:r>
                                <w:rPr>
                                  <w:rFonts w:ascii="Arial" w:hAnsi="Arial" w:cs="Arial"/>
                                  <w:sz w:val="16"/>
                                  <w:szCs w:val="16"/>
                                </w:rPr>
                                <w:t>31</w:t>
                              </w:r>
                              <w:bookmarkStart w:id="2" w:name="_GoBack"/>
                              <w:bookmarkEnd w:id="2"/>
                              <w:r w:rsidR="00930F1A" w:rsidRPr="00930F1A">
                                <w:rPr>
                                  <w:rFonts w:ascii="Arial" w:hAnsi="Arial" w:cs="Arial"/>
                                  <w:sz w:val="16"/>
                                  <w:szCs w:val="16"/>
                                </w:rPr>
                                <w:t>/2022</w:t>
                              </w:r>
                            </w:p>
                            <w:p w14:paraId="372C601A" w14:textId="175593CB" w:rsidR="00BB7679" w:rsidRPr="00BF0CB7" w:rsidRDefault="00BB7679" w:rsidP="00930F1A">
                              <w:pPr>
                                <w:pStyle w:val="NormalWeb"/>
                                <w:spacing w:before="0" w:beforeAutospacing="0" w:after="0" w:afterAutospacing="0"/>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5A1F3A9" id="Group 3" o:spid="_x0000_s1026" style="position:absolute;margin-left:0;margin-top:293.5pt;width:545.5pt;height:265.5pt;z-index:251679744;mso-position-horizontal:center;mso-position-horizontal-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486;top:3195;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777777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800-664-5345</w:t>
                          </w:r>
                        </w:p>
                      </w:txbxContent>
                    </v:textbox>
                  </v:shape>
                </v:group>
                <v:shape id="Text Box 19" o:spid="_x0000_s1030" type="#_x0000_t202" style="position:absolute;left:13112;top:503;width:54178;height:2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02B8BB41" w14:textId="77777777" w:rsidR="00930F1A" w:rsidRPr="00930F1A" w:rsidRDefault="00930F1A"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sidRPr="00930F1A">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03F44CE9" w14:textId="77777777" w:rsidR="00930F1A" w:rsidRPr="00930F1A" w:rsidRDefault="00930F1A"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sidRPr="00930F1A">
                          <w:rPr>
                            <w:rFonts w:ascii="Arial" w:hAnsi="Arial" w:cs="Arial"/>
                            <w:b/>
                            <w:bCs/>
                            <w:sz w:val="16"/>
                            <w:szCs w:val="16"/>
                          </w:rPr>
                          <w:t>Investing involves risk, including the possible loss of principal. Past performance does not guarantee future results.</w:t>
                        </w:r>
                        <w:r w:rsidRPr="00930F1A">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w:t>
                        </w:r>
                        <w:r w:rsidRPr="00930F1A">
                          <w:rPr>
                            <w:sz w:val="16"/>
                            <w:szCs w:val="16"/>
                          </w:rPr>
                          <w:t xml:space="preserve"> </w:t>
                        </w:r>
                        <w:r w:rsidRPr="00930F1A">
                          <w:rPr>
                            <w:rFonts w:ascii="Arial" w:hAnsi="Arial" w:cs="Arial"/>
                            <w:sz w:val="16"/>
                            <w:szCs w:val="16"/>
                          </w:rPr>
                          <w:t>Actual client results will vary based on investment selection, timing, market conditions, and tax situation. It is not possible to invest directly in an index.</w:t>
                        </w:r>
                      </w:p>
                      <w:p w14:paraId="4E374523" w14:textId="77777777" w:rsidR="00930F1A" w:rsidRPr="00930F1A" w:rsidRDefault="00930F1A"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sidRPr="00930F1A">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39642CEB" w14:textId="1109B2CB" w:rsidR="00930F1A" w:rsidRPr="00930F1A" w:rsidRDefault="00930F1A"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sidRPr="00930F1A">
                          <w:rPr>
                            <w:rFonts w:ascii="Arial" w:hAnsi="Arial" w:cs="Arial"/>
                            <w:sz w:val="16"/>
                            <w:szCs w:val="16"/>
                          </w:rPr>
                          <w:t>AssetMark, Inc. is an investment adviser registered with the U.S. Securities and Exchange Commission.</w:t>
                        </w:r>
                        <w:r w:rsidR="00B85A78" w:rsidRPr="00B85A78">
                          <w:rPr>
                            <w:rFonts w:ascii="Arial" w:hAnsi="Arial" w:cs="Arial"/>
                            <w:sz w:val="16"/>
                            <w:szCs w:val="16"/>
                          </w:rPr>
                          <w:t xml:space="preserve"> AssetMark and third-party service providers are separate and unaffiliated companies. Each party is responsible for their own content and services.  </w:t>
                        </w:r>
                      </w:p>
                      <w:p w14:paraId="531BFC6D" w14:textId="77777777" w:rsidR="00930F1A" w:rsidRPr="00930F1A" w:rsidRDefault="00930F1A"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sidRPr="00930F1A">
                          <w:rPr>
                            <w:rFonts w:ascii="Arial" w:hAnsi="Arial" w:cs="Arial"/>
                            <w:sz w:val="16"/>
                            <w:szCs w:val="16"/>
                          </w:rPr>
                          <w:t xml:space="preserve">©2021 AssetMark, Inc. All rights reserved. </w:t>
                        </w:r>
                      </w:p>
                      <w:p w14:paraId="73AFBF41" w14:textId="13D3FCF2" w:rsidR="00930F1A" w:rsidRPr="00930F1A" w:rsidRDefault="006C2264" w:rsidP="00930F1A">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102115</w:t>
                        </w:r>
                        <w:r w:rsidR="00930F1A" w:rsidRPr="00930F1A">
                          <w:rPr>
                            <w:rFonts w:ascii="Arial" w:hAnsi="Arial" w:cs="Arial"/>
                            <w:sz w:val="16"/>
                            <w:szCs w:val="16"/>
                          </w:rPr>
                          <w:t xml:space="preserve"> | C2</w:t>
                        </w:r>
                        <w:r>
                          <w:rPr>
                            <w:rFonts w:ascii="Arial" w:hAnsi="Arial" w:cs="Arial"/>
                            <w:sz w:val="16"/>
                            <w:szCs w:val="16"/>
                          </w:rPr>
                          <w:t>1-17393</w:t>
                        </w:r>
                        <w:r w:rsidR="00930F1A" w:rsidRPr="00930F1A">
                          <w:rPr>
                            <w:rFonts w:ascii="Arial" w:hAnsi="Arial" w:cs="Arial"/>
                            <w:sz w:val="16"/>
                            <w:szCs w:val="16"/>
                          </w:rPr>
                          <w:t xml:space="preserve"> | </w:t>
                        </w:r>
                        <w:r>
                          <w:rPr>
                            <w:rFonts w:ascii="Arial" w:hAnsi="Arial" w:cs="Arial"/>
                            <w:sz w:val="16"/>
                            <w:szCs w:val="16"/>
                          </w:rPr>
                          <w:t>03</w:t>
                        </w:r>
                        <w:r w:rsidR="00930F1A" w:rsidRPr="00930F1A">
                          <w:rPr>
                            <w:rFonts w:ascii="Arial" w:hAnsi="Arial" w:cs="Arial"/>
                            <w:sz w:val="16"/>
                            <w:szCs w:val="16"/>
                          </w:rPr>
                          <w:t xml:space="preserve">/2021 | EXP </w:t>
                        </w:r>
                        <w:r>
                          <w:rPr>
                            <w:rFonts w:ascii="Arial" w:hAnsi="Arial" w:cs="Arial"/>
                            <w:sz w:val="16"/>
                            <w:szCs w:val="16"/>
                          </w:rPr>
                          <w:t>03</w:t>
                        </w:r>
                        <w:r w:rsidR="00930F1A" w:rsidRPr="00930F1A">
                          <w:rPr>
                            <w:rFonts w:ascii="Arial" w:hAnsi="Arial" w:cs="Arial"/>
                            <w:sz w:val="16"/>
                            <w:szCs w:val="16"/>
                          </w:rPr>
                          <w:t>/</w:t>
                        </w:r>
                        <w:r>
                          <w:rPr>
                            <w:rFonts w:ascii="Arial" w:hAnsi="Arial" w:cs="Arial"/>
                            <w:sz w:val="16"/>
                            <w:szCs w:val="16"/>
                          </w:rPr>
                          <w:t>31</w:t>
                        </w:r>
                        <w:bookmarkStart w:id="3" w:name="_GoBack"/>
                        <w:bookmarkEnd w:id="3"/>
                        <w:r w:rsidR="00930F1A" w:rsidRPr="00930F1A">
                          <w:rPr>
                            <w:rFonts w:ascii="Arial" w:hAnsi="Arial" w:cs="Arial"/>
                            <w:sz w:val="16"/>
                            <w:szCs w:val="16"/>
                          </w:rPr>
                          <w:t>/2022</w:t>
                        </w:r>
                      </w:p>
                      <w:p w14:paraId="372C601A" w14:textId="175593CB" w:rsidR="00BB7679" w:rsidRPr="00BF0CB7" w:rsidRDefault="00BB7679" w:rsidP="00930F1A">
                        <w:pPr>
                          <w:pStyle w:val="NormalWeb"/>
                          <w:spacing w:before="0" w:beforeAutospacing="0" w:after="0" w:afterAutospacing="0"/>
                          <w:rPr>
                            <w:rFonts w:ascii="Arial" w:hAnsi="Arial" w:cs="Arial"/>
                            <w:sz w:val="16"/>
                            <w:szCs w:val="16"/>
                          </w:rPr>
                        </w:pPr>
                      </w:p>
                    </w:txbxContent>
                  </v:textbox>
                </v:shape>
                <w10:wrap anchorx="margin"/>
              </v:group>
            </w:pict>
          </mc:Fallback>
        </mc:AlternateContent>
      </w:r>
    </w:p>
    <w:sectPr w:rsidR="003A27B5" w:rsidRPr="0040163B" w:rsidSect="006A6909">
      <w:headerReference w:type="default" r:id="rId15"/>
      <w:footerReference w:type="even" r:id="rId16"/>
      <w:footerReference w:type="default" r:id="rId17"/>
      <w:headerReference w:type="first" r:id="rId18"/>
      <w:footerReference w:type="first" r:id="rId19"/>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90163" w14:textId="77777777" w:rsidR="00BB6FAB" w:rsidRDefault="00BB6FAB" w:rsidP="005C1D70">
      <w:pPr>
        <w:spacing w:after="0" w:line="240" w:lineRule="auto"/>
      </w:pPr>
      <w:r>
        <w:separator/>
      </w:r>
    </w:p>
  </w:endnote>
  <w:endnote w:type="continuationSeparator" w:id="0">
    <w:p w14:paraId="4D5843A4" w14:textId="77777777" w:rsidR="00BB6FAB" w:rsidRDefault="00BB6FAB" w:rsidP="005C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7E4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AD83666"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799955A8"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582AEA2"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B3DF6" w14:textId="77777777" w:rsidR="00BB6FAB" w:rsidRDefault="00BB6FAB" w:rsidP="005C1D70">
      <w:pPr>
        <w:spacing w:after="0" w:line="240" w:lineRule="auto"/>
      </w:pPr>
      <w:r>
        <w:separator/>
      </w:r>
    </w:p>
  </w:footnote>
  <w:footnote w:type="continuationSeparator" w:id="0">
    <w:p w14:paraId="531C24FE" w14:textId="77777777" w:rsidR="00BB6FAB" w:rsidRDefault="00BB6FAB"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5E992BA"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83DD" w14:textId="01E942A0" w:rsidR="00996FBD" w:rsidRDefault="0051008E">
    <w:pPr>
      <w:pStyle w:val="Header"/>
    </w:pPr>
    <w:r w:rsidRPr="00996FBD">
      <w:rPr>
        <w:noProof/>
      </w:rPr>
      <mc:AlternateContent>
        <mc:Choice Requires="wps">
          <w:drawing>
            <wp:anchor distT="0" distB="0" distL="114300" distR="114300" simplePos="0" relativeHeight="251673600" behindDoc="0" locked="0" layoutInCell="1" allowOverlap="1" wp14:anchorId="315F954A" wp14:editId="076F1A83">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4C509A4" w14:textId="5341DF39" w:rsidR="00996FBD" w:rsidRPr="00331075" w:rsidRDefault="00C10D78" w:rsidP="00996FBD">
                          <w:pPr>
                            <w:rPr>
                              <w:rFonts w:ascii="Arial" w:hAnsi="Arial" w:cs="Arial"/>
                              <w:color w:val="AEAAAA" w:themeColor="background2" w:themeShade="BF"/>
                              <w:sz w:val="18"/>
                            </w:rPr>
                          </w:pPr>
                          <w:r>
                            <w:rPr>
                              <w:rFonts w:ascii="Arial" w:hAnsi="Arial" w:cs="Arial"/>
                              <w:color w:val="AEAAAA" w:themeColor="background2" w:themeShade="BF"/>
                              <w:sz w:val="20"/>
                              <w:szCs w:val="36"/>
                            </w:rPr>
                            <w:t>February</w:t>
                          </w:r>
                          <w:r w:rsidR="00996753">
                            <w:rPr>
                              <w:rFonts w:ascii="Arial" w:hAnsi="Arial" w:cs="Arial"/>
                              <w:color w:val="AEAAAA" w:themeColor="background2" w:themeShade="BF"/>
                              <w:sz w:val="20"/>
                              <w:szCs w:val="36"/>
                            </w:rPr>
                            <w:t xml:space="preserve"> 2021</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4C509A4" w14:textId="5341DF39" w:rsidR="00996FBD" w:rsidRPr="00331075" w:rsidRDefault="00C10D78" w:rsidP="00996FBD">
                    <w:pPr>
                      <w:rPr>
                        <w:rFonts w:ascii="Arial" w:hAnsi="Arial" w:cs="Arial"/>
                        <w:color w:val="AEAAAA" w:themeColor="background2" w:themeShade="BF"/>
                        <w:sz w:val="18"/>
                      </w:rPr>
                    </w:pPr>
                    <w:r>
                      <w:rPr>
                        <w:rFonts w:ascii="Arial" w:hAnsi="Arial" w:cs="Arial"/>
                        <w:color w:val="AEAAAA" w:themeColor="background2" w:themeShade="BF"/>
                        <w:sz w:val="20"/>
                        <w:szCs w:val="36"/>
                      </w:rPr>
                      <w:t>February</w:t>
                    </w:r>
                    <w:r w:rsidR="00996753">
                      <w:rPr>
                        <w:rFonts w:ascii="Arial" w:hAnsi="Arial" w:cs="Arial"/>
                        <w:color w:val="AEAAAA" w:themeColor="background2" w:themeShade="BF"/>
                        <w:sz w:val="20"/>
                        <w:szCs w:val="36"/>
                      </w:rPr>
                      <w:t xml:space="preserve"> 2021</w:t>
                    </w:r>
                  </w:p>
                </w:txbxContent>
              </v:textbox>
            </v:shape>
          </w:pict>
        </mc:Fallback>
      </mc:AlternateContent>
    </w:r>
    <w:r w:rsidR="00331075" w:rsidRPr="00996FBD">
      <w:rPr>
        <w:noProof/>
      </w:rPr>
      <mc:AlternateContent>
        <mc:Choice Requires="wps">
          <w:drawing>
            <wp:anchor distT="0" distB="0" distL="114300" distR="114300" simplePos="0" relativeHeight="251672576" behindDoc="0" locked="0" layoutInCell="1" allowOverlap="1" wp14:anchorId="3B8485CB" wp14:editId="5B83F65F">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057A1860" w14:textId="77777777" w:rsidR="00331075" w:rsidRPr="00B5385F" w:rsidRDefault="00331075" w:rsidP="00331075">
                          <w:pPr>
                            <w:pStyle w:val="Style1"/>
                            <w:rPr>
                              <w:color w:val="007EBB"/>
                              <w:sz w:val="48"/>
                            </w:rPr>
                          </w:pPr>
                          <w:r w:rsidRPr="00B5385F">
                            <w:rPr>
                              <w:color w:val="007EBB"/>
                              <w:sz w:val="28"/>
                            </w:rPr>
                            <w:t>MONTHLY</w:t>
                          </w:r>
                          <w:r w:rsidRPr="00B5385F">
                            <w:rPr>
                              <w:color w:val="007EBB"/>
                              <w:sz w:val="36"/>
                            </w:rPr>
                            <w:t xml:space="preserve"> </w:t>
                          </w:r>
                        </w:p>
                        <w:p w14:paraId="60410F64" w14:textId="33E579B0"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85CB" id="Text Box 9" o:spid="_x0000_s1034" type="#_x0000_t202" style="position:absolute;margin-left:-35.55pt;margin-top:36pt;width:378.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057A1860" w14:textId="77777777" w:rsidR="00331075" w:rsidRPr="00B5385F" w:rsidRDefault="00331075" w:rsidP="00331075">
                    <w:pPr>
                      <w:pStyle w:val="Style1"/>
                      <w:rPr>
                        <w:color w:val="007EBB"/>
                        <w:sz w:val="48"/>
                      </w:rPr>
                    </w:pPr>
                    <w:r w:rsidRPr="00B5385F">
                      <w:rPr>
                        <w:color w:val="007EBB"/>
                        <w:sz w:val="28"/>
                      </w:rPr>
                      <w:t>MONTHLY</w:t>
                    </w:r>
                    <w:r w:rsidRPr="00B5385F">
                      <w:rPr>
                        <w:color w:val="007EBB"/>
                        <w:sz w:val="36"/>
                      </w:rPr>
                      <w:t xml:space="preserve"> </w:t>
                    </w:r>
                  </w:p>
                  <w:p w14:paraId="60410F64" w14:textId="33E579B0"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v:textbox>
            </v:shape>
          </w:pict>
        </mc:Fallback>
      </mc:AlternateContent>
    </w:r>
    <w:r w:rsidR="00777E17" w:rsidRPr="00996FBD">
      <w:rPr>
        <w:noProof/>
      </w:rPr>
      <mc:AlternateContent>
        <mc:Choice Requires="wps">
          <w:drawing>
            <wp:anchor distT="0" distB="0" distL="114300" distR="114300" simplePos="0" relativeHeight="251670528" behindDoc="0" locked="0" layoutInCell="1" allowOverlap="1" wp14:anchorId="103FBA55" wp14:editId="743E6263">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A65112A" id="Rectangle 8" o:spid="_x0000_s1026" style="position:absolute;margin-left:-71.2pt;margin-top:98.45pt;width:612pt;height:2.85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4"/>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70"/>
    <w:rsid w:val="000019A6"/>
    <w:rsid w:val="00005D32"/>
    <w:rsid w:val="00007A7E"/>
    <w:rsid w:val="000112B7"/>
    <w:rsid w:val="00011C41"/>
    <w:rsid w:val="000131D4"/>
    <w:rsid w:val="00016B9E"/>
    <w:rsid w:val="000206C0"/>
    <w:rsid w:val="00023599"/>
    <w:rsid w:val="000240EF"/>
    <w:rsid w:val="00024439"/>
    <w:rsid w:val="0003567F"/>
    <w:rsid w:val="000371DC"/>
    <w:rsid w:val="00041620"/>
    <w:rsid w:val="00051F5A"/>
    <w:rsid w:val="00066B89"/>
    <w:rsid w:val="0007798A"/>
    <w:rsid w:val="00081973"/>
    <w:rsid w:val="00087883"/>
    <w:rsid w:val="00090399"/>
    <w:rsid w:val="0009187A"/>
    <w:rsid w:val="000A2ED9"/>
    <w:rsid w:val="000A7E8D"/>
    <w:rsid w:val="000C24C5"/>
    <w:rsid w:val="000C4D71"/>
    <w:rsid w:val="000D25A4"/>
    <w:rsid w:val="000D2EE5"/>
    <w:rsid w:val="000D4110"/>
    <w:rsid w:val="000D5016"/>
    <w:rsid w:val="000E36C6"/>
    <w:rsid w:val="000E4CDF"/>
    <w:rsid w:val="000E72AF"/>
    <w:rsid w:val="000F4301"/>
    <w:rsid w:val="000F5EBD"/>
    <w:rsid w:val="000F6A69"/>
    <w:rsid w:val="000F7DAD"/>
    <w:rsid w:val="00112281"/>
    <w:rsid w:val="001142B7"/>
    <w:rsid w:val="00114CA7"/>
    <w:rsid w:val="001318F1"/>
    <w:rsid w:val="00135AE9"/>
    <w:rsid w:val="0013691A"/>
    <w:rsid w:val="00140B3E"/>
    <w:rsid w:val="00151D69"/>
    <w:rsid w:val="00175576"/>
    <w:rsid w:val="00176A6B"/>
    <w:rsid w:val="001779A9"/>
    <w:rsid w:val="00184874"/>
    <w:rsid w:val="001867A3"/>
    <w:rsid w:val="00194BC0"/>
    <w:rsid w:val="001A07B6"/>
    <w:rsid w:val="001A6654"/>
    <w:rsid w:val="001B109A"/>
    <w:rsid w:val="001B2683"/>
    <w:rsid w:val="001B3C5E"/>
    <w:rsid w:val="001B6B17"/>
    <w:rsid w:val="001D28D0"/>
    <w:rsid w:val="001D2EDE"/>
    <w:rsid w:val="001D41CD"/>
    <w:rsid w:val="001D5914"/>
    <w:rsid w:val="001D5D2F"/>
    <w:rsid w:val="001D7A8E"/>
    <w:rsid w:val="001D7C01"/>
    <w:rsid w:val="001E21E7"/>
    <w:rsid w:val="001F0ADB"/>
    <w:rsid w:val="001F5138"/>
    <w:rsid w:val="001F51C9"/>
    <w:rsid w:val="00205777"/>
    <w:rsid w:val="002077B7"/>
    <w:rsid w:val="00207A30"/>
    <w:rsid w:val="00213810"/>
    <w:rsid w:val="00213950"/>
    <w:rsid w:val="00216342"/>
    <w:rsid w:val="00217E04"/>
    <w:rsid w:val="00220328"/>
    <w:rsid w:val="002220C2"/>
    <w:rsid w:val="00232B8E"/>
    <w:rsid w:val="00235DA5"/>
    <w:rsid w:val="00236820"/>
    <w:rsid w:val="002417A8"/>
    <w:rsid w:val="00241BAE"/>
    <w:rsid w:val="002453BF"/>
    <w:rsid w:val="0024750F"/>
    <w:rsid w:val="00255EB5"/>
    <w:rsid w:val="00256320"/>
    <w:rsid w:val="00274534"/>
    <w:rsid w:val="002815AB"/>
    <w:rsid w:val="00291044"/>
    <w:rsid w:val="002973E5"/>
    <w:rsid w:val="002D37C9"/>
    <w:rsid w:val="002D792A"/>
    <w:rsid w:val="002E0A7B"/>
    <w:rsid w:val="002E4898"/>
    <w:rsid w:val="002F1EC0"/>
    <w:rsid w:val="002F2B29"/>
    <w:rsid w:val="00311CC1"/>
    <w:rsid w:val="003127F9"/>
    <w:rsid w:val="0031343F"/>
    <w:rsid w:val="00322025"/>
    <w:rsid w:val="0032479E"/>
    <w:rsid w:val="00331075"/>
    <w:rsid w:val="0033118A"/>
    <w:rsid w:val="00331690"/>
    <w:rsid w:val="003435A3"/>
    <w:rsid w:val="00343802"/>
    <w:rsid w:val="00346527"/>
    <w:rsid w:val="0035334B"/>
    <w:rsid w:val="00372C2F"/>
    <w:rsid w:val="003730E1"/>
    <w:rsid w:val="003762FC"/>
    <w:rsid w:val="0037726A"/>
    <w:rsid w:val="00381EB7"/>
    <w:rsid w:val="00383F8F"/>
    <w:rsid w:val="003948A6"/>
    <w:rsid w:val="00396976"/>
    <w:rsid w:val="003A1C0B"/>
    <w:rsid w:val="003A27B5"/>
    <w:rsid w:val="003A729F"/>
    <w:rsid w:val="003A7A06"/>
    <w:rsid w:val="003B0F64"/>
    <w:rsid w:val="003C297B"/>
    <w:rsid w:val="003C4C11"/>
    <w:rsid w:val="003D09BD"/>
    <w:rsid w:val="003D6A52"/>
    <w:rsid w:val="003E4429"/>
    <w:rsid w:val="003E6762"/>
    <w:rsid w:val="003F4A96"/>
    <w:rsid w:val="003F588B"/>
    <w:rsid w:val="0040163B"/>
    <w:rsid w:val="00401A1E"/>
    <w:rsid w:val="00403DE6"/>
    <w:rsid w:val="00411EF3"/>
    <w:rsid w:val="00420FAA"/>
    <w:rsid w:val="0042112C"/>
    <w:rsid w:val="00421EC2"/>
    <w:rsid w:val="00423E43"/>
    <w:rsid w:val="004249BD"/>
    <w:rsid w:val="00425080"/>
    <w:rsid w:val="004258D8"/>
    <w:rsid w:val="00426CDA"/>
    <w:rsid w:val="00433734"/>
    <w:rsid w:val="00435663"/>
    <w:rsid w:val="00436641"/>
    <w:rsid w:val="00437DD6"/>
    <w:rsid w:val="004462DD"/>
    <w:rsid w:val="00452980"/>
    <w:rsid w:val="00457A7D"/>
    <w:rsid w:val="00464C6A"/>
    <w:rsid w:val="00467285"/>
    <w:rsid w:val="00471693"/>
    <w:rsid w:val="00471EAF"/>
    <w:rsid w:val="00474668"/>
    <w:rsid w:val="00481713"/>
    <w:rsid w:val="00481C51"/>
    <w:rsid w:val="00485A5F"/>
    <w:rsid w:val="00486B2A"/>
    <w:rsid w:val="00487F21"/>
    <w:rsid w:val="004B03CA"/>
    <w:rsid w:val="004B1C5E"/>
    <w:rsid w:val="004B22C1"/>
    <w:rsid w:val="004B5584"/>
    <w:rsid w:val="004B5EEA"/>
    <w:rsid w:val="004C0E8E"/>
    <w:rsid w:val="004C6215"/>
    <w:rsid w:val="004C74F0"/>
    <w:rsid w:val="004D6A89"/>
    <w:rsid w:val="004E0827"/>
    <w:rsid w:val="004E2AC7"/>
    <w:rsid w:val="004E5C3D"/>
    <w:rsid w:val="004F5735"/>
    <w:rsid w:val="00501EFD"/>
    <w:rsid w:val="00504FC5"/>
    <w:rsid w:val="00510054"/>
    <w:rsid w:val="0051008E"/>
    <w:rsid w:val="00510A35"/>
    <w:rsid w:val="00515103"/>
    <w:rsid w:val="00523048"/>
    <w:rsid w:val="00523F4E"/>
    <w:rsid w:val="00525FA1"/>
    <w:rsid w:val="00527E67"/>
    <w:rsid w:val="00533654"/>
    <w:rsid w:val="00541736"/>
    <w:rsid w:val="005454B3"/>
    <w:rsid w:val="00546DD9"/>
    <w:rsid w:val="00550B80"/>
    <w:rsid w:val="0055294F"/>
    <w:rsid w:val="0056005B"/>
    <w:rsid w:val="00561E14"/>
    <w:rsid w:val="005621F0"/>
    <w:rsid w:val="00567CF8"/>
    <w:rsid w:val="0057379A"/>
    <w:rsid w:val="00574C57"/>
    <w:rsid w:val="00580A18"/>
    <w:rsid w:val="00586647"/>
    <w:rsid w:val="0058747A"/>
    <w:rsid w:val="005924F3"/>
    <w:rsid w:val="00595576"/>
    <w:rsid w:val="005A1AAB"/>
    <w:rsid w:val="005A2D4F"/>
    <w:rsid w:val="005A46BF"/>
    <w:rsid w:val="005B1057"/>
    <w:rsid w:val="005B29B8"/>
    <w:rsid w:val="005B7F7F"/>
    <w:rsid w:val="005C1D70"/>
    <w:rsid w:val="005C20D4"/>
    <w:rsid w:val="005C270D"/>
    <w:rsid w:val="005D1638"/>
    <w:rsid w:val="005D65A6"/>
    <w:rsid w:val="005E124F"/>
    <w:rsid w:val="005E4FA5"/>
    <w:rsid w:val="005F5466"/>
    <w:rsid w:val="005F6431"/>
    <w:rsid w:val="005F7CCF"/>
    <w:rsid w:val="00606134"/>
    <w:rsid w:val="006144FA"/>
    <w:rsid w:val="00616FAF"/>
    <w:rsid w:val="00630922"/>
    <w:rsid w:val="00637581"/>
    <w:rsid w:val="006401E3"/>
    <w:rsid w:val="00641B11"/>
    <w:rsid w:val="006423FF"/>
    <w:rsid w:val="006538F7"/>
    <w:rsid w:val="00660074"/>
    <w:rsid w:val="006616B0"/>
    <w:rsid w:val="00665D68"/>
    <w:rsid w:val="006749B4"/>
    <w:rsid w:val="00683301"/>
    <w:rsid w:val="0068595A"/>
    <w:rsid w:val="0069530B"/>
    <w:rsid w:val="0069631F"/>
    <w:rsid w:val="00697E2A"/>
    <w:rsid w:val="006A425E"/>
    <w:rsid w:val="006A43D1"/>
    <w:rsid w:val="006A6909"/>
    <w:rsid w:val="006B0231"/>
    <w:rsid w:val="006B09E4"/>
    <w:rsid w:val="006B1745"/>
    <w:rsid w:val="006B3DC2"/>
    <w:rsid w:val="006C208B"/>
    <w:rsid w:val="006C2264"/>
    <w:rsid w:val="006C463E"/>
    <w:rsid w:val="006C55D5"/>
    <w:rsid w:val="006C7478"/>
    <w:rsid w:val="006D13B7"/>
    <w:rsid w:val="006E764B"/>
    <w:rsid w:val="006F357D"/>
    <w:rsid w:val="006F403D"/>
    <w:rsid w:val="006F48FD"/>
    <w:rsid w:val="00700C30"/>
    <w:rsid w:val="00704B97"/>
    <w:rsid w:val="007073E7"/>
    <w:rsid w:val="00715270"/>
    <w:rsid w:val="007243EB"/>
    <w:rsid w:val="00733C0C"/>
    <w:rsid w:val="00737093"/>
    <w:rsid w:val="00741A0D"/>
    <w:rsid w:val="00750D5E"/>
    <w:rsid w:val="007524D0"/>
    <w:rsid w:val="0075322D"/>
    <w:rsid w:val="007610E9"/>
    <w:rsid w:val="00761634"/>
    <w:rsid w:val="0076247F"/>
    <w:rsid w:val="007640FB"/>
    <w:rsid w:val="00777E17"/>
    <w:rsid w:val="00780DBF"/>
    <w:rsid w:val="00781DE1"/>
    <w:rsid w:val="0078542B"/>
    <w:rsid w:val="00793F36"/>
    <w:rsid w:val="00795A19"/>
    <w:rsid w:val="007A1072"/>
    <w:rsid w:val="007A14BB"/>
    <w:rsid w:val="007A1E85"/>
    <w:rsid w:val="007B054B"/>
    <w:rsid w:val="007C192B"/>
    <w:rsid w:val="007C4C9B"/>
    <w:rsid w:val="007C618C"/>
    <w:rsid w:val="007D1EED"/>
    <w:rsid w:val="007D2107"/>
    <w:rsid w:val="007D272C"/>
    <w:rsid w:val="007D2FA0"/>
    <w:rsid w:val="007E2571"/>
    <w:rsid w:val="007E4A30"/>
    <w:rsid w:val="007F38F2"/>
    <w:rsid w:val="007F3D57"/>
    <w:rsid w:val="007F5627"/>
    <w:rsid w:val="008076EA"/>
    <w:rsid w:val="00811FA0"/>
    <w:rsid w:val="008166CE"/>
    <w:rsid w:val="008175CE"/>
    <w:rsid w:val="0082064B"/>
    <w:rsid w:val="008256D1"/>
    <w:rsid w:val="00832863"/>
    <w:rsid w:val="0084548F"/>
    <w:rsid w:val="00852B9E"/>
    <w:rsid w:val="0086190C"/>
    <w:rsid w:val="00864A80"/>
    <w:rsid w:val="0087464F"/>
    <w:rsid w:val="00880FEA"/>
    <w:rsid w:val="00883AE2"/>
    <w:rsid w:val="008971E2"/>
    <w:rsid w:val="008A393E"/>
    <w:rsid w:val="008B04EB"/>
    <w:rsid w:val="008C3583"/>
    <w:rsid w:val="008D07E1"/>
    <w:rsid w:val="008E287E"/>
    <w:rsid w:val="008E47F2"/>
    <w:rsid w:val="008E54FB"/>
    <w:rsid w:val="008F6CC3"/>
    <w:rsid w:val="00907541"/>
    <w:rsid w:val="00911A75"/>
    <w:rsid w:val="00911BF3"/>
    <w:rsid w:val="00913388"/>
    <w:rsid w:val="00923460"/>
    <w:rsid w:val="00930F1A"/>
    <w:rsid w:val="009317EE"/>
    <w:rsid w:val="00934B0C"/>
    <w:rsid w:val="00935850"/>
    <w:rsid w:val="00943357"/>
    <w:rsid w:val="00947DED"/>
    <w:rsid w:val="00964764"/>
    <w:rsid w:val="00965591"/>
    <w:rsid w:val="00970E66"/>
    <w:rsid w:val="0097511A"/>
    <w:rsid w:val="00976E74"/>
    <w:rsid w:val="0097711C"/>
    <w:rsid w:val="0097792A"/>
    <w:rsid w:val="00986CBE"/>
    <w:rsid w:val="009912CD"/>
    <w:rsid w:val="00992643"/>
    <w:rsid w:val="00993224"/>
    <w:rsid w:val="00996753"/>
    <w:rsid w:val="00996FBD"/>
    <w:rsid w:val="009A07C4"/>
    <w:rsid w:val="009A79D6"/>
    <w:rsid w:val="009B324B"/>
    <w:rsid w:val="009B4084"/>
    <w:rsid w:val="009B73D0"/>
    <w:rsid w:val="009C0C11"/>
    <w:rsid w:val="009D226A"/>
    <w:rsid w:val="009D2E76"/>
    <w:rsid w:val="009D61D9"/>
    <w:rsid w:val="009E2E5E"/>
    <w:rsid w:val="009F0864"/>
    <w:rsid w:val="009F343D"/>
    <w:rsid w:val="009F44E7"/>
    <w:rsid w:val="009F5C93"/>
    <w:rsid w:val="00A064D0"/>
    <w:rsid w:val="00A21621"/>
    <w:rsid w:val="00A24052"/>
    <w:rsid w:val="00A26FC7"/>
    <w:rsid w:val="00A34720"/>
    <w:rsid w:val="00A378C7"/>
    <w:rsid w:val="00A47CCC"/>
    <w:rsid w:val="00A60B70"/>
    <w:rsid w:val="00A65309"/>
    <w:rsid w:val="00A67E9D"/>
    <w:rsid w:val="00A706A7"/>
    <w:rsid w:val="00A73A74"/>
    <w:rsid w:val="00A74278"/>
    <w:rsid w:val="00A96B07"/>
    <w:rsid w:val="00A97B53"/>
    <w:rsid w:val="00AA160A"/>
    <w:rsid w:val="00AA7966"/>
    <w:rsid w:val="00AB115E"/>
    <w:rsid w:val="00AB5EBA"/>
    <w:rsid w:val="00AB6BC5"/>
    <w:rsid w:val="00AC047B"/>
    <w:rsid w:val="00AD0AFA"/>
    <w:rsid w:val="00AD11F4"/>
    <w:rsid w:val="00AD2DFD"/>
    <w:rsid w:val="00AD3302"/>
    <w:rsid w:val="00AE42E2"/>
    <w:rsid w:val="00AE4DFA"/>
    <w:rsid w:val="00AF1EA7"/>
    <w:rsid w:val="00AF4683"/>
    <w:rsid w:val="00B00375"/>
    <w:rsid w:val="00B0334A"/>
    <w:rsid w:val="00B14624"/>
    <w:rsid w:val="00B2343D"/>
    <w:rsid w:val="00B2688E"/>
    <w:rsid w:val="00B36319"/>
    <w:rsid w:val="00B5372B"/>
    <w:rsid w:val="00B5385F"/>
    <w:rsid w:val="00B54FAE"/>
    <w:rsid w:val="00B63131"/>
    <w:rsid w:val="00B63EE5"/>
    <w:rsid w:val="00B649F4"/>
    <w:rsid w:val="00B6531B"/>
    <w:rsid w:val="00B67D7C"/>
    <w:rsid w:val="00B72FCC"/>
    <w:rsid w:val="00B74D68"/>
    <w:rsid w:val="00B82A17"/>
    <w:rsid w:val="00B85A78"/>
    <w:rsid w:val="00B903C2"/>
    <w:rsid w:val="00B96D80"/>
    <w:rsid w:val="00BB036B"/>
    <w:rsid w:val="00BB4173"/>
    <w:rsid w:val="00BB50C7"/>
    <w:rsid w:val="00BB6C3C"/>
    <w:rsid w:val="00BB6FAB"/>
    <w:rsid w:val="00BB7679"/>
    <w:rsid w:val="00BC2A71"/>
    <w:rsid w:val="00BD42AF"/>
    <w:rsid w:val="00BE2CD7"/>
    <w:rsid w:val="00BE381A"/>
    <w:rsid w:val="00BE62F6"/>
    <w:rsid w:val="00BF157A"/>
    <w:rsid w:val="00BF2E80"/>
    <w:rsid w:val="00BF2E97"/>
    <w:rsid w:val="00BF519E"/>
    <w:rsid w:val="00BF5317"/>
    <w:rsid w:val="00C02031"/>
    <w:rsid w:val="00C02E85"/>
    <w:rsid w:val="00C05842"/>
    <w:rsid w:val="00C10D78"/>
    <w:rsid w:val="00C12D1D"/>
    <w:rsid w:val="00C1305C"/>
    <w:rsid w:val="00C21ED4"/>
    <w:rsid w:val="00C225CC"/>
    <w:rsid w:val="00C22EEC"/>
    <w:rsid w:val="00C324AD"/>
    <w:rsid w:val="00C359A4"/>
    <w:rsid w:val="00C35BE3"/>
    <w:rsid w:val="00C424A1"/>
    <w:rsid w:val="00C4372C"/>
    <w:rsid w:val="00C46115"/>
    <w:rsid w:val="00C47141"/>
    <w:rsid w:val="00C56554"/>
    <w:rsid w:val="00C6246C"/>
    <w:rsid w:val="00C65547"/>
    <w:rsid w:val="00C70434"/>
    <w:rsid w:val="00C74069"/>
    <w:rsid w:val="00C8191A"/>
    <w:rsid w:val="00C84C07"/>
    <w:rsid w:val="00C90203"/>
    <w:rsid w:val="00C91248"/>
    <w:rsid w:val="00C919D2"/>
    <w:rsid w:val="00CA5868"/>
    <w:rsid w:val="00CB53FD"/>
    <w:rsid w:val="00CC7074"/>
    <w:rsid w:val="00CE0DBE"/>
    <w:rsid w:val="00CE0E6B"/>
    <w:rsid w:val="00CE7481"/>
    <w:rsid w:val="00CE7977"/>
    <w:rsid w:val="00CF148B"/>
    <w:rsid w:val="00CF70C7"/>
    <w:rsid w:val="00D014C6"/>
    <w:rsid w:val="00D05634"/>
    <w:rsid w:val="00D1115A"/>
    <w:rsid w:val="00D1401E"/>
    <w:rsid w:val="00D16587"/>
    <w:rsid w:val="00D21337"/>
    <w:rsid w:val="00D223D1"/>
    <w:rsid w:val="00D23B63"/>
    <w:rsid w:val="00D25B15"/>
    <w:rsid w:val="00D26DB9"/>
    <w:rsid w:val="00D3259B"/>
    <w:rsid w:val="00D342F3"/>
    <w:rsid w:val="00D43380"/>
    <w:rsid w:val="00D5454C"/>
    <w:rsid w:val="00D6585E"/>
    <w:rsid w:val="00D73A1E"/>
    <w:rsid w:val="00D907B8"/>
    <w:rsid w:val="00D91DCE"/>
    <w:rsid w:val="00DA2789"/>
    <w:rsid w:val="00DC1EA1"/>
    <w:rsid w:val="00DD2F4D"/>
    <w:rsid w:val="00DD3259"/>
    <w:rsid w:val="00DD60D2"/>
    <w:rsid w:val="00DE0E46"/>
    <w:rsid w:val="00DE1604"/>
    <w:rsid w:val="00DE2BA7"/>
    <w:rsid w:val="00DE3B37"/>
    <w:rsid w:val="00DF0431"/>
    <w:rsid w:val="00DF4854"/>
    <w:rsid w:val="00DF747E"/>
    <w:rsid w:val="00E028F2"/>
    <w:rsid w:val="00E05405"/>
    <w:rsid w:val="00E1146A"/>
    <w:rsid w:val="00E2168A"/>
    <w:rsid w:val="00E23D0B"/>
    <w:rsid w:val="00E24014"/>
    <w:rsid w:val="00E27F1B"/>
    <w:rsid w:val="00E37122"/>
    <w:rsid w:val="00E417F0"/>
    <w:rsid w:val="00E750B5"/>
    <w:rsid w:val="00E760E2"/>
    <w:rsid w:val="00E82BC7"/>
    <w:rsid w:val="00EA3F2F"/>
    <w:rsid w:val="00EA4649"/>
    <w:rsid w:val="00EA62D2"/>
    <w:rsid w:val="00EA6620"/>
    <w:rsid w:val="00EB2F6B"/>
    <w:rsid w:val="00EB6774"/>
    <w:rsid w:val="00EB777C"/>
    <w:rsid w:val="00EC2B99"/>
    <w:rsid w:val="00EC3812"/>
    <w:rsid w:val="00EC4CE5"/>
    <w:rsid w:val="00EC69AA"/>
    <w:rsid w:val="00ED1E59"/>
    <w:rsid w:val="00ED54A0"/>
    <w:rsid w:val="00EE0EAC"/>
    <w:rsid w:val="00EE303D"/>
    <w:rsid w:val="00EE3BE2"/>
    <w:rsid w:val="00EE41FB"/>
    <w:rsid w:val="00EE7650"/>
    <w:rsid w:val="00EE7A59"/>
    <w:rsid w:val="00EF25B2"/>
    <w:rsid w:val="00F05DD5"/>
    <w:rsid w:val="00F11508"/>
    <w:rsid w:val="00F138A6"/>
    <w:rsid w:val="00F176A3"/>
    <w:rsid w:val="00F254F0"/>
    <w:rsid w:val="00F274D6"/>
    <w:rsid w:val="00F328D7"/>
    <w:rsid w:val="00F3407E"/>
    <w:rsid w:val="00F400EB"/>
    <w:rsid w:val="00F579E0"/>
    <w:rsid w:val="00F641F8"/>
    <w:rsid w:val="00F70A08"/>
    <w:rsid w:val="00F70A3A"/>
    <w:rsid w:val="00F71A29"/>
    <w:rsid w:val="00F7794F"/>
    <w:rsid w:val="00F81141"/>
    <w:rsid w:val="00F87DBE"/>
    <w:rsid w:val="00F91A74"/>
    <w:rsid w:val="00F94849"/>
    <w:rsid w:val="00F96411"/>
    <w:rsid w:val="00FA40D0"/>
    <w:rsid w:val="00FA7582"/>
    <w:rsid w:val="00FB1799"/>
    <w:rsid w:val="00FB2425"/>
    <w:rsid w:val="00FC208C"/>
    <w:rsid w:val="00FC2D7E"/>
    <w:rsid w:val="00FD070D"/>
    <w:rsid w:val="00FD2D61"/>
    <w:rsid w:val="00FD3A94"/>
    <w:rsid w:val="00FD5A08"/>
    <w:rsid w:val="00FE06B0"/>
    <w:rsid w:val="00FE3174"/>
    <w:rsid w:val="00FE3FBC"/>
    <w:rsid w:val="00FE7F0D"/>
    <w:rsid w:val="00FF2694"/>
    <w:rsid w:val="00FF4BFF"/>
    <w:rsid w:val="00FF4EAB"/>
    <w:rsid w:val="00FF593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A6F6"/>
  <w15:chartTrackingRefBased/>
  <w15:docId w15:val="{C2A8F3A1-DD10-C348-BE46-CCF0AAE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February 28</a:t>
            </a:r>
            <a:r>
              <a:rPr lang="en-US" sz="1000" b="1" baseline="0"/>
              <a:t>, 2021</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Sheet1!$B$2:$B$3</c:f>
              <c:numCache>
                <c:formatCode>0.0</c:formatCode>
                <c:ptCount val="2"/>
                <c:pt idx="0">
                  <c:v>2.8</c:v>
                </c:pt>
                <c:pt idx="1">
                  <c:v>1.7</c:v>
                </c:pt>
              </c:numCache>
            </c:numRef>
          </c:val>
          <c:extLst>
            <c:ext xmlns:c16="http://schemas.microsoft.com/office/drawing/2014/chart" uri="{C3380CC4-5D6E-409C-BE32-E72D297353CC}">
              <c16:uniqueId val="{00000000-A4FC-4D9A-A98B-3B5E56AD0ED1}"/>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Sheet1!$C$2:$C$3</c:f>
              <c:numCache>
                <c:formatCode>0.0</c:formatCode>
                <c:ptCount val="2"/>
                <c:pt idx="0" formatCode="General">
                  <c:v>2.2999999999999998</c:v>
                </c:pt>
                <c:pt idx="1">
                  <c:v>1.2</c:v>
                </c:pt>
              </c:numCache>
            </c:numRef>
          </c:val>
          <c:extLst>
            <c:ext xmlns:c16="http://schemas.microsoft.com/office/drawing/2014/chart" uri="{C3380CC4-5D6E-409C-BE32-E72D297353CC}">
              <c16:uniqueId val="{00000001-A4FC-4D9A-A98B-3B5E56AD0ED1}"/>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Sheet1!$D$2:$D$3</c:f>
              <c:numCache>
                <c:formatCode>0.0</c:formatCode>
                <c:ptCount val="2"/>
                <c:pt idx="0" formatCode="#,##0.0">
                  <c:v>0.8</c:v>
                </c:pt>
                <c:pt idx="1">
                  <c:v>3.9</c:v>
                </c:pt>
              </c:numCache>
            </c:numRef>
          </c:val>
          <c:extLst>
            <c:ext xmlns:c16="http://schemas.microsoft.com/office/drawing/2014/chart" uri="{C3380CC4-5D6E-409C-BE32-E72D297353CC}">
              <c16:uniqueId val="{00000002-A4FC-4D9A-A98B-3B5E56AD0ED1}"/>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Sheet1!$E$2:$E$3</c:f>
              <c:numCache>
                <c:formatCode>0.0</c:formatCode>
                <c:ptCount val="2"/>
                <c:pt idx="0" formatCode="General">
                  <c:v>-1.4</c:v>
                </c:pt>
                <c:pt idx="1">
                  <c:v>-2.2000000000000002</c:v>
                </c:pt>
              </c:numCache>
            </c:numRef>
          </c:val>
          <c:extLst>
            <c:ext xmlns:c16="http://schemas.microsoft.com/office/drawing/2014/chart" uri="{C3380CC4-5D6E-409C-BE32-E72D297353CC}">
              <c16:uniqueId val="{00000003-A4FC-4D9A-A98B-3B5E56AD0ED1}"/>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Sheet1!$F$2:$F$3</c:f>
              <c:numCache>
                <c:formatCode>0.0</c:formatCode>
                <c:ptCount val="2"/>
                <c:pt idx="0">
                  <c:v>-1.9</c:v>
                </c:pt>
                <c:pt idx="1">
                  <c:v>-2.9</c:v>
                </c:pt>
              </c:numCache>
            </c:numRef>
          </c:val>
          <c:extLst>
            <c:ext xmlns:c16="http://schemas.microsoft.com/office/drawing/2014/chart" uri="{C3380CC4-5D6E-409C-BE32-E72D297353CC}">
              <c16:uniqueId val="{00000004-A4FC-4D9A-A98B-3B5E56AD0ED1}"/>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Sheet1!$G$2:$G$3</c:f>
              <c:numCache>
                <c:formatCode>0.0</c:formatCode>
                <c:ptCount val="2"/>
                <c:pt idx="0" formatCode="General">
                  <c:v>-1.4</c:v>
                </c:pt>
                <c:pt idx="1">
                  <c:v>-2.2999999999999998</c:v>
                </c:pt>
              </c:numCache>
            </c:numRef>
          </c:val>
          <c:extLst>
            <c:ext xmlns:c16="http://schemas.microsoft.com/office/drawing/2014/chart" uri="{C3380CC4-5D6E-409C-BE32-E72D297353CC}">
              <c16:uniqueId val="{00000005-A4FC-4D9A-A98B-3B5E56AD0ED1}"/>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0"/>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February 28, 2021</a:t>
            </a:r>
          </a:p>
        </c:rich>
      </c:tx>
      <c:layout>
        <c:manualLayout>
          <c:xMode val="edge"/>
          <c:yMode val="edge"/>
          <c:x val="0.34476422318841704"/>
          <c:y val="4.8780078960718148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2.3504273504273504E-2"/>
          <c:y val="0.15581854043392501"/>
          <c:w val="0.95299145299145294"/>
          <c:h val="0.55240935119796419"/>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Sheet1!$B$2:$B$3</c:f>
              <c:numCache>
                <c:formatCode>0.0</c:formatCode>
                <c:ptCount val="2"/>
                <c:pt idx="0">
                  <c:v>0.69999999999999984</c:v>
                </c:pt>
                <c:pt idx="1">
                  <c:v>9.9999999999999867E-2</c:v>
                </c:pt>
              </c:numCache>
            </c:numRef>
          </c:val>
          <c:extLst>
            <c:ext xmlns:c16="http://schemas.microsoft.com/office/drawing/2014/chart" uri="{C3380CC4-5D6E-409C-BE32-E72D297353CC}">
              <c16:uniqueId val="{00000000-35CE-4C5E-B230-8024BB63E802}"/>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Sheet1!$C$2:$C$3</c:f>
              <c:numCache>
                <c:formatCode>0.0</c:formatCode>
                <c:ptCount val="2"/>
                <c:pt idx="0">
                  <c:v>2.2999999999999998</c:v>
                </c:pt>
                <c:pt idx="1">
                  <c:v>1.9</c:v>
                </c:pt>
              </c:numCache>
            </c:numRef>
          </c:val>
          <c:extLst>
            <c:ext xmlns:c16="http://schemas.microsoft.com/office/drawing/2014/chart" uri="{C3380CC4-5D6E-409C-BE32-E72D297353CC}">
              <c16:uniqueId val="{00000001-35CE-4C5E-B230-8024BB63E802}"/>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Sheet1!$D$2:$D$3</c:f>
              <c:numCache>
                <c:formatCode>0.0</c:formatCode>
                <c:ptCount val="2"/>
                <c:pt idx="0">
                  <c:v>-1.7</c:v>
                </c:pt>
                <c:pt idx="1">
                  <c:v>-2.6</c:v>
                </c:pt>
              </c:numCache>
            </c:numRef>
          </c:val>
          <c:extLst>
            <c:ext xmlns:c16="http://schemas.microsoft.com/office/drawing/2014/chart" uri="{C3380CC4-5D6E-409C-BE32-E72D297353CC}">
              <c16:uniqueId val="{00000002-35CE-4C5E-B230-8024BB63E802}"/>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Sheet1!$E$2:$E$3</c:f>
              <c:numCache>
                <c:formatCode>0.0</c:formatCode>
                <c:ptCount val="2"/>
                <c:pt idx="0">
                  <c:v>2.7</c:v>
                </c:pt>
                <c:pt idx="1">
                  <c:v>2.6</c:v>
                </c:pt>
              </c:numCache>
            </c:numRef>
          </c:val>
          <c:extLst>
            <c:ext xmlns:c16="http://schemas.microsoft.com/office/drawing/2014/chart" uri="{C3380CC4-5D6E-409C-BE32-E72D297353CC}">
              <c16:uniqueId val="{00000003-35CE-4C5E-B230-8024BB63E802}"/>
            </c:ext>
          </c:extLst>
        </c:ser>
        <c:ser>
          <c:idx val="4"/>
          <c:order val="4"/>
          <c:tx>
            <c:strRef>
              <c:f>Sheet1!$F$1</c:f>
              <c:strCache>
                <c:ptCount val="1"/>
                <c:pt idx="0">
                  <c:v>Commodities</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Sheet1!$F$2:$F$3</c:f>
              <c:numCache>
                <c:formatCode>0.0</c:formatCode>
                <c:ptCount val="2"/>
                <c:pt idx="0">
                  <c:v>6.5</c:v>
                </c:pt>
                <c:pt idx="1">
                  <c:v>9.3000000000000007</c:v>
                </c:pt>
              </c:numCache>
            </c:numRef>
          </c:val>
          <c:extLst>
            <c:ext xmlns:c16="http://schemas.microsoft.com/office/drawing/2014/chart" uri="{C3380CC4-5D6E-409C-BE32-E72D297353CC}">
              <c16:uniqueId val="{00000004-35CE-4C5E-B230-8024BB63E802}"/>
            </c:ext>
          </c:extLst>
        </c:ser>
        <c:ser>
          <c:idx val="5"/>
          <c:order val="5"/>
          <c:tx>
            <c:strRef>
              <c:f>Sheet1!$G$1</c:f>
              <c:strCache>
                <c:ptCount val="1"/>
                <c:pt idx="0">
                  <c:v>Gold</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Feb-21</c:v>
                </c:pt>
                <c:pt idx="1">
                  <c:v>Year to Date</c:v>
                </c:pt>
              </c:strCache>
            </c:strRef>
          </c:cat>
          <c:val>
            <c:numRef>
              <c:f>Sheet1!$G$2:$G$3</c:f>
              <c:numCache>
                <c:formatCode>0.0</c:formatCode>
                <c:ptCount val="2"/>
                <c:pt idx="0">
                  <c:v>-6.6</c:v>
                </c:pt>
                <c:pt idx="1">
                  <c:v>-9</c:v>
                </c:pt>
              </c:numCache>
            </c:numRef>
          </c:val>
          <c:extLst>
            <c:ext xmlns:c16="http://schemas.microsoft.com/office/drawing/2014/chart" uri="{C3380CC4-5D6E-409C-BE32-E72D297353CC}">
              <c16:uniqueId val="{00000005-35CE-4C5E-B230-8024BB63E802}"/>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0"/>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DD04528833D48AE03A722395B8981" ma:contentTypeVersion="4" ma:contentTypeDescription="Create a new document." ma:contentTypeScope="" ma:versionID="3f630f21e069b09eac31d77ad72547b6">
  <xsd:schema xmlns:xsd="http://www.w3.org/2001/XMLSchema" xmlns:xs="http://www.w3.org/2001/XMLSchema" xmlns:p="http://schemas.microsoft.com/office/2006/metadata/properties" xmlns:ns3="544282d0-16b8-4a3b-b3e7-bd67f99b7e0f" targetNamespace="http://schemas.microsoft.com/office/2006/metadata/properties" ma:root="true" ma:fieldsID="06835dd5014336940e02bd6076b20cec" ns3:_="">
    <xsd:import namespace="544282d0-16b8-4a3b-b3e7-bd67f99b7e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82d0-16b8-4a3b-b3e7-bd67f99b7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2.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9AE99-0BA3-4E1F-A118-BEF8647FF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82d0-16b8-4a3b-b3e7-bd67f99b7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F4135-E0B8-4429-B5A3-E4ADB556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Clarke, Kate (AssetMark)</cp:lastModifiedBy>
  <cp:revision>14</cp:revision>
  <cp:lastPrinted>2019-11-05T19:19:00Z</cp:lastPrinted>
  <dcterms:created xsi:type="dcterms:W3CDTF">2021-03-02T18:50:00Z</dcterms:created>
  <dcterms:modified xsi:type="dcterms:W3CDTF">2021-03-02T22:35:00Z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0x0101009F1DD04528833D48AE03A722395B8981</vt:lpwstr>
  </property>
</Properties>
</file>